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CVRx,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Jorey Chernett</w:t>
              <w:br/>
              <w:t>6222 Indianwood Tr., SUITE 650</w:t>
              <w:br/>
              <w:t>Bloomfield Hills, MI, 48301</w:t>
              <w:br/>
              <w:t>248-469-8811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Chernett Jorey</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165,000.00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165,000.00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0.62 %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Amendment No. 1 constitutes an exit filing for the Reporting Person, as the Reporting Person no longer beneficially owns more than five percent of the outstanding shares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CVRx, Inc.</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9201 WEST BROADWAY AVENUE, SUITE 650, MINNEAPOLIS, MINNESOTA , 55445.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1 to the Schedule 13D filed by the undersigned ("Amendment No. 1"). This Amendment No. 1 amends the Schedule 13D as specifically set forth herein. Capitalized terms used herein and not otherwise defined shall have the meanings ascribed to them in the Schedule 13D. As a result of the transactions described herein, the filing of this Amendment No. 1 represents the final amendment to the Schedule 13D and constitutes an exit filing for the Reporting Person.</w:t>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Item 3 is hereby amended and restated to read as follows: The 165,000 Shares held by Mr. Chernett were acquired through private transactions using personal funds in the amount of $475,200.</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Item 4 is hereby amended to add the following: This Amendment No. 1 is being filed to report that, following a difference of opinion with the Issuer's management regarding the Issuer's strategic direction, the Reporting Person has sold Shares and, as a result, no longer beneficially owns more than five percent of the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5.</w:t>
            </w:r>
          </w:p>
        </w:tc>
        <w:tc>
          <w:tcPr>
            <w:tcW w:w="893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0"/>
              <w:jc w:val="left"/>
              <w:rPr/>
            </w:pPr>
            <w:r>
              <w:rPr/>
              <w:t>Item 5(a) is hereby amended and restated to read as follows: The aggregate percentage of Shares beneficially owned by the Reporting Person is based upon 26,641,597 of the Issuer's shares of Common Stock outstanding as of July 30, 2026, as set forth in the Issuer's Quarterly Report on Form 10-Q filed with the Securities and Exchange Commission on August 6, 2026. As of the close of business on October 2, 2026, the Reporting Person beneficially owned 165,000 Shares. Percentage: Approximately 0.62%</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0"/>
              <w:jc w:val="left"/>
              <w:rPr/>
            </w:pPr>
            <w:r>
              <w:rPr/>
              <w:t>Item 5(b) is hereby amended and restated to read as follows: 1. Sole power to vote or direct vote: 165,000 2. Shared power to vote or direct vote: 0 3. Sole power to dispose or direct the disposition: 165,000 4. Shared power to dispose or direct the disposition: 0</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0"/>
              <w:jc w:val="left"/>
              <w:rPr/>
            </w:pPr>
            <w:r>
              <w:rPr/>
              <w:t>Item 5(c) is hereby amended and restated to read as follows: The transactions in the Shares by the Reporting Person since the filing of the original Schedule 13D are set forth in more detail in Exhibit 1 attached hereto.</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spacing w:before="0" w:after="0"/>
              <w:jc w:val="left"/>
              <w:rPr/>
            </w:pPr>
            <w:r>
              <w:rPr/>
              <w:t>Item 5(d) is hereby amended and restated to read as follows: No person other than the Reporting Person is known to have the right to receive, or the power to direct the receipt of dividends from, or proceeds from the sale of, the Shares.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0"/>
              <w:jc w:val="left"/>
              <w:rPr/>
            </w:pPr>
            <w:r>
              <w:rPr/>
              <w:t>Item 5(e) is hereby amended and restated to read as follows: On 9/30/2026, the Reporting Person ceased to be the beneficial owner of more than five percent of the outstanding Shares. Accordingly, this Amendment No. 1 constitutes an exit filing for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Exhibit 1: Transactions in the Securities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Chernett Jorey</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Jorey Chernett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Jorey Chernett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i w:val="false"/>
          <w:caps w:val="false"/>
          <w:smallCaps w:val="false"/>
          <w:sz w:val="20"/>
        </w:rPr>
      </w:pPr>
      <w:bookmarkStart w:id="14" w:name="ex1sc13da114528003_10022026.htm"/>
      <w:bookmarkStart w:id="15" w:name="ksex1sc13da114528003_10022026"/>
      <w:bookmarkEnd w:id="14"/>
      <w:bookmarkEnd w:id="15"/>
      <w:r>
        <w:rPr>
          <w:rFonts w:ascii="Times New Roman;Times;Serif" w:hAnsi="Times New Roman;Times;Serif"/>
          <w:b/>
          <w:i w:val="false"/>
          <w:caps w:val="false"/>
          <w:smallCaps w:val="false"/>
          <w:sz w:val="20"/>
        </w:rPr>
        <w:t>Exhibit 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the Filing of the Original Schedule 13D</w:t>
      </w:r>
    </w:p>
    <w:p>
      <w:pPr>
        <w:pStyle w:val="TextBody"/>
        <w:bidi w:val="0"/>
        <w:jc w:val="center"/>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2075"/>
        <w:gridCol w:w="740"/>
        <w:gridCol w:w="1250"/>
      </w:tblGrid>
      <w:tr>
        <w:trPr/>
        <w:tc>
          <w:tcPr>
            <w:tcW w:w="207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74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w:t>
            </w:r>
          </w:p>
        </w:tc>
        <w:tc>
          <w:tcPr>
            <w:tcW w:w="125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 / Sale</w:t>
            </w:r>
          </w:p>
        </w:tc>
      </w:tr>
    </w:tbl>
    <w:p>
      <w:pPr>
        <w:pStyle w:val="TextBody"/>
        <w:bidi w:val="0"/>
        <w:jc w:val="left"/>
        <w:rPr>
          <w:caps w:val="false"/>
          <w:smallCaps w:val="false"/>
        </w:rPr>
      </w:pPr>
      <w:r>
        <w:rPr>
          <w:caps w:val="false"/>
          <w:smallCaps w:val="false"/>
        </w:rPr>
        <w:t> </w:t>
      </w:r>
    </w:p>
    <w:tbl>
      <w:tblPr>
        <w:tblW w:w="2805" w:type="dxa"/>
        <w:jc w:val="left"/>
        <w:tblInd w:w="0" w:type="dxa"/>
        <w:tblLayout w:type="fixed"/>
        <w:tblCellMar>
          <w:top w:w="0" w:type="dxa"/>
          <w:left w:w="0" w:type="dxa"/>
          <w:bottom w:w="0" w:type="dxa"/>
          <w:right w:w="0" w:type="dxa"/>
        </w:tblCellMar>
      </w:tblPr>
      <w:tblGrid>
        <w:gridCol w:w="1145"/>
        <w:gridCol w:w="545"/>
        <w:gridCol w:w="1115"/>
      </w:tblGrid>
      <w:tr>
        <w:trPr/>
        <w:tc>
          <w:tcPr>
            <w:tcW w:w="1145" w:type="dxa"/>
            <w:tcBorders/>
            <w:shd w:fill="CCEEFF" w:val="clear"/>
            <w:vAlign w:val="center"/>
          </w:tcPr>
          <w:p>
            <w:pPr>
              <w:pStyle w:val="TableContents"/>
              <w:bidi w:val="0"/>
              <w:spacing w:before="0" w:after="283"/>
              <w:jc w:val="center"/>
              <w:rPr/>
            </w:pPr>
            <w:r>
              <w:rPr/>
              <w:t>(41,000)</w:t>
            </w:r>
          </w:p>
        </w:tc>
        <w:tc>
          <w:tcPr>
            <w:tcW w:w="545" w:type="dxa"/>
            <w:tcBorders/>
            <w:shd w:fill="CCEEFF" w:val="clear"/>
            <w:vAlign w:val="center"/>
          </w:tcPr>
          <w:p>
            <w:pPr>
              <w:pStyle w:val="TableContents"/>
              <w:bidi w:val="0"/>
              <w:spacing w:before="0" w:after="283"/>
              <w:jc w:val="center"/>
              <w:rPr/>
            </w:pPr>
            <w:r>
              <w:rPr/>
              <w:t>2.59</w:t>
            </w:r>
            <w:r>
              <w:rPr>
                <w:position w:val="8"/>
                <w:sz w:val="19"/>
              </w:rPr>
              <w:t>1</w:t>
            </w:r>
          </w:p>
        </w:tc>
        <w:tc>
          <w:tcPr>
            <w:tcW w:w="1115" w:type="dxa"/>
            <w:tcBorders/>
            <w:shd w:fill="CCEEFF" w:val="clear"/>
            <w:vAlign w:val="center"/>
          </w:tcPr>
          <w:p>
            <w:pPr>
              <w:pStyle w:val="TableContents"/>
              <w:bidi w:val="0"/>
              <w:spacing w:before="0" w:after="283"/>
              <w:jc w:val="center"/>
              <w:rPr/>
            </w:pPr>
            <w:r>
              <w:rPr/>
              <w:t>09/29/2026</w:t>
            </w:r>
          </w:p>
        </w:tc>
      </w:tr>
      <w:tr>
        <w:trPr/>
        <w:tc>
          <w:tcPr>
            <w:tcW w:w="1145" w:type="dxa"/>
            <w:tcBorders/>
            <w:shd w:fill="FFFFFF" w:val="clear"/>
            <w:vAlign w:val="center"/>
          </w:tcPr>
          <w:p>
            <w:pPr>
              <w:pStyle w:val="TableContents"/>
              <w:bidi w:val="0"/>
              <w:spacing w:before="0" w:after="283"/>
              <w:jc w:val="center"/>
              <w:rPr/>
            </w:pPr>
            <w:r>
              <w:rPr/>
              <w:t>(1,153,603)</w:t>
            </w:r>
          </w:p>
        </w:tc>
        <w:tc>
          <w:tcPr>
            <w:tcW w:w="545" w:type="dxa"/>
            <w:tcBorders/>
            <w:shd w:fill="FFFFFF" w:val="clear"/>
            <w:vAlign w:val="center"/>
          </w:tcPr>
          <w:p>
            <w:pPr>
              <w:pStyle w:val="TableContents"/>
              <w:bidi w:val="0"/>
              <w:spacing w:before="0" w:after="283"/>
              <w:jc w:val="center"/>
              <w:rPr/>
            </w:pPr>
            <w:r>
              <w:rPr/>
              <w:t>2.07</w:t>
            </w:r>
            <w:r>
              <w:rPr>
                <w:position w:val="8"/>
                <w:sz w:val="19"/>
              </w:rPr>
              <w:t>1</w:t>
            </w:r>
          </w:p>
        </w:tc>
        <w:tc>
          <w:tcPr>
            <w:tcW w:w="1115" w:type="dxa"/>
            <w:tcBorders/>
            <w:shd w:fill="FFFFFF" w:val="clear"/>
            <w:vAlign w:val="center"/>
          </w:tcPr>
          <w:p>
            <w:pPr>
              <w:pStyle w:val="TableContents"/>
              <w:bidi w:val="0"/>
              <w:spacing w:before="0" w:after="283"/>
              <w:jc w:val="center"/>
              <w:rPr/>
            </w:pPr>
            <w:r>
              <w:rPr/>
              <w:t>09/30/2026</w:t>
            </w:r>
          </w:p>
        </w:tc>
      </w:tr>
      <w:tr>
        <w:trPr/>
        <w:tc>
          <w:tcPr>
            <w:tcW w:w="1145" w:type="dxa"/>
            <w:tcBorders/>
            <w:shd w:fill="CCEEFF" w:val="clear"/>
            <w:vAlign w:val="center"/>
          </w:tcPr>
          <w:p>
            <w:pPr>
              <w:pStyle w:val="TableContents"/>
              <w:bidi w:val="0"/>
              <w:spacing w:before="0" w:after="283"/>
              <w:jc w:val="center"/>
              <w:rPr/>
            </w:pPr>
            <w:r>
              <w:rPr/>
              <w:t>(600)</w:t>
            </w:r>
          </w:p>
        </w:tc>
        <w:tc>
          <w:tcPr>
            <w:tcW w:w="545" w:type="dxa"/>
            <w:tcBorders/>
            <w:shd w:fill="CCEEFF" w:val="clear"/>
            <w:vAlign w:val="center"/>
          </w:tcPr>
          <w:p>
            <w:pPr>
              <w:pStyle w:val="TableContents"/>
              <w:bidi w:val="0"/>
              <w:spacing w:before="0" w:after="283"/>
              <w:jc w:val="center"/>
              <w:rPr/>
            </w:pPr>
            <w:r>
              <w:rPr/>
              <w:t>1.74</w:t>
            </w:r>
          </w:p>
        </w:tc>
        <w:tc>
          <w:tcPr>
            <w:tcW w:w="1115" w:type="dxa"/>
            <w:tcBorders/>
            <w:shd w:fill="CCEEFF" w:val="clear"/>
            <w:vAlign w:val="center"/>
          </w:tcPr>
          <w:p>
            <w:pPr>
              <w:pStyle w:val="TableContents"/>
              <w:bidi w:val="0"/>
              <w:spacing w:before="0" w:after="283"/>
              <w:jc w:val="center"/>
              <w:rPr/>
            </w:pPr>
            <w:r>
              <w:rPr/>
              <w:t>10/01/2026</w:t>
            </w:r>
          </w:p>
        </w:tc>
      </w:tr>
      <w:tr>
        <w:trPr/>
        <w:tc>
          <w:tcPr>
            <w:tcW w:w="1145" w:type="dxa"/>
            <w:tcBorders/>
            <w:shd w:fill="FFFFFF" w:val="clear"/>
            <w:vAlign w:val="center"/>
          </w:tcPr>
          <w:p>
            <w:pPr>
              <w:pStyle w:val="TableContents"/>
              <w:bidi w:val="0"/>
              <w:spacing w:before="0" w:after="283"/>
              <w:jc w:val="center"/>
              <w:rPr/>
            </w:pPr>
            <w:r>
              <w:rPr/>
              <w:t>(101,547)</w:t>
            </w:r>
          </w:p>
        </w:tc>
        <w:tc>
          <w:tcPr>
            <w:tcW w:w="545" w:type="dxa"/>
            <w:tcBorders/>
            <w:shd w:fill="FFFFFF" w:val="clear"/>
            <w:vAlign w:val="center"/>
          </w:tcPr>
          <w:p>
            <w:pPr>
              <w:pStyle w:val="TableContents"/>
              <w:bidi w:val="0"/>
              <w:spacing w:before="0" w:after="283"/>
              <w:jc w:val="center"/>
              <w:rPr/>
            </w:pPr>
            <w:r>
              <w:rPr/>
              <w:t>1.56</w:t>
            </w:r>
            <w:r>
              <w:rPr>
                <w:position w:val="8"/>
                <w:sz w:val="19"/>
              </w:rPr>
              <w:t>1</w:t>
            </w:r>
          </w:p>
        </w:tc>
        <w:tc>
          <w:tcPr>
            <w:tcW w:w="1115" w:type="dxa"/>
            <w:tcBorders/>
            <w:shd w:fill="FFFFFF" w:val="clear"/>
            <w:vAlign w:val="center"/>
          </w:tcPr>
          <w:p>
            <w:pPr>
              <w:pStyle w:val="TableContents"/>
              <w:bidi w:val="0"/>
              <w:spacing w:before="0" w:after="283"/>
              <w:jc w:val="center"/>
              <w:rPr/>
            </w:pPr>
            <w:r>
              <w:rPr/>
              <w:t>10/02/2026</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prices reported in this column are weighted average prices. The Reporting Person undertakes to provide the Issuer and any security holder of the Issuer, or the staff of the Securities and Exchange Commission, upon request, full information regarding the number of shares sold at each separate price.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982</Words>
  <Characters>5008</Characters>
  <CharactersWithSpaces>5922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