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Hykes Kevin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4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9201 WEST BROADWAY, # 650</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55445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4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CVRx,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CVRX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40" w:type="dxa"/>
            <w:vAlign w:val="bottom"/>
            <w:tcBorders>
              <w:bottom w:val="single" w:sz="8" w:color="0000EE"/>
            </w:tcBorders>
          </w:tcPr>
          <w:p>
            <w:pPr>
              <w:spacing w:after="0"/>
              <w:rPr>
                <w:sz w:val="3"/>
                <w:szCs w:val="3"/>
                <w:color w:val="auto"/>
              </w:rPr>
            </w:pPr>
          </w:p>
        </w:tc>
        <w:tc>
          <w:tcPr>
            <w:tcW w:w="2780" w:type="dxa"/>
            <w:vAlign w:val="bottom"/>
          </w:tcPr>
          <w:p>
            <w:pPr>
              <w:spacing w:after="0"/>
              <w:rPr>
                <w:sz w:val="3"/>
                <w:szCs w:val="3"/>
                <w:color w:val="auto"/>
              </w:rPr>
            </w:pPr>
          </w:p>
        </w:tc>
        <w:tc>
          <w:tcPr>
            <w:tcW w:w="21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780" w:type="dxa"/>
            <w:vAlign w:val="bottom"/>
            <w:tcBorders>
              <w:bottom w:val="single" w:sz="8" w:color="2C2C2C"/>
            </w:tcBorders>
          </w:tcPr>
          <w:p>
            <w:pPr>
              <w:spacing w:after="0"/>
              <w:rPr>
                <w:sz w:val="6"/>
                <w:szCs w:val="6"/>
                <w:color w:val="auto"/>
              </w:rPr>
            </w:pPr>
          </w:p>
        </w:tc>
        <w:tc>
          <w:tcPr>
            <w:tcW w:w="21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1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08/05/2024</w:t>
            </w:r>
          </w:p>
        </w:tc>
        <w:tc>
          <w:tcPr>
            <w:tcW w:w="278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040" w:type="dxa"/>
            <w:vAlign w:val="bottom"/>
            <w:gridSpan w:val="3"/>
            <w:vMerge w:val="continue"/>
          </w:tcPr>
          <w:p>
            <w:pPr>
              <w:spacing w:after="0"/>
              <w:rPr>
                <w:sz w:val="11"/>
                <w:szCs w:val="11"/>
                <w:color w:val="auto"/>
              </w:rPr>
            </w:pPr>
          </w:p>
        </w:tc>
        <w:tc>
          <w:tcPr>
            <w:tcW w:w="2780" w:type="dxa"/>
            <w:vAlign w:val="bottom"/>
          </w:tcPr>
          <w:p>
            <w:pPr>
              <w:spacing w:after="0"/>
              <w:rPr>
                <w:sz w:val="11"/>
                <w:szCs w:val="11"/>
                <w:color w:val="auto"/>
              </w:rPr>
            </w:pPr>
          </w:p>
        </w:tc>
        <w:tc>
          <w:tcPr>
            <w:tcW w:w="2160" w:type="dxa"/>
            <w:vAlign w:val="bottom"/>
            <w:vMerge w:val="restart"/>
          </w:tcPr>
          <w:p>
            <w:pPr>
              <w:ind w:left="1160"/>
              <w:spacing w:after="0"/>
              <w:rPr>
                <w:sz w:val="20"/>
                <w:szCs w:val="20"/>
                <w:color w:val="auto"/>
              </w:rPr>
            </w:pPr>
            <w:r>
              <w:rPr>
                <w:rFonts w:ascii="Times New Roman" w:cs="Times New Roman" w:eastAsia="Times New Roman" w:hAnsi="Times New Roman"/>
                <w:sz w:val="17"/>
                <w:szCs w:val="17"/>
                <w:color w:val="0000FF"/>
              </w:rPr>
              <w:t>PRES &amp; CEO</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08/05/2024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8.3589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30,000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30,000 shares of common stock of CVRx, Inc. purchased by the reporting person in multiple transactions on August 5, 2024 with purchase prices ranging from $8.245 to $8.47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C. Seidel,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08/05/2024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67748" TargetMode="External"/><Relationship Id="rId13" Type="http://schemas.openxmlformats.org/officeDocument/2006/relationships/hyperlink" Target="http://www.sec.gov/cgi-bin/browse-edgar?action=getcompany&amp;CIK=0001235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2024-08-05T16:24:24Z</dcterms:created>
  <dcterms:modified xsi:type="dcterms:W3CDTF">2024-08-05T16:24:24Z</dcterms:modified>
</cp:coreProperties>
</file>