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00" w:type="dxa"/>
            <w:vAlign w:val="bottom"/>
            <w:gridSpan w:val="19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00" w:type="dxa"/>
            <w:vAlign w:val="bottom"/>
            <w:gridSpan w:val="19"/>
            <w:vMerge w:val="restart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600" w:type="dxa"/>
            <w:vAlign w:val="bottom"/>
            <w:gridSpan w:val="18"/>
            <w:vMerge w:val="restart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2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0" w:type="dxa"/>
            <w:vAlign w:val="bottom"/>
            <w:gridSpan w:val="1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10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SHADAN MARTHA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CVRx,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CVRX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06/05/2023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9201 W BROADWAY AVE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  <w:gridSpan w:val="4"/>
          </w:tcPr>
          <w:p>
            <w:pPr>
              <w:ind w:left="1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#650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1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ind w:left="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55445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2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40" w:type="dxa"/>
            <w:vAlign w:val="bottom"/>
            <w:gridSpan w:val="1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8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12.33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06/05/2023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12,012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06/04/2033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12,012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12,012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-5669280</wp:posOffset>
            </wp:positionV>
            <wp:extent cx="7045960" cy="58223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22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Vests on the earlier of June 5, 2024 or the Issuer's 2024 annual meeting of stockholders.</w:t>
      </w:r>
    </w:p>
    <w:p>
      <w:pPr>
        <w:ind w:left="658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Amy C. Seidel,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06/07/2023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-27940</wp:posOffset>
            </wp:positionV>
            <wp:extent cx="134747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-19050</wp:posOffset>
            </wp:positionV>
            <wp:extent cx="1854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5581015</wp:posOffset>
            </wp:positionH>
            <wp:positionV relativeFrom="paragraph">
              <wp:posOffset>-85725</wp:posOffset>
            </wp:positionV>
            <wp:extent cx="49149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00" w:firstLine="4"/>
        <w:spacing w:after="0" w:line="312" w:lineRule="auto"/>
        <w:tabs>
          <w:tab w:leader="none" w:pos="17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871700" TargetMode="External"/><Relationship Id="rId9" Type="http://schemas.openxmlformats.org/officeDocument/2006/relationships/hyperlink" Target="http://www.sec.gov/cgi-bin/browse-edgar?action=getcompany&amp;CIK=00012359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2023-06-07T15:15:26Z</dcterms:created>
  <dcterms:modified xsi:type="dcterms:W3CDTF">2023-06-07T15:15:26Z</dcterms:modified>
</cp:coreProperties>
</file>