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40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September 30, 2025</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126365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CVRx, Inc.</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44"/>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7"/>
                <w:szCs w:val="17"/>
                <w:color w:val="auto"/>
              </w:rPr>
            </w:pPr>
          </w:p>
        </w:tc>
      </w:tr>
      <w:tr>
        <w:trPr>
          <w:trHeight w:val="263"/>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7"/>
                <w:szCs w:val="17"/>
                <w:color w:val="auto"/>
              </w:rPr>
            </w:pPr>
          </w:p>
        </w:tc>
      </w:tr>
      <w:tr>
        <w:trPr>
          <w:trHeight w:val="18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6"/>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7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30"/>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20"/>
                <w:szCs w:val="20"/>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8"/>
        </w:trPr>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The Nasdaq Global Select Market</w:t>
            </w:r>
          </w:p>
        </w:tc>
      </w:tr>
      <w:tr>
        <w:trPr>
          <w:trHeight w:val="223"/>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55" w:lineRule="exact"/>
        <w:rPr>
          <w:sz w:val="24"/>
          <w:szCs w:val="24"/>
          <w:color w:val="auto"/>
        </w:rPr>
      </w:pPr>
    </w:p>
    <w:p>
      <w:pPr>
        <w:ind w:left="4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40" w:right="380"/>
        <w:spacing w:after="0" w:line="2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0"/>
        <w:spacing w:after="0" w:line="161" w:lineRule="exact"/>
        <w:tabs>
          <w:tab w:leader="none" w:pos="700" w:val="left"/>
          <w:tab w:leader="none" w:pos="10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4"/>
          <w:szCs w:val="14"/>
          <w:color w:val="auto"/>
        </w:rPr>
        <w:t>☐</w:t>
      </w:r>
    </w:p>
    <w:p>
      <w:pPr>
        <w:spacing w:after="0" w:line="112" w:lineRule="exact"/>
        <w:rPr>
          <w:sz w:val="24"/>
          <w:szCs w:val="24"/>
          <w:color w:val="auto"/>
        </w:rPr>
      </w:pPr>
    </w:p>
    <w:p>
      <w:pPr>
        <w:ind w:left="40" w:right="20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00" w:top="661" w:right="919" w:bottom="1440" w:gutter="0" w:footer="0" w:header="0"/>
        </w:sectPr>
      </w:pPr>
    </w:p>
    <w:p>
      <w:pPr>
        <w:spacing w:after="0" w:line="1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4">
            <w:col w:w="1640" w:space="720"/>
            <w:col w:w="420" w:space="720"/>
            <w:col w:w="1920" w:space="720"/>
            <w:col w:w="4040"/>
          </w:cols>
          <w:pgMar w:left="800" w:top="661" w:right="91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48" w:lineRule="exact"/>
        <w:rPr>
          <w:sz w:val="24"/>
          <w:szCs w:val="24"/>
          <w:color w:val="auto"/>
        </w:rPr>
      </w:pPr>
    </w:p>
    <w:p>
      <w:pPr>
        <w:sectPr>
          <w:pgSz w:w="11900" w:h="16838" w:orient="portrait"/>
          <w:cols w:equalWidth="0" w:num="6">
            <w:col w:w="1640" w:space="720"/>
            <w:col w:w="420" w:space="720"/>
            <w:col w:w="1920" w:space="720"/>
            <w:col w:w="360" w:space="720"/>
            <w:col w:w="1760" w:space="720"/>
            <w:col w:w="480"/>
          </w:cols>
          <w:pgMar w:left="800" w:top="661" w:right="919" w:bottom="1440" w:gutter="0" w:footer="0" w:header="0"/>
          <w:type w:val="continuous"/>
        </w:sectPr>
      </w:pPr>
    </w:p>
    <w:p>
      <w:pPr>
        <w:ind w:left="40"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40" w:right="18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30, 2025, there were 26,210,109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674370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116840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0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0" w:type="dxa"/>
            <w:vAlign w:val="bottom"/>
            <w:gridSpan w:val="12"/>
          </w:tcPr>
          <w:p>
            <w:pPr>
              <w:ind w:left="240"/>
              <w:spacing w:after="0"/>
              <w:rPr>
                <w:sz w:val="20"/>
                <w:szCs w:val="20"/>
                <w:color w:val="auto"/>
              </w:rPr>
            </w:pPr>
            <w:r>
              <w:rPr>
                <w:rFonts w:ascii="Arial" w:cs="Arial" w:eastAsia="Arial" w:hAnsi="Arial"/>
                <w:sz w:val="18"/>
                <w:szCs w:val="18"/>
                <w:b w:val="1"/>
                <w:bCs w:val="1"/>
                <w:color w:val="auto"/>
              </w:rPr>
              <w:t>TABLE OF CONTENTS</w:t>
            </w:r>
          </w:p>
        </w:tc>
      </w:tr>
      <w:tr>
        <w:trPr>
          <w:trHeight w:val="812"/>
        </w:trPr>
        <w:tc>
          <w:tcPr>
            <w:tcW w:w="440" w:type="dxa"/>
            <w:vAlign w:val="bottom"/>
          </w:tcPr>
          <w:p>
            <w:pPr>
              <w:spacing w:after="0"/>
              <w:rPr>
                <w:sz w:val="20"/>
                <w:szCs w:val="20"/>
                <w:color w:val="auto"/>
              </w:rPr>
            </w:pPr>
            <w:r>
              <w:rPr>
                <w:rFonts w:ascii="Arial" w:cs="Arial" w:eastAsia="Arial" w:hAnsi="Arial"/>
                <w:sz w:val="18"/>
                <w:szCs w:val="18"/>
                <w:b w:val="1"/>
                <w:bCs w:val="1"/>
                <w:color w:val="0000EE"/>
                <w:w w:val="93"/>
              </w:rPr>
              <w:t>Part I</w:t>
            </w:r>
          </w:p>
        </w:tc>
        <w:tc>
          <w:tcPr>
            <w:tcW w:w="800" w:type="dxa"/>
            <w:vAlign w:val="bottom"/>
            <w:gridSpan w:val="6"/>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b w:val="1"/>
                <w:bCs w:val="1"/>
                <w:color w:val="0000EE"/>
              </w:rPr>
              <w:t>Financial Information</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Arial" w:cs="Arial" w:eastAsia="Arial" w:hAnsi="Arial"/>
                <w:sz w:val="18"/>
                <w:szCs w:val="18"/>
                <w:color w:val="0000EE"/>
                <w:w w:val="79"/>
              </w:rPr>
              <w:t>Item 1.</w:t>
            </w:r>
          </w:p>
        </w:tc>
        <w:tc>
          <w:tcPr>
            <w:tcW w:w="760" w:type="dxa"/>
            <w:vAlign w:val="bottom"/>
            <w:gridSpan w:val="5"/>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Financial Statements</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w w:val="99"/>
              </w:rPr>
              <w:t>Condensed Consolidated Balance Sheets as of September 30, 2025 and December 31,</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4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2024 (Unaudited)</w:t>
            </w:r>
          </w:p>
        </w:tc>
        <w:tc>
          <w:tcPr>
            <w:tcW w:w="544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Operations and Comprehensive Loss for the</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2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three and nine months ended September 30, 2025 and 2024 (Unaudited)</w:t>
            </w:r>
          </w:p>
        </w:tc>
        <w:tc>
          <w:tcPr>
            <w:tcW w:w="240" w:type="dxa"/>
            <w:vAlign w:val="bottom"/>
            <w:gridSpan w:val="2"/>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Stockholders</w:t>
            </w:r>
            <w:r>
              <w:rPr>
                <w:rFonts w:ascii="Times New Roman" w:cs="Times New Roman" w:eastAsia="Times New Roman" w:hAnsi="Times New Roman"/>
                <w:sz w:val="18"/>
                <w:szCs w:val="18"/>
                <w:color w:val="0000EE"/>
              </w:rPr>
              <w:t>’</w:t>
            </w:r>
            <w:r>
              <w:rPr>
                <w:rFonts w:ascii="Arial" w:cs="Arial" w:eastAsia="Arial" w:hAnsi="Arial"/>
                <w:sz w:val="18"/>
                <w:szCs w:val="18"/>
                <w:color w:val="0000EE"/>
              </w:rPr>
              <w:t xml:space="preserve"> Equity for the three and nine</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months ended September 30, 2025 and 2024 (Unaudited)</w:t>
            </w:r>
          </w:p>
        </w:tc>
        <w:tc>
          <w:tcPr>
            <w:tcW w:w="360" w:type="dxa"/>
            <w:vAlign w:val="bottom"/>
            <w:gridSpan w:val="3"/>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Cash Flows for the nine months ended</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2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September 30, 2025 and 2024 (Unaudited)</w:t>
            </w:r>
          </w:p>
        </w:tc>
        <w:tc>
          <w:tcPr>
            <w:tcW w:w="2760" w:type="dxa"/>
            <w:vAlign w:val="bottom"/>
            <w:tcBorders>
              <w:top w:val="single" w:sz="8" w:color="0000EE"/>
            </w:tcBorders>
            <w:gridSpan w:val="6"/>
          </w:tcPr>
          <w:p>
            <w:pPr>
              <w:spacing w:after="0"/>
              <w:rPr>
                <w:sz w:val="15"/>
                <w:szCs w:val="15"/>
                <w:color w:val="auto"/>
              </w:rPr>
            </w:pPr>
          </w:p>
        </w:tc>
        <w:tc>
          <w:tcPr>
            <w:tcW w:w="680" w:type="dxa"/>
            <w:vAlign w:val="bottom"/>
            <w:gridSpan w:val="4"/>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Notes to Condensed Consolidated Financial Statements (Unaudited)</w:t>
            </w: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2.</w:t>
            </w:r>
          </w:p>
        </w:tc>
        <w:tc>
          <w:tcPr>
            <w:tcW w:w="760" w:type="dxa"/>
            <w:vAlign w:val="bottom"/>
            <w:gridSpan w:val="5"/>
          </w:tcPr>
          <w:p>
            <w:pPr>
              <w:spacing w:after="0"/>
              <w:rPr>
                <w:sz w:val="24"/>
                <w:szCs w:val="24"/>
                <w:color w:val="auto"/>
              </w:rPr>
            </w:pPr>
          </w:p>
        </w:tc>
        <w:tc>
          <w:tcPr>
            <w:tcW w:w="61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Management</w:t>
            </w:r>
            <w:r>
              <w:rPr>
                <w:rFonts w:ascii="Times New Roman" w:cs="Times New Roman" w:eastAsia="Times New Roman" w:hAnsi="Times New Roman"/>
                <w:sz w:val="18"/>
                <w:szCs w:val="18"/>
                <w:color w:val="0000EE"/>
                <w:w w:val="99"/>
              </w:rPr>
              <w:t>’</w:t>
            </w:r>
            <w:r>
              <w:rPr>
                <w:rFonts w:ascii="Arial" w:cs="Arial" w:eastAsia="Arial" w:hAnsi="Arial"/>
                <w:sz w:val="18"/>
                <w:szCs w:val="18"/>
                <w:color w:val="0000EE"/>
                <w:w w:val="99"/>
              </w:rPr>
              <w:t>s Discussion and Analysis of Financial Condition and Results of</w:t>
            </w:r>
          </w:p>
        </w:tc>
        <w:tc>
          <w:tcPr>
            <w:tcW w:w="82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Operations</w:t>
            </w:r>
          </w:p>
        </w:tc>
        <w:tc>
          <w:tcPr>
            <w:tcW w:w="5980" w:type="dxa"/>
            <w:vAlign w:val="bottom"/>
            <w:gridSpan w:val="19"/>
          </w:tcPr>
          <w:p>
            <w:pPr>
              <w:spacing w:after="0"/>
              <w:rPr>
                <w:sz w:val="17"/>
                <w:szCs w:val="17"/>
                <w:color w:val="auto"/>
              </w:rPr>
            </w:pPr>
          </w:p>
        </w:tc>
      </w:tr>
      <w:tr>
        <w:trPr>
          <w:trHeight w:val="385"/>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7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260" w:type="dxa"/>
            <w:vAlign w:val="bottom"/>
            <w:gridSpan w:val="9"/>
          </w:tcPr>
          <w:p>
            <w:pPr>
              <w:spacing w:after="0"/>
              <w:rPr>
                <w:sz w:val="24"/>
                <w:szCs w:val="24"/>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4.</w:t>
            </w:r>
          </w:p>
        </w:tc>
        <w:tc>
          <w:tcPr>
            <w:tcW w:w="760" w:type="dxa"/>
            <w:vAlign w:val="bottom"/>
            <w:gridSpan w:val="5"/>
          </w:tcPr>
          <w:p>
            <w:pPr>
              <w:spacing w:after="0"/>
              <w:rPr>
                <w:sz w:val="24"/>
                <w:szCs w:val="24"/>
                <w:color w:val="auto"/>
              </w:rPr>
            </w:pP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Controls and Procedures</w:t>
            </w:r>
          </w:p>
        </w:tc>
        <w:tc>
          <w:tcPr>
            <w:tcW w:w="5000" w:type="dxa"/>
            <w:vAlign w:val="bottom"/>
            <w:gridSpan w:val="12"/>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b w:val="1"/>
                <w:bCs w:val="1"/>
                <w:color w:val="0000EE"/>
              </w:rPr>
              <w:t>Part II</w:t>
            </w:r>
          </w:p>
        </w:tc>
        <w:tc>
          <w:tcPr>
            <w:tcW w:w="7000" w:type="dxa"/>
            <w:vAlign w:val="bottom"/>
            <w:gridSpan w:val="23"/>
          </w:tcPr>
          <w:p>
            <w:pPr>
              <w:spacing w:after="0"/>
              <w:rPr>
                <w:sz w:val="20"/>
                <w:szCs w:val="20"/>
                <w:color w:val="auto"/>
              </w:rPr>
            </w:pPr>
            <w:r>
              <w:rPr>
                <w:rFonts w:ascii="Arial" w:cs="Arial" w:eastAsia="Arial" w:hAnsi="Arial"/>
                <w:sz w:val="18"/>
                <w:szCs w:val="18"/>
                <w:b w:val="1"/>
                <w:bCs w:val="1"/>
                <w:color w:val="0000EE"/>
              </w:rPr>
              <w:t>Other Information</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15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Legal Proceedings</w:t>
            </w:r>
          </w:p>
        </w:tc>
        <w:tc>
          <w:tcPr>
            <w:tcW w:w="5480" w:type="dxa"/>
            <w:vAlign w:val="bottom"/>
            <w:gridSpan w:val="17"/>
          </w:tcPr>
          <w:p>
            <w:pPr>
              <w:spacing w:after="0"/>
              <w:rPr>
                <w:sz w:val="24"/>
                <w:szCs w:val="24"/>
                <w:color w:val="auto"/>
              </w:rPr>
            </w:pPr>
          </w:p>
        </w:tc>
      </w:tr>
      <w:tr>
        <w:trPr>
          <w:trHeight w:val="398"/>
        </w:trPr>
        <w:tc>
          <w:tcPr>
            <w:tcW w:w="660" w:type="dxa"/>
            <w:vAlign w:val="bottom"/>
            <w:gridSpan w:val="4"/>
          </w:tcPr>
          <w:p>
            <w:pPr>
              <w:spacing w:after="0"/>
              <w:rPr>
                <w:sz w:val="20"/>
                <w:szCs w:val="20"/>
                <w:color w:val="auto"/>
              </w:rPr>
            </w:pPr>
            <w:r>
              <w:rPr>
                <w:rFonts w:ascii="Arial" w:cs="Arial" w:eastAsia="Arial" w:hAnsi="Arial"/>
                <w:sz w:val="18"/>
                <w:szCs w:val="18"/>
                <w:color w:val="0000EE"/>
                <w:w w:val="95"/>
              </w:rPr>
              <w:t>Item 1A.</w:t>
            </w:r>
          </w:p>
        </w:tc>
        <w:tc>
          <w:tcPr>
            <w:tcW w:w="580" w:type="dxa"/>
            <w:vAlign w:val="bottom"/>
            <w:gridSpan w:val="3"/>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Risk Factors</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2.</w:t>
            </w:r>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48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2140" w:type="dxa"/>
            <w:vAlign w:val="bottom"/>
            <w:gridSpan w:val="8"/>
          </w:tcPr>
          <w:p>
            <w:pPr>
              <w:spacing w:after="0"/>
              <w:rPr>
                <w:sz w:val="24"/>
                <w:szCs w:val="24"/>
                <w:color w:val="auto"/>
              </w:rPr>
            </w:pPr>
          </w:p>
        </w:tc>
      </w:tr>
      <w:tr>
        <w:trPr>
          <w:trHeight w:val="399"/>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25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Defaults Upon Senior Securities</w:t>
            </w:r>
          </w:p>
        </w:tc>
        <w:tc>
          <w:tcPr>
            <w:tcW w:w="4440" w:type="dxa"/>
            <w:vAlign w:val="bottom"/>
            <w:gridSpan w:val="11"/>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Mine Safety Disclosures</w:t>
            </w:r>
          </w:p>
        </w:tc>
        <w:tc>
          <w:tcPr>
            <w:tcW w:w="5060" w:type="dxa"/>
            <w:vAlign w:val="bottom"/>
            <w:gridSpan w:val="13"/>
          </w:tcPr>
          <w:p>
            <w:pPr>
              <w:spacing w:after="0"/>
              <w:rPr>
                <w:sz w:val="24"/>
                <w:szCs w:val="24"/>
                <w:color w:val="auto"/>
              </w:rPr>
            </w:pPr>
          </w:p>
        </w:tc>
      </w:tr>
      <w:tr>
        <w:trPr>
          <w:trHeight w:val="398"/>
        </w:trPr>
        <w:tc>
          <w:tcPr>
            <w:tcW w:w="560" w:type="dxa"/>
            <w:vAlign w:val="bottom"/>
            <w:gridSpan w:val="3"/>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7000" w:type="dxa"/>
            <w:vAlign w:val="bottom"/>
            <w:gridSpan w:val="23"/>
          </w:tcPr>
          <w:p>
            <w:pPr>
              <w:spacing w:after="0"/>
              <w:rPr>
                <w:sz w:val="20"/>
                <w:szCs w:val="20"/>
                <w:color w:val="auto"/>
              </w:rPr>
            </w:pPr>
            <w:r>
              <w:rPr>
                <w:rFonts w:ascii="Arial" w:cs="Arial" w:eastAsia="Arial" w:hAnsi="Arial"/>
                <w:sz w:val="18"/>
                <w:szCs w:val="18"/>
                <w:color w:val="0000EE"/>
              </w:rPr>
              <w:t>Other Information</w:t>
            </w:r>
          </w:p>
        </w:tc>
      </w:tr>
      <w:tr>
        <w:trPr>
          <w:trHeight w:val="399"/>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79"/>
              </w:rPr>
              <w:t>Item 6.</w:t>
            </w:r>
          </w:p>
        </w:tc>
        <w:tc>
          <w:tcPr>
            <w:tcW w:w="8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3"/>
          </w:tcPr>
          <w:p>
            <w:pPr>
              <w:spacing w:after="0"/>
              <w:rPr>
                <w:sz w:val="24"/>
                <w:szCs w:val="24"/>
                <w:color w:val="auto"/>
              </w:rPr>
            </w:pPr>
          </w:p>
        </w:tc>
        <w:tc>
          <w:tcPr>
            <w:tcW w:w="5600" w:type="dxa"/>
            <w:vAlign w:val="bottom"/>
            <w:gridSpan w:val="18"/>
          </w:tcPr>
          <w:p>
            <w:pPr>
              <w:spacing w:after="0"/>
              <w:rPr>
                <w:sz w:val="24"/>
                <w:szCs w:val="24"/>
                <w:color w:val="auto"/>
              </w:rPr>
            </w:pPr>
          </w:p>
        </w:tc>
      </w:tr>
      <w:tr>
        <w:trPr>
          <w:trHeight w:val="398"/>
        </w:trPr>
        <w:tc>
          <w:tcPr>
            <w:tcW w:w="1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Exhibit Index</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color w:val="0000EE"/>
              </w:rPr>
              <w:t>Signatures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4"/>
        </w:trPr>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13"/>
          </w:tcPr>
          <w:p>
            <w:pPr>
              <w:ind w:left="316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19</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29</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2">
            <w:col w:w="8280" w:space="300"/>
            <w:col w:w="43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1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financial results and financial position, clinical trial results, prospective products, product approvals, research and development costs, timing and likelihood of success, and the plans and objectives of management for future operations.</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2024, which are summarized below, as updated in Part II, Item 1A. “Risk Factors” in this Quarterly Report on Form 10-Q. Moreover, we operate in an evolving environment. New risk factors and uncertainties may emerge from time to time, and it is not possible for management to predict all risk factors and uncertainties.</w:t>
      </w:r>
    </w:p>
    <w:p>
      <w:pPr>
        <w:spacing w:after="0" w:line="18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9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our Annual Report on Form 10-K for the year ended December 31, 2024,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176"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6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(one of whom is affiliated with one of our principal stockholders) own a significant percentage of our stock and will be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83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6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must continue to demonstrate to physicians and patients the merits of Barostim;</w:t>
      </w:r>
    </w:p>
    <w:p>
      <w:pPr>
        <w:spacing w:after="0" w:line="116" w:lineRule="exact"/>
        <w:rPr>
          <w:rFonts w:ascii="Times New Roman" w:cs="Times New Roman" w:eastAsia="Times New Roman" w:hAnsi="Times New Roman"/>
          <w:sz w:val="18"/>
          <w:szCs w:val="18"/>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payers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67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8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68"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12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could adversely affect our business;</w:t>
      </w:r>
    </w:p>
    <w:p>
      <w:pPr>
        <w:spacing w:after="0" w:line="46"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effectiveness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1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6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85,124</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105,933</w:t>
            </w: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$871 and $780, respectively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8,209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9,268</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12,107</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107,890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129,813</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2,446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111,325</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133,414</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3,628</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196"/>
        </w:trPr>
        <w:tc>
          <w:tcPr>
            <w:tcW w:w="660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11,218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49,453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49,273</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63,271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62,359</w:t>
            </w:r>
          </w:p>
        </w:tc>
        <w:tc>
          <w:tcPr>
            <w:tcW w:w="0" w:type="dxa"/>
            <w:vAlign w:val="bottom"/>
          </w:tcPr>
          <w:p>
            <w:pPr>
              <w:spacing w:after="0"/>
              <w:rPr>
                <w:sz w:val="1"/>
                <w:szCs w:val="1"/>
                <w:color w:val="auto"/>
              </w:rPr>
            </w:pPr>
          </w:p>
        </w:tc>
      </w:tr>
      <w:tr>
        <w:trPr>
          <w:trHeight w:val="183"/>
        </w:trPr>
        <w:tc>
          <w:tcPr>
            <w:tcW w:w="6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Commitments and contingencies (Note 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Common stock, $0.01 par value, 200,000,000 authorized as of</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2025 and December 31, 2024; 26,193,733 and 25,324,684 shares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and outstanding as of September 30, 2025 and December 31, 2024,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626,714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608,354</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(578,718)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(537,346)</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48,054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71,055</w:t>
            </w:r>
          </w:p>
        </w:tc>
        <w:tc>
          <w:tcPr>
            <w:tcW w:w="0" w:type="dxa"/>
            <w:vAlign w:val="bottom"/>
          </w:tcPr>
          <w:p>
            <w:pPr>
              <w:spacing w:after="0"/>
              <w:rPr>
                <w:sz w:val="1"/>
                <w:szCs w:val="1"/>
                <w:color w:val="auto"/>
              </w:rPr>
            </w:pPr>
          </w:p>
        </w:tc>
      </w:tr>
      <w:tr>
        <w:trPr>
          <w:trHeight w:val="196"/>
        </w:trPr>
        <w:tc>
          <w:tcPr>
            <w:tcW w:w="660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111,325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133,414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Nine months ended</w:t>
            </w:r>
          </w:p>
        </w:tc>
      </w:tr>
      <w:tr>
        <w:trPr>
          <w:trHeight w:val="178"/>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3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40,627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35,950</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6,112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5,763</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12,753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11,125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34,515</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30,187</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8,326</w:t>
            </w:r>
          </w:p>
        </w:tc>
      </w:tr>
      <w:tr>
        <w:trPr>
          <w:trHeight w:val="203"/>
        </w:trPr>
        <w:tc>
          <w:tcPr>
            <w:tcW w:w="36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21,875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21,632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66,464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71,077</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25,021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24,136</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74,596</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79,403</w:t>
            </w:r>
          </w:p>
        </w:tc>
      </w:tr>
      <w:tr>
        <w:trPr>
          <w:trHeight w:val="196"/>
        </w:trPr>
        <w:tc>
          <w:tcPr>
            <w:tcW w:w="360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(12,268)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(13,011)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(40,081)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(49,216)</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(2,877)</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2,905</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(13,052)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(41,383)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(49,188)</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(41,372)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(49,314)</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(12,871)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(41,370)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(49,315)</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(0.49)</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(0.57)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(2.25)</w:t>
            </w:r>
          </w:p>
        </w:tc>
      </w:tr>
      <w:tr>
        <w:trPr>
          <w:trHeight w:val="184"/>
        </w:trPr>
        <w:tc>
          <w:tcPr>
            <w:tcW w:w="3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 net loss per share, basic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1"/>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26,168,562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22,783,337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26,039,718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21,884,588</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68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4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vMerge w:val="continue"/>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8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1"/>
                <w:szCs w:val="11"/>
                <w:color w:val="auto"/>
              </w:rPr>
            </w:pPr>
          </w:p>
        </w:tc>
        <w:tc>
          <w:tcPr>
            <w:tcW w:w="680" w:type="dxa"/>
            <w:vAlign w:val="bottom"/>
          </w:tcPr>
          <w:p>
            <w:pPr>
              <w:jc w:val="center"/>
              <w:ind w:right="9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June 30, 2025</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26,145,951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623,724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(565,848)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(203)</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57,934</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47,782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147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2,888</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three months ended September 30, 2025</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(12,870)</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(12,870)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2025</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26,193,733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626,714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(578,718)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48,054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June 30, 2024</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21,712,357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568,837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(513,596)</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55,248</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132,526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727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2,358,775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19,600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19,624</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three months ended September 30, 2024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(13,099)</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(13,099)</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2024</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24,203,658</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591,844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(526,695)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65,183</w:t>
            </w:r>
          </w:p>
        </w:tc>
        <w:tc>
          <w:tcPr>
            <w:tcW w:w="0" w:type="dxa"/>
            <w:vAlign w:val="bottom"/>
          </w:tcPr>
          <w:p>
            <w:pPr>
              <w:spacing w:after="0"/>
              <w:rPr>
                <w:sz w:val="1"/>
                <w:szCs w:val="1"/>
                <w:color w:val="auto"/>
              </w:rPr>
            </w:pPr>
          </w:p>
        </w:tc>
      </w:tr>
      <w:tr>
        <w:trPr>
          <w:trHeight w:val="678"/>
        </w:trPr>
        <w:tc>
          <w:tcPr>
            <w:tcW w:w="3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24"/>
                <w:szCs w:val="24"/>
                <w:color w:val="auto"/>
              </w:rPr>
            </w:pPr>
          </w:p>
        </w:tc>
        <w:tc>
          <w:tcPr>
            <w:tcW w:w="68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4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vMerge w:val="continue"/>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8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1"/>
                <w:szCs w:val="11"/>
                <w:color w:val="auto"/>
              </w:rPr>
            </w:pPr>
          </w:p>
        </w:tc>
        <w:tc>
          <w:tcPr>
            <w:tcW w:w="680" w:type="dxa"/>
            <w:vAlign w:val="bottom"/>
          </w:tcPr>
          <w:p>
            <w:pPr>
              <w:jc w:val="center"/>
              <w:ind w:right="9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December 31, 2024</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25,324,684</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253</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608,354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(537,346)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71,055</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253,645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594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71,942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8,259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8,259</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543,462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9,147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9,153</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Net loss for the nine months ended September 30, 2025</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(41,372)</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(41,372)</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35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2025</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26,193,733</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262</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626,714</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(578,718)</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(204)</w:t>
            </w:r>
          </w:p>
        </w:tc>
        <w:tc>
          <w:tcPr>
            <w:tcW w:w="1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48,054</w:t>
            </w:r>
          </w:p>
        </w:tc>
        <w:tc>
          <w:tcPr>
            <w:tcW w:w="0" w:type="dxa"/>
            <w:vAlign w:val="bottom"/>
          </w:tcPr>
          <w:p>
            <w:pPr>
              <w:spacing w:after="0"/>
              <w:rPr>
                <w:sz w:val="1"/>
                <w:szCs w:val="1"/>
                <w:color w:val="auto"/>
              </w:rPr>
            </w:pPr>
          </w:p>
        </w:tc>
      </w:tr>
      <w:tr>
        <w:trPr>
          <w:trHeight w:val="115"/>
        </w:trPr>
        <w:tc>
          <w:tcPr>
            <w:tcW w:w="35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Balances as of December 31, 2023</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20,879,199</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209</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553,326</w:t>
            </w:r>
          </w:p>
        </w:tc>
        <w:tc>
          <w:tcPr>
            <w:tcW w:w="14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(477,381)</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(207)</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75,947</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298,513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39,807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406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16,365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16,365</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2,382,139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20,146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20,170</w:t>
            </w:r>
          </w:p>
        </w:tc>
        <w:tc>
          <w:tcPr>
            <w:tcW w:w="0" w:type="dxa"/>
            <w:vAlign w:val="bottom"/>
          </w:tcPr>
          <w:p>
            <w:pPr>
              <w:spacing w:after="0"/>
              <w:rPr>
                <w:sz w:val="1"/>
                <w:szCs w:val="1"/>
                <w:color w:val="auto"/>
              </w:rPr>
            </w:pPr>
          </w:p>
        </w:tc>
      </w:tr>
      <w:tr>
        <w:trPr>
          <w:trHeight w:val="117"/>
        </w:trPr>
        <w:tc>
          <w:tcPr>
            <w:tcW w:w="356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Issuance of common stock upon net exercise of common</w:t>
            </w: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604,000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Net loss for the nine months ended September 30, 2024</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(49,314)</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(49,314)</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35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2024</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24,203,658</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242</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591,844</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(526,695)</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65,183</w:t>
            </w:r>
          </w:p>
        </w:tc>
        <w:tc>
          <w:tcPr>
            <w:tcW w:w="0" w:type="dxa"/>
            <w:vAlign w:val="bottom"/>
          </w:tcPr>
          <w:p>
            <w:pPr>
              <w:spacing w:after="0"/>
              <w:rPr>
                <w:sz w:val="1"/>
                <w:szCs w:val="1"/>
                <w:color w:val="auto"/>
              </w:rPr>
            </w:pPr>
          </w:p>
        </w:tc>
      </w:tr>
      <w:tr>
        <w:trPr>
          <w:trHeight w:val="129"/>
        </w:trPr>
        <w:tc>
          <w:tcPr>
            <w:tcW w:w="35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2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(41,372)</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(49,314)</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8,259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16,365</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r>
      <w:tr>
        <w:trPr>
          <w:trHeight w:val="202"/>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(1,482)</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(909)</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1,392</w:t>
            </w:r>
          </w:p>
        </w:tc>
      </w:tr>
      <w:tr>
        <w:trPr>
          <w:trHeight w:val="203"/>
        </w:trPr>
        <w:tc>
          <w:tcPr>
            <w:tcW w:w="62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1,987</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(30,412)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(31,136)</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(1,309)</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(1,309)</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1,610</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9,153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20,170</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debt financing</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Debt financing costs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10,110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42,036</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9,592</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105,933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90,569</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85,124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100,161</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3,816</w:t>
            </w: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2,456</w:t>
            </w:r>
          </w:p>
        </w:tc>
      </w:tr>
      <w:tr>
        <w:trPr>
          <w:trHeight w:val="239"/>
        </w:trPr>
        <w:tc>
          <w:tcPr>
            <w:tcW w:w="62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6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180"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The condensed consolidated financial statements include the accounts of CVRx, Inc. and its wholly owned subsidiary, CVRx Switzerland LLC. All intercompany balances and transactions have been eliminated in consolidation.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September 30, 2025 and December 31, 2024, cash equivalents consisted of money market funds, which are stated at cost and approximate fair value. Additionally, as of September 30, 2025 and December 31, 2024, a majority of our cash and cash equivalents were maintained with two financial institutions in the U.S., and our current deposits are likely in excess of insured limits.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We regularly review inventory quantities based on actual loss experiences, projected future demand and remaining shelf life to record a provision for excess and obsolete inventory when appropriate.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spacing w:after="0" w:line="16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Accounting Standards Codification (“ASC”) Topic 606, Revenue from Contracts with Customers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and the fair value of restricted stock units (“RSUs”) is equal to the closing price of our common stock on the grant date. 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which requires public business entities to disclose specific categories in the rate reconciliation and provide additional information for reconciling items that meet a quantitative threshold. ASU 2023-09 is effective for annual periods beginning after December 15, 2024. This ASU will be effective for our annual period ending December 31, 2025. We are evaluating the impact of this new guidance on our income tax disclosures.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8,123</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3,132</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4,897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11,394</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12,107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5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6,424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is determined using the straight-line method over the estimated useful lives of the respective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assets, generally three to five years. Leasehold improvements are amortized on a straight-line basis over the</w:t>
      </w:r>
    </w:p>
    <w:p>
      <w:pPr>
        <w:ind w:left="60"/>
        <w:spacing w:after="0" w:line="234" w:lineRule="auto"/>
        <w:rPr>
          <w:sz w:val="20"/>
          <w:szCs w:val="20"/>
          <w:color w:val="auto"/>
        </w:rPr>
      </w:pPr>
      <w:r>
        <w:rPr>
          <w:rFonts w:ascii="Arial" w:cs="Arial" w:eastAsia="Arial" w:hAnsi="Arial"/>
          <w:sz w:val="18"/>
          <w:szCs w:val="18"/>
          <w:color w:val="auto"/>
        </w:rPr>
        <w:t>shorter of their estimated useful lives or the term of the lease. Depreciation expense was $194,000 and</w:t>
      </w:r>
    </w:p>
    <w:p>
      <w:pPr>
        <w:ind w:left="60"/>
        <w:spacing w:after="0" w:line="235" w:lineRule="auto"/>
        <w:rPr>
          <w:sz w:val="20"/>
          <w:szCs w:val="20"/>
          <w:color w:val="auto"/>
        </w:rPr>
      </w:pPr>
      <w:r>
        <w:rPr>
          <w:rFonts w:ascii="Arial" w:cs="Arial" w:eastAsia="Arial" w:hAnsi="Arial"/>
          <w:sz w:val="18"/>
          <w:szCs w:val="18"/>
          <w:color w:val="auto"/>
        </w:rPr>
        <w:t>$169,000 for the three months ended September 30, 2025 and 2024, respectively, and $571,000 and $441,000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nine months ended September 30, 2025 and 2024, respectively.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2024</w:t>
            </w:r>
          </w:p>
        </w:tc>
      </w:tr>
      <w:tr>
        <w:trPr>
          <w:trHeight w:val="196"/>
        </w:trPr>
        <w:tc>
          <w:tcPr>
            <w:tcW w:w="65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Bonuses</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3,523</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3,621</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401(k) match</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1,106</w:t>
            </w:r>
          </w:p>
        </w:tc>
      </w:tr>
      <w:tr>
        <w:trPr>
          <w:trHeight w:val="203"/>
        </w:trPr>
        <w:tc>
          <w:tcPr>
            <w:tcW w:w="6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r>
      <w:tr>
        <w:trPr>
          <w:trHeight w:val="203"/>
        </w:trPr>
        <w:tc>
          <w:tcPr>
            <w:tcW w:w="6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Taxes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203"/>
        </w:trPr>
        <w:tc>
          <w:tcPr>
            <w:tcW w:w="6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Clinical trial and other professional fees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r>
      <w:tr>
        <w:trPr>
          <w:trHeight w:val="203"/>
        </w:trPr>
        <w:tc>
          <w:tcPr>
            <w:tcW w:w="674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611</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757</w:t>
            </w:r>
          </w:p>
        </w:tc>
      </w:tr>
      <w:tr>
        <w:trPr>
          <w:trHeight w:val="196"/>
        </w:trPr>
        <w:tc>
          <w:tcPr>
            <w:tcW w:w="6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7,590</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8,180</w:t>
            </w:r>
          </w:p>
        </w:tc>
      </w:tr>
      <w:tr>
        <w:trPr>
          <w:trHeight w:val="20"/>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1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October 31, 2022, we entered into a Loan and Security Agreement (the “Loan Agreement”) with Innovatus Life Sciences Fund I, LP, as the collateral agent and a lender, allowing us to borrow, subject to our achievement of certain milestones, up to a total of $50.0 million in a series of term loans (collectively, the “Term Loans”). We had $50.0 million in outstanding Term Loans under the Loan Agreement as of September 30, 2025. The Loan Agreement initially requires interest only payments through November 2027, followed by three monthly principal and interest payments, of which a principal payment of $16.7 million is due in December 2027 and two principal payments of $16.7 million each are due in January 2028. A final payment of $2.3 million, equal to 4.5% of the funded amount, is due in January 2028. The Term Loans bear interest at a floating rate per annum equal to the sum of (a) the greater of (i) the prime rate and (ii) 5.50%; plus (b) 2.65%. The Term Loans are secured by substantially all of our personal property. A performance covenant took effect upon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September 30, 2025.</w:t>
      </w:r>
    </w:p>
    <w:p>
      <w:pPr>
        <w:spacing w:after="0" w:line="172"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connection with the Loan Agreement, we recorded $1.1 million of debt issuance costs and discounts as a reduction of long-term debt.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2025</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3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3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520" w:type="dxa"/>
            <w:vAlign w:val="bottom"/>
            <w:vMerge w:val="restart"/>
          </w:tcPr>
          <w:p>
            <w:pPr>
              <w:jc w:val="right"/>
              <w:ind w:right="28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39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9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lease 35,183 square feet of office space in Minneapolis, Minnesota, which houses our principal executive offices and our manufacturing facility. We lease this space under an operating lease agreement that commenced December 1, 2008, which has been amended to expand the leased space and extend the term of the lease, which expires August 31, 2028. Most recently, on May 20, 2025, we expanded our existing office space with an additional 3,678 square feet of property adjacent to our principal executive offices and our manufacturing facility. The term on this expanded property is for 39 consecutive months and runs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spacing w:after="0" w:line="186"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6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2024</w:t>
            </w: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1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196"/>
        </w:trPr>
        <w:tc>
          <w:tcPr>
            <w:tcW w:w="67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w:t>
            </w: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our lease liability for our operating lease are as follows as of September 30, 2025:</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12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2025</w:t>
            </w:r>
          </w:p>
        </w:tc>
      </w:tr>
      <w:tr>
        <w:trPr>
          <w:trHeight w:val="196"/>
        </w:trPr>
        <w:tc>
          <w:tcPr>
            <w:tcW w:w="72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2025</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r>
      <w:tr>
        <w:trPr>
          <w:trHeight w:val="203"/>
        </w:trPr>
        <w:tc>
          <w:tcPr>
            <w:tcW w:w="7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72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w:t>
            </w:r>
          </w:p>
        </w:tc>
      </w:tr>
      <w:tr>
        <w:trPr>
          <w:trHeight w:val="196"/>
        </w:trPr>
        <w:tc>
          <w:tcPr>
            <w:tcW w:w="74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1,188</w:t>
            </w:r>
          </w:p>
        </w:tc>
      </w:tr>
      <w:tr>
        <w:trPr>
          <w:trHeight w:val="203"/>
        </w:trPr>
        <w:tc>
          <w:tcPr>
            <w:tcW w:w="74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w:t>
            </w:r>
          </w:p>
        </w:tc>
      </w:tr>
      <w:tr>
        <w:trPr>
          <w:trHeight w:val="196"/>
        </w:trPr>
        <w:tc>
          <w:tcPr>
            <w:tcW w:w="74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1,072</w:t>
            </w:r>
          </w:p>
        </w:tc>
      </w:tr>
      <w:tr>
        <w:trPr>
          <w:trHeight w:val="20"/>
        </w:trPr>
        <w:tc>
          <w:tcPr>
            <w:tcW w:w="7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As of September 30, 2025, the remaining lease term was 2.9 years, and the weighted average discount rate was 7.1%. The operating cash outflows from our operating lease were $0.5 million and $0.4 million for the nine months ended September 30, 2025 and 2024.</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12"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We had common stock warrants exercisable for 102,718 shares of common stock upon conversion at a weighted average exercise price of $12.66 per share outstanding and 103,349 shares of common stock upon conversion at a weighted average exercise price of $12.92 per share outstanding at September 30, 2025 and December 31, 2024, respectively. Johnson &amp; Johnson Innovation – JJDC, Inc. had common stock warrants exercisable for 607,725 shares of our common stock with an exercise price of $0.16 per share that were all exercised through a net exercise transaction for 604,000 shares of common stock during the nine months ended September 30, 2024.</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At-the-Market (“ATM”) Offering</w:t>
      </w:r>
    </w:p>
    <w:p>
      <w:pPr>
        <w:spacing w:after="0" w:line="21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January 2024, we commenced an ATM offering, which allows us to issue and sell shares of our common stock having an aggregate offering price of up to $50.0 million. We issued 543,462 shares of common stock for gross proceeds of $ 9.5 million under the ATM offering during the nine months ended September 30, 2025. On November 4, 2025, we and the agent mutually agreed to terminate the Equity Distribution Agreement for the ATM, effective on November 6, 2025. In connection with the filing of this Quarterly Report on Form 10-Q, we expect to file a new registration statement on Form S-3 to replace our existing registration statement on Form S-3 that is scheduled to expire on November 15, 2025 and subsequently enter into a new sales agreement to permit continued ATM offering activity in the future.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our common stock outstanding on the last day of the calendar month before the date of each automatic increase, or such lesser number of shares as determined by the Board of Directors. The annual increase resulted in an additional 1,266,234 shares being reserved for issuance under the 2021 Plan as of January 1, 2025.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granted under the 2001 Plan following the adoption of the 2021 Plan. As of September 30, 2025, there were 1,407,814 shares available for future issuance under the 2021 Plan.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Options are granted at exercise prices not less than the fair market value of our common stock on the date of grant. Prior to our initial public offering (the “IPO”), the fair market value of our common stock was determined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by our Board of Directors, and following our IPO, the fair market value of our common stock is based on the closing price of our common stock on the date of grant.</w:t>
      </w:r>
    </w:p>
    <w:p>
      <w:pPr>
        <w:spacing w:after="0" w:line="14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years 2008 through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8"/>
                <w:szCs w:val="18"/>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8"/>
                <w:szCs w:val="18"/>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6"/>
                <w:szCs w:val="16"/>
                <w:color w:val="auto"/>
              </w:rPr>
            </w:pPr>
          </w:p>
        </w:tc>
        <w:tc>
          <w:tcPr>
            <w:tcW w:w="92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5,550,419</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18,771</w:t>
            </w: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1,020,722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 / Forfeited</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(371,022)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(253,645)</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as of September 30, 2025</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5,946,474</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11.99</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4,213</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6"/>
                <w:szCs w:val="16"/>
                <w:color w:val="auto"/>
              </w:rPr>
              <w:t>Options exercisable as of September 30, 2025</w:t>
            </w: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11.09</w:t>
            </w: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3,585,400</w:t>
            </w:r>
          </w:p>
        </w:tc>
        <w:tc>
          <w:tcPr>
            <w:tcW w:w="2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3,820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As of September 30, 2025, stock options outstanding included 4,402 options that were not granted under the 2001 Plan or the 2021 Plan. For options outstanding as of September 30, 2025, the weighted average remaining contractual life was 6.8 years. For options exercisable as of September 30, 2025, the weighted average remaining contractual life was 5.6 years. As of September 30, 2025, unrecognized compensation expense related to unvested stock-based compensation arrangements for stock options was $20.8 million. As of September 30, 2025, the related weighted average period over which the expense is expected to be recognized is approximately 2.6 years.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RSUs are share awards that entitle the holder to receive freely tradable shares of our common stock upon vesting. The RSUs cannot be transferred and the awards are subject to forfeiture if the holder’s service terminates prior to vesting other than for death, disability, or other qualifying terminations.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RSU activity:</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8"/>
                <w:szCs w:val="18"/>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Aggregate</w:t>
            </w: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8"/>
                <w:szCs w:val="18"/>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Intrinsic</w:t>
            </w:r>
          </w:p>
        </w:tc>
      </w:tr>
      <w:tr>
        <w:trPr>
          <w:trHeight w:val="191"/>
        </w:trPr>
        <w:tc>
          <w:tcPr>
            <w:tcW w:w="52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92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5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(in thousands)</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2024</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359,828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Cancelled / Forfeited</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(8,190)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3"/>
        </w:trPr>
        <w:tc>
          <w:tcPr>
            <w:tcW w:w="520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Unvested Balance as of September 30, 2025</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351,638</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12.55</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2,838</w:t>
            </w: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The aggregate intrinsic value of unvested RSUs is based on our closing stock price on the last trading day of the period. No RSUs were vested as of September 30, 2025. As of September 30, 2025, the unrecognized compensation expense related to unvested stock-based compensation arrangements for RSUs was $3.8</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million. As of September 30, 2025, the related weighted average period over which the expense is expected to be recognized is approximately 3.4 years.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 date of each automatic increase, or such lesser number of shares as determined by the Board of Directors. The annual increase resulted in an additional 253,246 shares being reserved for issuance under the ESPP as of January 1, 2025.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nine months ended September 30, 2025, 71,942 shares of common stock were purchased under the ESPP for $0.4 million of employee contributions. As of September 30, 2025, there were 814,111 shares available for issuance under the ESPP.</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use the Black-Scholes option pricing model to determine the fair value of stock options and ESPP purchase rights on the grant date. The fair value of RSUs is determined based on the closing stock price of our common stock on the grant date. We measure stock-based compensation expense based on the grant date fair value of the award and recognize compensation expense over the requisite service period, which is generally the vesting period for stock options and RSUs, and the offering period for ESPP purchase rights. The amount of stock-based compensation expense recognized for stock option and RSU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spacing w:after="0" w:line="183"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following table provides the weighted average fair value of options granted to employees and the related assumptions used in the Black-Scholes option pricing model for the nine months ended September 30, 2025 and 2024: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5"/>
        </w:trPr>
        <w:tc>
          <w:tcPr>
            <w:tcW w:w="58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10.31</w:t>
            </w:r>
          </w:p>
        </w:tc>
        <w:tc>
          <w:tcPr>
            <w:tcW w:w="160" w:type="dxa"/>
            <w:vAlign w:val="bottom"/>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34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5.5 to 6.1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 to 6.1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 to 6.1</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Expected volatility</w:t>
            </w:r>
          </w:p>
        </w:tc>
        <w:tc>
          <w:tcPr>
            <w:tcW w:w="4380" w:type="dxa"/>
            <w:vAlign w:val="bottom"/>
          </w:tcPr>
          <w:p>
            <w:pPr>
              <w:jc w:val="right"/>
              <w:spacing w:after="0"/>
              <w:rPr>
                <w:sz w:val="20"/>
                <w:szCs w:val="20"/>
                <w:color w:val="auto"/>
              </w:rPr>
            </w:pPr>
            <w:r>
              <w:rPr>
                <w:rFonts w:ascii="Arial" w:cs="Arial" w:eastAsia="Arial" w:hAnsi="Arial"/>
                <w:sz w:val="18"/>
                <w:szCs w:val="18"/>
                <w:color w:val="auto"/>
              </w:rPr>
              <w:t>95.0% to 103.1 %</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87.7% to 98.6 %</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39"/>
        </w:trPr>
        <w:tc>
          <w:tcPr>
            <w:tcW w:w="3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380" w:type="dxa"/>
            <w:vAlign w:val="bottom"/>
          </w:tcPr>
          <w:p>
            <w:pPr>
              <w:jc w:val="right"/>
              <w:spacing w:after="0"/>
              <w:rPr>
                <w:sz w:val="20"/>
                <w:szCs w:val="20"/>
                <w:color w:val="auto"/>
              </w:rPr>
            </w:pPr>
            <w:r>
              <w:rPr>
                <w:rFonts w:ascii="Arial" w:cs="Arial" w:eastAsia="Arial" w:hAnsi="Arial"/>
                <w:sz w:val="18"/>
                <w:szCs w:val="18"/>
                <w:color w:val="auto"/>
              </w:rPr>
              <w:t>3.92% to 4.47 %</w:t>
            </w:r>
          </w:p>
        </w:tc>
        <w:tc>
          <w:tcPr>
            <w:tcW w:w="1400" w:type="dxa"/>
            <w:vAlign w:val="bottom"/>
          </w:tcPr>
          <w:p>
            <w:pPr>
              <w:jc w:val="right"/>
              <w:spacing w:after="0"/>
              <w:rPr>
                <w:sz w:val="20"/>
                <w:szCs w:val="20"/>
                <w:color w:val="auto"/>
              </w:rPr>
            </w:pPr>
            <w:r>
              <w:rPr>
                <w:rFonts w:ascii="Arial" w:cs="Arial" w:eastAsia="Arial" w:hAnsi="Arial"/>
                <w:sz w:val="18"/>
                <w:szCs w:val="18"/>
                <w:color w:val="auto"/>
              </w:rPr>
              <w:t>3.67% to 4.71 %</w:t>
            </w:r>
          </w:p>
        </w:tc>
        <w:tc>
          <w:tcPr>
            <w:tcW w:w="20" w:type="dxa"/>
            <w:vAlign w:val="bottom"/>
          </w:tcPr>
          <w:p>
            <w:pPr>
              <w:spacing w:after="0"/>
              <w:rPr>
                <w:sz w:val="20"/>
                <w:szCs w:val="20"/>
                <w:color w:val="auto"/>
              </w:rPr>
            </w:pPr>
          </w:p>
        </w:tc>
      </w:tr>
      <w:tr>
        <w:trPr>
          <w:trHeight w:val="818"/>
        </w:trPr>
        <w:tc>
          <w:tcPr>
            <w:tcW w:w="3120" w:type="dxa"/>
            <w:vAlign w:val="bottom"/>
          </w:tcPr>
          <w:p>
            <w:pPr>
              <w:spacing w:after="0"/>
              <w:rPr>
                <w:sz w:val="24"/>
                <w:szCs w:val="24"/>
                <w:color w:val="auto"/>
              </w:rPr>
            </w:pPr>
          </w:p>
        </w:tc>
        <w:tc>
          <w:tcPr>
            <w:tcW w:w="4380" w:type="dxa"/>
            <w:vAlign w:val="bottom"/>
          </w:tcPr>
          <w:p>
            <w:pPr>
              <w:jc w:val="right"/>
              <w:ind w:right="2850"/>
              <w:spacing w:after="0"/>
              <w:rPr>
                <w:sz w:val="20"/>
                <w:szCs w:val="20"/>
                <w:color w:val="auto"/>
              </w:rPr>
            </w:pPr>
            <w:r>
              <w:rPr>
                <w:rFonts w:ascii="Arial" w:cs="Arial" w:eastAsia="Arial" w:hAnsi="Arial"/>
                <w:sz w:val="18"/>
                <w:szCs w:val="18"/>
                <w:color w:val="auto"/>
              </w:rPr>
              <w:t>16</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1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The following table provides the weighted average fair value of ESPP purchase rights and the related assumptions used in the Black-Scholes option pricing model for the nine months ended September 30, 2025 and 2024:</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7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r>
      <w:tr>
        <w:trPr>
          <w:trHeight w:val="196"/>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fair value per ESPP purchase right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7"/>
                <w:szCs w:val="17"/>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 xml:space="preserve">Expected term (in years)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112.3% to 133.4 %</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74.0% to 96.9 %</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 to 4.29 %</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5.24% to 5.37 %</w:t>
            </w:r>
          </w:p>
        </w:tc>
      </w:tr>
    </w:tbl>
    <w:p>
      <w:pPr>
        <w:spacing w:after="0" w:line="18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review these assumptions on a periodic basis and adjust them, as necessary. We utilize the simplified method to develop the estimate of the expected term for stock option awards and ESPP purchase rights. The expected volatility is based upon our historical stock price.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spacing w:after="0" w:line="176"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5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40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2,459</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7,269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16,063</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RSUs</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2,888</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8,259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16,365</w:t>
            </w:r>
          </w:p>
        </w:tc>
        <w:tc>
          <w:tcPr>
            <w:tcW w:w="0" w:type="dxa"/>
            <w:vAlign w:val="bottom"/>
          </w:tcPr>
          <w:p>
            <w:pPr>
              <w:spacing w:after="0"/>
              <w:rPr>
                <w:sz w:val="1"/>
                <w:szCs w:val="1"/>
                <w:color w:val="auto"/>
              </w:rPr>
            </w:pPr>
          </w:p>
        </w:tc>
      </w:tr>
      <w:tr>
        <w:trPr>
          <w:trHeight w:val="156"/>
        </w:trPr>
        <w:tc>
          <w:tcPr>
            <w:tcW w:w="5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2,534</w:t>
            </w:r>
          </w:p>
        </w:tc>
        <w:tc>
          <w:tcPr>
            <w:tcW w:w="1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2,379</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7,399</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15,412</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16,365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On January 30, 2024, we amended the terms and conditions of certain stock option award agreements granted under the 2001 Plan and 2021 Plan between us and our former Chief Executive Officer in connection with his retirement, which occurred on February 11, 2024. The option agreements were amended to provide that, if not already vested at the time of termination of his employment due to retirement, the options will continue to vest on the previously scheduled vesting dates following his retirement, subject to his compliance with certain covenants. Additionally, the option agreements were modified so that the options may be exercised, to the extent vested, by our former Chief Executive Officer until the earlier of (a) five years following his retirement date, or (b) the applicable option expiration date. The modification of these option awards resulted in an additional $8.4 million of non-cash stock-based compensation expense recognized during the nine months ended September 30, 2024.</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September 30, 2025 and December 31, 2024, a valuation allowance was recorded against all deferred tax</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assets due to our cumulative net loss position. Benefit for income taxes for the three months ended September</w:t>
      </w:r>
    </w:p>
    <w:p>
      <w:pPr>
        <w:ind w:left="60"/>
        <w:spacing w:after="0" w:line="234" w:lineRule="auto"/>
        <w:rPr>
          <w:sz w:val="20"/>
          <w:szCs w:val="20"/>
          <w:color w:val="auto"/>
        </w:rPr>
      </w:pPr>
      <w:r>
        <w:rPr>
          <w:rFonts w:ascii="Arial" w:cs="Arial" w:eastAsia="Arial" w:hAnsi="Arial"/>
          <w:sz w:val="18"/>
          <w:szCs w:val="18"/>
          <w:color w:val="auto"/>
        </w:rPr>
        <w:t>30, 2025 was $3,000 and provision for income taxes for the three months ended September 30, 2024 was</w:t>
      </w:r>
    </w:p>
    <w:p>
      <w:pPr>
        <w:ind w:left="60"/>
        <w:spacing w:after="0" w:line="235" w:lineRule="auto"/>
        <w:rPr>
          <w:sz w:val="20"/>
          <w:szCs w:val="20"/>
          <w:color w:val="auto"/>
        </w:rPr>
      </w:pPr>
      <w:r>
        <w:rPr>
          <w:rFonts w:ascii="Arial" w:cs="Arial" w:eastAsia="Arial" w:hAnsi="Arial"/>
          <w:sz w:val="18"/>
          <w:szCs w:val="18"/>
          <w:color w:val="auto"/>
        </w:rPr>
        <w:t>$47,000. Benefit for income taxes for the nine months ended September 30, 2025 was $11,000 and provision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income taxes for the nine months ended September 30, 2024 was $126,000.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of December 31, 2024, we had federal and state net operating loss carryforwards (“NOLs”) of approximately $429.7 million and $8.1 million, respectively. The federal NOLs began expiring in 2021 and the state NOLs began expiring in 2020. As of December 31, 2024, we had federal and state tax credit carryforwards of approximately $10.2 million and $ 1.7 million, respectively. The federal tax credit carryforwards began expiring in 2021 and the state tax credits will begin expiring in 2028.</w:t>
      </w:r>
    </w:p>
    <w:p>
      <w:pPr>
        <w:spacing w:after="0" w:line="17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spacing w:after="0" w:line="176"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On July 4, 2025, the One Big Beautiful Bill Act (“OBBBA”) was enacted in the U.S. The OBBBA includes significant tax-related provisions, such as the permanent extension of certain expiring provisions of the Tax Cuts and Jobs Act, modifications to the international tax framework, and the restoration of favorable tax treatment for certain business provisions, including the capitalization of certain R&amp;D costs. The legislation has multiple effective dates, with certain provisions effective in 2025 and others implemented through 2027. We are currently evaluating the potential impact of the OBBBA on our consolidated financial statements and related disclosures.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ind w:left="40"/>
        <w:spacing w:after="0" w:line="234" w:lineRule="auto"/>
        <w:rPr>
          <w:sz w:val="20"/>
          <w:szCs w:val="20"/>
          <w:color w:val="auto"/>
        </w:rPr>
      </w:pPr>
      <w:r>
        <w:rPr>
          <w:rFonts w:ascii="Arial" w:cs="Arial" w:eastAsia="Arial" w:hAnsi="Arial"/>
          <w:sz w:val="18"/>
          <w:szCs w:val="18"/>
          <w:b w:val="1"/>
          <w:bCs w:val="1"/>
          <w:color w:val="auto"/>
        </w:rPr>
        <w:t>Denominator:</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Weighted average common shares outstanding — basic and diluted</w:t>
      </w:r>
    </w:p>
    <w:p>
      <w:pPr>
        <w:spacing w:after="0" w:line="1" w:lineRule="exact"/>
        <w:rPr>
          <w:sz w:val="20"/>
          <w:szCs w:val="20"/>
          <w:color w:val="auto"/>
        </w:rPr>
      </w:pPr>
    </w:p>
    <w:p>
      <w:pPr>
        <w:ind w:left="40" w:right="540"/>
        <w:spacing w:after="0" w:line="279" w:lineRule="auto"/>
        <w:rPr>
          <w:sz w:val="20"/>
          <w:szCs w:val="20"/>
          <w:color w:val="auto"/>
        </w:rPr>
      </w:pPr>
      <w:r>
        <w:rPr>
          <w:rFonts w:ascii="Arial" w:cs="Arial" w:eastAsia="Arial" w:hAnsi="Arial"/>
          <w:sz w:val="17"/>
          <w:szCs w:val="17"/>
          <w:color w:val="auto"/>
        </w:rPr>
        <w:t>Net loss per share attributable to common stockholders — basic and diluted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40" w:type="dxa"/>
            <w:vAlign w:val="bottom"/>
          </w:tcPr>
          <w:p>
            <w:pPr>
              <w:spacing w:after="0"/>
              <w:rPr>
                <w:sz w:val="14"/>
                <w:szCs w:val="14"/>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20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2024</w:t>
            </w:r>
          </w:p>
        </w:tc>
      </w:tr>
      <w:tr>
        <w:trPr>
          <w:trHeight w:val="41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(12,870)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(13,099)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(41,372)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(49,314)</w:t>
            </w:r>
          </w:p>
        </w:tc>
      </w:tr>
      <w:tr>
        <w:trPr>
          <w:trHeight w:val="576"/>
        </w:trPr>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26,168,562</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22,783,337</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26,039,718</w:t>
            </w: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21,884,588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5"/>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-925195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-659130</wp:posOffset>
            </wp:positionV>
            <wp:extent cx="564896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-273685</wp:posOffset>
            </wp:positionV>
            <wp:extent cx="5648960"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920" w:space="200"/>
            <w:col w:w="4899"/>
          </w:cols>
          <w:pgMar w:left="1440" w:top="513" w:right="1440" w:bottom="1440" w:gutter="0" w:footer="0" w:header="0"/>
          <w:type w:val="continuous"/>
        </w:sectPr>
      </w:pPr>
    </w:p>
    <w:p>
      <w:pPr>
        <w:ind w:left="60" w:right="139"/>
        <w:spacing w:after="0"/>
        <w:rPr>
          <w:sz w:val="20"/>
          <w:szCs w:val="20"/>
          <w:color w:val="auto"/>
        </w:rPr>
      </w:pPr>
      <w:r>
        <w:rPr>
          <w:rFonts w:ascii="Arial" w:cs="Arial" w:eastAsia="Arial" w:hAnsi="Arial"/>
          <w:sz w:val="18"/>
          <w:szCs w:val="18"/>
          <w:color w:val="auto"/>
        </w:rPr>
        <w:t>Our potentially dilutive securities, which include stock options, RSUs,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6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w:t>
            </w:r>
          </w:p>
        </w:tc>
        <w:tc>
          <w:tcPr>
            <w:tcW w:w="4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5,946,474</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5,846,377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line="202" w:lineRule="exact"/>
              <w:rPr>
                <w:sz w:val="20"/>
                <w:szCs w:val="20"/>
                <w:color w:val="auto"/>
              </w:rPr>
            </w:pPr>
            <w:r>
              <w:rPr>
                <w:rFonts w:ascii="Arial" w:cs="Arial" w:eastAsia="Arial" w:hAnsi="Arial"/>
                <w:sz w:val="18"/>
                <w:szCs w:val="18"/>
                <w:color w:val="auto"/>
              </w:rPr>
              <w:t>RSUs</w:t>
            </w:r>
          </w:p>
        </w:tc>
        <w:tc>
          <w:tcPr>
            <w:tcW w:w="52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351,638</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5240" w:type="dxa"/>
            <w:vAlign w:val="bottom"/>
            <w:gridSpan w:val="2"/>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102,718</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103,349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auto"/>
              </w:rPr>
              <w:t>6,400,830</w:t>
            </w:r>
          </w:p>
        </w:tc>
        <w:tc>
          <w:tcPr>
            <w:tcW w:w="1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5,949,726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300" w:type="dxa"/>
            <w:vAlign w:val="bottom"/>
            <w:vMerge w:val="restart"/>
          </w:tcPr>
          <w:p>
            <w:pPr>
              <w:jc w:val="right"/>
              <w:ind w:right="2210"/>
              <w:spacing w:after="0"/>
              <w:rPr>
                <w:sz w:val="20"/>
                <w:szCs w:val="20"/>
                <w:color w:val="auto"/>
              </w:rPr>
            </w:pPr>
            <w:r>
              <w:rPr>
                <w:rFonts w:ascii="Arial" w:cs="Arial" w:eastAsia="Arial" w:hAnsi="Arial"/>
                <w:sz w:val="18"/>
                <w:szCs w:val="18"/>
                <w:color w:val="auto"/>
              </w:rPr>
              <w:t>18</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September 30, 2025 or December 31, 2024.</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$0.3 million for each of the three months ended September 30, 2025 and 2024. We recorded an expense for matching contributions of $0.9 million for each of the nine months ended September 30, 2025 and 2024.</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1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We have determined that we have a single reportable and operating segment structure. We have one business activity and there are no segment managers who are held accountable for operations, operating results, or plans for levels or components below the consolidated unit level. Our chief operating decision maker is our Chief Executive Officer. Our Chief Executive Officer evaluates performance based primarily on revenue in the geographic locations in which the Company operates and consolidated net loss. The Chief Executive Officer reviews financial information presented on a consolidated basis, including consolidated net loss, accompanied by information about revenue by geographic region, for purposes of allocating resources and evaluating financial performance. Further, the financial information on expenses provided to the Chief Executive Officer is presented on a consolidated basis, as reported in the condensed consolidated statements of operations and comprehensive loss in this Quarterly Report on Form 10-Q.</w:t>
      </w:r>
    </w:p>
    <w:p>
      <w:pPr>
        <w:spacing w:after="0" w:line="180" w:lineRule="exact"/>
        <w:rPr>
          <w:sz w:val="20"/>
          <w:szCs w:val="20"/>
          <w:color w:val="auto"/>
        </w:rPr>
      </w:pPr>
    </w:p>
    <w:p>
      <w:pPr>
        <w:ind w:left="60" w:right="719"/>
        <w:spacing w:after="0" w:line="253" w:lineRule="auto"/>
        <w:rPr>
          <w:sz w:val="20"/>
          <w:szCs w:val="20"/>
          <w:color w:val="auto"/>
        </w:rPr>
      </w:pPr>
      <w:r>
        <w:rPr>
          <w:rFonts w:ascii="Arial" w:cs="Arial" w:eastAsia="Arial" w:hAnsi="Arial"/>
          <w:sz w:val="18"/>
          <w:szCs w:val="18"/>
          <w:color w:val="auto"/>
        </w:rPr>
        <w:t>We derive all our revenues from sales to customers in Europe and the U.S. The following table provides revenue by country for each location accounting for more than 10% of the total revenue for the periods indicated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9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20" w:type="dxa"/>
            <w:vAlign w:val="bottom"/>
          </w:tcPr>
          <w:p>
            <w:pPr>
              <w:spacing w:after="0"/>
              <w:rPr>
                <w:sz w:val="14"/>
                <w:szCs w:val="14"/>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$ 13,493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$ 12,300</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$ 36,937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$ 32,808</w:t>
            </w:r>
          </w:p>
        </w:tc>
      </w:tr>
      <w:tr>
        <w:trPr>
          <w:trHeight w:val="203"/>
        </w:trPr>
        <w:tc>
          <w:tcPr>
            <w:tcW w:w="52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1,197</w:t>
            </w:r>
          </w:p>
        </w:tc>
        <w:tc>
          <w:tcPr>
            <w:tcW w:w="1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1,073</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3,690</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3,142</w:t>
            </w:r>
          </w:p>
        </w:tc>
      </w:tr>
      <w:tr>
        <w:trPr>
          <w:trHeight w:val="196"/>
        </w:trPr>
        <w:tc>
          <w:tcPr>
            <w:tcW w:w="5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$ 14,690</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$ 13,373</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$ 40,627</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$ 35,950</w:t>
            </w: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As of September 30, 2025 and December 31, 2024, substantially all our long-lived assets were located in the U.S.</w:t>
      </w:r>
    </w:p>
    <w:p>
      <w:pPr>
        <w:spacing w:after="0" w:line="130"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299"/>
        <w:spacing w:after="0" w:line="266" w:lineRule="auto"/>
        <w:rPr>
          <w:sz w:val="20"/>
          <w:szCs w:val="20"/>
          <w:color w:val="auto"/>
        </w:rPr>
      </w:pPr>
      <w:r>
        <w:rPr>
          <w:rFonts w:ascii="Arial" w:cs="Arial" w:eastAsia="Arial" w:hAnsi="Arial"/>
          <w:sz w:val="17"/>
          <w:szCs w:val="17"/>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Ejection Fraction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U.S. Food and Drug Administration (“FDA”) for patients who are NYHA Class III or II (who had a recent history of Class III) despite treatment with guideline-directed medical therapies (medications and devices), have a LVEF ≤ 35% and a NT-proBNP &lt; 1600 pg/ml and is CE Marked for HFrEF and resistant hypertension.</w:t>
      </w:r>
    </w:p>
    <w:p>
      <w:pPr>
        <w:spacing w:after="0" w:line="167"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and advanced practice providers who treat HFrEF about the advantages of Barostim and train them on the implant procedure.</w:t>
      </w:r>
    </w:p>
    <w:p>
      <w:pPr>
        <w:spacing w:after="0" w:line="18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 Centers for Medicare and Medicaid Services while simultaneously developing processes to engage commercial payers. All Medicare Administrative Contractors have retired their official automatic coverage denial policies for our Current Procedural Terminology codes, thereby allowing hospitals to submit payment requests for the Barostim procedure to be adjudicated on a claim-by-claim</w:t>
      </w:r>
    </w:p>
    <w:p>
      <w:pPr>
        <w:spacing w:after="0" w:line="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such as Germany, where annual healthcare budgets for the hospital generally determine the number of patients to be treated and the prices to be paid for the related devices that may be purchased.</w:t>
      </w:r>
    </w:p>
    <w:p>
      <w:pPr>
        <w:spacing w:after="0" w:line="171"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68"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October 31, 2022, we entered into the Loan Agreement allowing borrowing, subject to our achievement of certain milestones, up to a total of $50.0 million in a series of Term Loans described in Note 4 to our condensed consolidated financial statements included elsewhere in this Quarterly Report on Form 10-Q. We had $50.0 million in outstanding Term Loans under the Loan Agreement as of September 30, 2025.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As a result of the planned investments to fund our commercialization efforts, we expect to continue to incur net losses for the next several years, which may require additional funding and could include future equity and debt financing.</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1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In October 2025, the Centers for Medicare &amp; Medicaid Services (“CMS”) released the final 2026 Medicare Physician Fee Schedule (“MPFS”). This final rule includes the new Category I CPT codes for the Barostim implant and follow-up services. The rule establishes national pricing for the code series used to report procedures associated with Barostim, supporting continued access for Medicare beneficiaries. We expect the transition to Category I will eliminate the automatic denials regularly seen with Category III codes and improve prior authorization predictability to fairly pay physicians for the procedure. The final rule will take effect January 1, 2026.</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Continuing to develop and disseminate clinical evidence supporting the benefits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payers to build upon reimbursement for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Investing in research and development to foster innovation;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4"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or modified products and adopt new manufacturing processes and technologies.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financing costs.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Other income, net consists primarily of interest income on our interest-bearing accounts, partially offset by the effect of exchange rates on our foreign currency-denominated asset and liability balances.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1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Benefit (provision)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39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September 30, 2025, compared to the three months ended September 30, 2024</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4"/>
                <w:szCs w:val="14"/>
                <w:color w:val="auto"/>
              </w:rPr>
            </w:pPr>
          </w:p>
        </w:tc>
        <w:tc>
          <w:tcPr>
            <w:tcW w:w="20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13,373</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1,317</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2,248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12,753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11,125</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1,628</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21,632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gridSpan w:val="3"/>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25,021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24,136</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(13,011)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(12,873)</w:t>
            </w: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(13,052)</w:t>
            </w: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3"/>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(12,870)</w:t>
            </w: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(13,099)</w:t>
            </w: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229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40"/>
        </w:trPr>
        <w:tc>
          <w:tcPr>
            <w:tcW w:w="47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4"/>
                <w:szCs w:val="14"/>
                <w:color w:val="auto"/>
              </w:rPr>
            </w:pPr>
          </w:p>
        </w:tc>
        <w:tc>
          <w:tcPr>
            <w:tcW w:w="20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ind w:left="3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13,493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12,300</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1,193</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14,690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13,373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1,317</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Revenue was $14.7 million for the three months ended September 30, 2025, an increase of $1.3 million, or 10%, over the three months ended September 30, 2024.</w:t>
      </w:r>
    </w:p>
    <w:p>
      <w:pPr>
        <w:spacing w:after="0" w:line="15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Revenue generated in the U.S. was $ 13.5 million for the three months ended September 30, 2025, an increase of $1.2 million, or 10%, over the three months ended September 30, 2024. Revenue units in the U.S. totaled 420 and 394 for the three months ended September 30, 2025 and 2024, respectively. The increases were primarily driven by continued growth in the U.S. HF business as a result of the expansion into new sales territories, new accounts, and increased physician and patient awareness of Barostim.</w:t>
      </w:r>
    </w:p>
    <w:p>
      <w:pPr>
        <w:spacing w:after="0" w:line="16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 of September 30, 2025, we had a total of 250 active implanting centers in the U.S., as compared to 208 as of September 30, 2024. Active implanting centers are customers that have completed at least one commercial HF implant in the last 12 months. As of September 30, 2025, we had a total of 50 sales territories in the U.S. as compared to 45 sales territories as of September 30, 2024.</w:t>
      </w:r>
    </w:p>
    <w:p>
      <w:pPr>
        <w:spacing w:after="0" w:line="16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Revenue generated in Europe was $1.2 million for the three months ended September 30, 2025, a $0.1 million increase, or 12%, compared to the three months ended September 30, 2024. Total revenue units in Europe decreased to 50 for the three months ended September 30, 2025, as compared to 56 in the prior year period. As of September 30, 2025 we had five sales territories in Europe, as compared to six sales territories as of September 30, 2024.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Cost of goods sold decreased $0.3 million, or 14%, to $ 1.9 million for the three months ended September 30, 2025, compared to the three months ended September 30, 2024. This decrease was driven by a lower cost per unit, primarily due to an increase in manufacturing efficiencies.</w:t>
      </w:r>
    </w:p>
    <w:p>
      <w:pPr>
        <w:spacing w:after="0" w:line="169" w:lineRule="exact"/>
        <w:rPr>
          <w:sz w:val="20"/>
          <w:szCs w:val="20"/>
          <w:color w:val="auto"/>
        </w:rPr>
      </w:pPr>
    </w:p>
    <w:p>
      <w:pPr>
        <w:jc w:val="both"/>
        <w:ind w:left="60" w:right="139"/>
        <w:spacing w:after="0" w:line="244" w:lineRule="auto"/>
        <w:rPr>
          <w:sz w:val="20"/>
          <w:szCs w:val="20"/>
          <w:color w:val="auto"/>
        </w:rPr>
      </w:pPr>
      <w:r>
        <w:rPr>
          <w:rFonts w:ascii="Arial" w:cs="Arial" w:eastAsia="Arial" w:hAnsi="Arial"/>
          <w:sz w:val="18"/>
          <w:szCs w:val="18"/>
          <w:color w:val="auto"/>
        </w:rPr>
        <w:t>Gross profit was $12.8 million for the three months ended September 30, 2025, an increase of $ 1.6 million, or 15%, over the three months ended September 30, 2024. Gross margin increased to 87% for the three months ended September 30, 2025, compared to 83% for the three months ended September 30, 2024. Gross margin for the three months ended September 30, 2025 was higher due to an increase in the average selling price and a decrease in the cost per unit, primarily due to an increase in manufacturing efficiencies.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R&amp;D expenses increased $0.6 million, or 26%, to $3.1 million for the three months ended September 30, 2025, compared to the three months ended September 30, 2024. This change was driven by a $0.5 million increase in compensation expenses and a $0.2 million increase in consulting expenses, partially offset by a $0.2 million decrease in clinical trial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SG&amp;A expenses increased $ 0.2 million, or 1%, to $21.9 million for the three months ended September 30, 2025, compared to the three months ended September 30, 2024. This change was primarily driven by a $0.2 million increase in consulting expenses, a $0.2 million increase in travel expenses, and a $ 0.2 million increase in non-cash stock-based compensation expense, partially offset by a $0.2 million decrease in advertising expenses and a $0.2 million decrease in compensation expenses.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Interest expense increased $0.5 million for the three months ended September 30, 2025, compared to the three months ended September 30, 2024. This increase was driven by the interest expense on higher levels of borrowings under the Loan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Other income, net was $0.9 million for each of the three months ended September 30, 2025 and 2024. These balances consisted of interest income on our interest-bearing accounts.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Benefit (provision) for income taxes</w:t>
      </w:r>
    </w:p>
    <w:p>
      <w:pPr>
        <w:spacing w:after="0" w:line="210"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Benefit (provision) for income taxes was nominal for each of the three months ended September 30, 2025 and 2024.</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45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nine months ended September 30, 2025, compared to the nine months ended September 30, 2024</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4"/>
                <w:szCs w:val="14"/>
                <w:color w:val="auto"/>
              </w:rPr>
            </w:pPr>
          </w:p>
        </w:tc>
        <w:tc>
          <w:tcPr>
            <w:tcW w:w="20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40,627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35,950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4,677</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5,763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34,515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30,187</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4,328</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8,132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8,326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71,077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(4,613)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gridSpan w:val="3"/>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74,596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79,403</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(4,807)</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(49,216)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9,135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(4,410)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(1,533)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(41,383)</w:t>
            </w: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(49,188)</w:t>
            </w: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7,805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3"/>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(41,372)</w:t>
            </w: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(49,314)</w:t>
            </w: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7,942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40"/>
        </w:trPr>
        <w:tc>
          <w:tcPr>
            <w:tcW w:w="47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4"/>
                <w:szCs w:val="14"/>
                <w:color w:val="auto"/>
              </w:rPr>
            </w:pPr>
          </w:p>
        </w:tc>
        <w:tc>
          <w:tcPr>
            <w:tcW w:w="20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ind w:left="3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36,937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32,808</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4,129</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548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40,627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35,950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4,677</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Revenue was $40.6 million for the nine months ended September 30, 2025, an increase of $4.7 million, or 13%, over the nine months ended September 30, 2024.</w:t>
      </w:r>
    </w:p>
    <w:p>
      <w:pPr>
        <w:spacing w:after="0" w:line="154"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Revenue generated in the U.S. was $36.9 million for the nine months ended September 30, 2025, an increase of $4.1 million, or 13%, over the nine months ended September 30, 2024. Revenue units in the U.S. totaled 1,170 and 1,062 for the nine months ended September 30, 2025 and 2024, respectively. The increases were primarily driven by continued growth in the U.S. HF business as a result of the expansion into new sales territories, new accounts, and increased physician and patient awareness of Barostim.</w:t>
      </w:r>
    </w:p>
    <w:p>
      <w:pPr>
        <w:spacing w:after="0" w:line="163"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Revenue generated in Europe was $3.7 million for the nine months ended September 30, 2025, a $0.5 million increase, or 17%, compared to the nine months ended September 30, 2024. Total revenue units in Europe increased to 170 for the nine months ended September 30, 2025, as compared to 163 in the prior year period.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359"/>
        <w:spacing w:after="0" w:line="275" w:lineRule="auto"/>
        <w:rPr>
          <w:sz w:val="20"/>
          <w:szCs w:val="20"/>
          <w:color w:val="auto"/>
        </w:rPr>
      </w:pPr>
      <w:r>
        <w:rPr>
          <w:rFonts w:ascii="Arial" w:cs="Arial" w:eastAsia="Arial" w:hAnsi="Arial"/>
          <w:sz w:val="17"/>
          <w:szCs w:val="17"/>
          <w:color w:val="auto"/>
        </w:rPr>
        <w:t>Cost of goods sold increased $0.3 million, or 6%, to $6.1 million for the nine months ended September 30, 2025, compared to the nine months ended September 30, 2024. This increase was driven by higher sales of Barostim, partially offset by a lower cost per unit, primarily due to an increase in manufacturing efficiencies.</w:t>
      </w:r>
    </w:p>
    <w:p>
      <w:pPr>
        <w:spacing w:after="0" w:line="152"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Gross profit was $34.5 million for the nine months ended September 30, 2025, an increase of $ 4.3 million, or 14%, over the nine months ended September 30, 2024. Gross margin increased to 85% for the nine months ended September 30, 2025, compared to 84% for the nine months ended September 30, 2024. Gross margin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for the nine months ended September 30, 2025 was higher due to an increase in the average selling price and a decrease in the cost per unit, primarily due to an increase in manufacturing efficiencies.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R&amp;D expenses decreased $0.2 million, or 2%, to $8.1 million for the nine months ended September 30, 2025, compared to the nine months ended September 30, 2024. This change was driven by a $0.4 million decrease in clinical trial expenses, partially offset by a $0.1 million increase in compensation expenses and a $0.1 million increase in consulting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SG&amp;A expenses decreased $4.6 million, or 6%, to $66.5 million for the nine months ended September 30, 2025, compared to the nine months ended September 30, 2024. This change was primarily driven by an $8.0 million decrease in non-cash stock-based compensation expense and a $ 0.7 million decrease in advertising expenses, partially offset by a $2.7 million increase in cash compensation expenses and a $1.3 million increase in travel expenses. The modification of stock options held by our former Chief Executive Officer in connection with his retirement in the first quarter of 2024 described in Note 7 to our condensed consolidated financial statements included elsewhere in this Quarterly Report on Form 10-Q contributed approximately $8.4 million to the decrease in non-cash stock-based compensation expense.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Interest expense increased $1.5 million for the nine months ended September 30, 2025, compared to the nine months ended September 30, 2024. This increase was driven by the interest expense on higher levels of borrowings under the Loan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Other income, net increased $ 0.2 million for the nine months ended September 30, 2025, compared to the nine months ended September 30, 2024. This increase was primarily driven by increased interest income on our interest-bearing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Benefit (provision) for income taxes</w:t>
      </w:r>
    </w:p>
    <w:p>
      <w:pPr>
        <w:spacing w:after="0" w:line="21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Benefit (provision) for income taxes was nominal for each of the nine months ended September 30, 2025 and 2024.</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incurred significant operating losses and negative cash flows from operations since our inception,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anticipate that we will incur significant losses for at least the next several years. As of September 30, 2025</w:t>
      </w:r>
    </w:p>
    <w:p>
      <w:pPr>
        <w:ind w:left="60"/>
        <w:spacing w:after="0" w:line="234" w:lineRule="auto"/>
        <w:rPr>
          <w:sz w:val="20"/>
          <w:szCs w:val="20"/>
          <w:color w:val="auto"/>
        </w:rPr>
      </w:pPr>
      <w:r>
        <w:rPr>
          <w:rFonts w:ascii="Arial" w:cs="Arial" w:eastAsia="Arial" w:hAnsi="Arial"/>
          <w:sz w:val="18"/>
          <w:szCs w:val="18"/>
          <w:color w:val="auto"/>
        </w:rPr>
        <w:t>and December 31, 2024, we had cash and cash equivalents of $85.1 million and $105.9 million, respectively.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212529"/>
        </w:rPr>
        <w:t>F</w:t>
      </w:r>
      <w:r>
        <w:rPr>
          <w:rFonts w:ascii="Arial" w:cs="Arial" w:eastAsia="Arial" w:hAnsi="Arial"/>
          <w:sz w:val="17"/>
          <w:szCs w:val="17"/>
          <w:color w:val="000000"/>
        </w:rPr>
        <w:t>or the three months ended September 30, 2025 and 2024, our net losses were $12.9 million and $13.1 million,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respectively. For the nine months ended September 30, 2025 and 2024, our net losses were $41.4 million and</w:t>
      </w:r>
    </w:p>
    <w:p>
      <w:pPr>
        <w:ind w:left="60"/>
        <w:spacing w:after="0" w:line="234" w:lineRule="auto"/>
        <w:rPr>
          <w:sz w:val="20"/>
          <w:szCs w:val="20"/>
          <w:color w:val="auto"/>
        </w:rPr>
      </w:pPr>
      <w:r>
        <w:rPr>
          <w:rFonts w:ascii="Arial" w:cs="Arial" w:eastAsia="Arial" w:hAnsi="Arial"/>
          <w:sz w:val="18"/>
          <w:szCs w:val="18"/>
          <w:color w:val="auto"/>
        </w:rPr>
        <w:t>$49.3 million, respectively. Our net cash used in operating activities for the nine months ended September 30,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2025 and 2024 was $30.4 million and $31.1 million, respectively.</w:t>
      </w:r>
    </w:p>
    <w:p>
      <w:pPr>
        <w:spacing w:after="0" w:line="194" w:lineRule="exact"/>
        <w:rPr>
          <w:sz w:val="20"/>
          <w:szCs w:val="20"/>
          <w:color w:val="auto"/>
        </w:rPr>
      </w:pPr>
    </w:p>
    <w:p>
      <w:pPr>
        <w:jc w:val="both"/>
        <w:ind w:left="60" w:right="119"/>
        <w:spacing w:after="0" w:line="266" w:lineRule="auto"/>
        <w:rPr>
          <w:sz w:val="20"/>
          <w:szCs w:val="20"/>
          <w:color w:val="auto"/>
        </w:rPr>
      </w:pPr>
      <w:r>
        <w:rPr>
          <w:rFonts w:ascii="Arial" w:cs="Arial" w:eastAsia="Arial" w:hAnsi="Arial"/>
          <w:sz w:val="17"/>
          <w:szCs w:val="17"/>
          <w:color w:val="auto"/>
        </w:rPr>
        <w:t>On October 31, 2022, we entered into the Loan Agreement under which we were allowed to borrow, subject to our achievement of certain milestones, up to a total of $50.0 million in a series of Term Loans described in Note 4 to our condensed consolidated financial statements included elsewhere in this Quarterly Report on Form 10-Q. We had $50.0 million in outstanding Term Loans under the Loan Agreement as of September 30, 2025.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November 4, 2022, we entered into an Equity Distribution Agreement with Piper Sandler &amp; Co., as agent, under which we may offer and sell, from time to time at our sole discretion, shares of our common stock having an aggregate offering price of up to $50.0 million in an “at-the-market” (“ATM”) offering, to or through the agent. In January 2024, we commenced this ATM offering and, during the nine months ended September 30, 2025, we issued 543,462 shares of common stock under the program for gross proceeds of $9.5 million. On November 4, 2025, we and the agent mutually agreed to terminate the Equity Distribution Agreement for the ATM, effective on November 6, 2025. In connection with the filing of this Quarterly Report on Form 10-Q, we expect to file a new registration statement on Form S-3 to replace our existing registration statement on Form S-3 that is scheduled to expire on November 15, 2025 and subsequently enter into a new sales agreement to permit continued ATM offering activity in the future.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right="103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rFonts w:ascii="Times New Roman" w:cs="Times New Roman" w:eastAsia="Times New Roman" w:hAnsi="Times New Roman"/>
          <w:sz w:val="18"/>
          <w:szCs w:val="18"/>
          <w:color w:val="231F20"/>
        </w:rPr>
      </w:pPr>
    </w:p>
    <w:p>
      <w:pPr>
        <w:ind w:left="380" w:right="31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believe that our existing cash resources together with cash from operations will be sufficient to meet our forecasted requirements for operating liquidity, capital expenditures and debt services for at least the next two years when principal payments start coming due in November 2027 under our existing Innovatus Loan Agreement.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183"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4"/>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84"/>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(30,412)</w:t>
            </w:r>
          </w:p>
        </w:tc>
        <w:tc>
          <w:tcPr>
            <w:tcW w:w="180" w:type="dxa"/>
            <w:vAlign w:val="bottom"/>
          </w:tcPr>
          <w:p>
            <w:pPr>
              <w:spacing w:after="0"/>
              <w:rPr>
                <w:sz w:val="17"/>
                <w:szCs w:val="17"/>
                <w:color w:val="auto"/>
              </w:rPr>
            </w:pPr>
          </w:p>
        </w:tc>
        <w:tc>
          <w:tcPr>
            <w:tcW w:w="1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(31,136)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02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10,110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42,036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Effect of currency exchange on cash and cash equivalents</w:t>
            </w:r>
          </w:p>
        </w:tc>
        <w:tc>
          <w:tcPr>
            <w:tcW w:w="1020" w:type="dxa"/>
            <w:vAlign w:val="bottom"/>
            <w:gridSpan w:val="2"/>
            <w:shd w:val="clear" w:color="auto" w:fill="CCEEFF"/>
          </w:tcPr>
          <w:p>
            <w:pPr>
              <w:jc w:val="right"/>
              <w:ind w:right="4"/>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(20,809)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Net cash used in operating activities for the nine months ended September 30, 2025 was $30.4 million and consisted primarily of a net loss of $41.4 million, partially offset by a non-cash charge of $8.3 million related to stock-based compensation expense, and a change in net operating assets of $2.0 million. Net operating assets consisted primarily of accounts receivable, accounts payable, inventory, prepaid expenses and other current assets, and accrued expenses to support the growth of our operations.</w:t>
      </w:r>
    </w:p>
    <w:p>
      <w:pPr>
        <w:spacing w:after="0" w:line="17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Net cash used in operating activities for the nine months ended September 30, 2024 was $31.1 million and consisted primarily of a net loss of $49.3 million, partially offset by a non-cash charge of $16.4 million related to stock-based compensation expense and a change in net operating assets of $1.2 million. Net operating assets consisted primarily of accounts receivable, inventory, prepaid expenses and other current assets, accounts payable, and accrued expenses to support the growth of our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Cash used in investing activities was $0.5 million and $1.3 million for the nine months ended September 30, 2025 and 2024, respectively, and consisted of purchases of property and equipment.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Net cash provided by financing activities for the nine months ended September 30, 2025 was $10.1 million and consisted of $9.2 million related to net proceeds from the issuance of common stock through the ATM offering, $0.6 million related to proceeds from the exercise of common stock options and $0.4 million related to proceeds from the ESPP.</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cash provided by financing activities for the nine months ended September 30, 2024 was $42.0 million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consisted of $20.2 million related to proceeds from the issuance of common stock through the ATM offering,</w:t>
      </w:r>
    </w:p>
    <w:p>
      <w:pPr>
        <w:ind w:left="60"/>
        <w:spacing w:after="0" w:line="234" w:lineRule="auto"/>
        <w:rPr>
          <w:sz w:val="20"/>
          <w:szCs w:val="20"/>
          <w:color w:val="auto"/>
        </w:rPr>
      </w:pPr>
      <w:r>
        <w:rPr>
          <w:rFonts w:ascii="Arial" w:cs="Arial" w:eastAsia="Arial" w:hAnsi="Arial"/>
          <w:sz w:val="18"/>
          <w:szCs w:val="18"/>
          <w:color w:val="auto"/>
        </w:rPr>
        <w:t>$20.0 million related to proceeds under the Loan Agreement, $1.6 million related to proceeds from the exercise</w:t>
      </w:r>
    </w:p>
    <w:p>
      <w:pPr>
        <w:ind w:left="60"/>
        <w:spacing w:after="0" w:line="235" w:lineRule="auto"/>
        <w:rPr>
          <w:sz w:val="20"/>
          <w:szCs w:val="20"/>
          <w:color w:val="auto"/>
        </w:rPr>
      </w:pPr>
      <w:r>
        <w:rPr>
          <w:rFonts w:ascii="Arial" w:cs="Arial" w:eastAsia="Arial" w:hAnsi="Arial"/>
          <w:sz w:val="18"/>
          <w:szCs w:val="18"/>
          <w:color w:val="auto"/>
        </w:rPr>
        <w:t>of common stock options, and $0.4 million related to proceeds from the ESPP, partially offset by $0.2 million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to debt financing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1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There have been no material changes to our contractual obligations as of September 30, 2025, as compared to those disclosed in our Annual Report on Form 10-K for the year ended December 31,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For a discussion of our potential risks and uncertainties, see the information in Part II, Item 7. “Management's Discussion and Analysis of Financial Condition and Results of Operations—Critical accounting policies and estimates" in our Annual Report on Form 10-K for the fiscal year ended December 31, 2024. We have reviewed and determined that those critical accounting policies and estimates remain our critical accounting policies and estimates as of and for the nine months ended September 30, 2025.</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realized gains and losses from foreign currency transactions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jc w:val="both"/>
        <w:ind w:left="60" w:right="539"/>
        <w:spacing w:after="0" w:line="247" w:lineRule="auto"/>
        <w:rPr>
          <w:sz w:val="20"/>
          <w:szCs w:val="20"/>
          <w:color w:val="auto"/>
        </w:rPr>
      </w:pPr>
      <w:r>
        <w:rPr>
          <w:rFonts w:ascii="Arial" w:cs="Arial" w:eastAsia="Arial" w:hAnsi="Arial"/>
          <w:sz w:val="18"/>
          <w:szCs w:val="18"/>
          <w:color w:val="auto"/>
        </w:rPr>
        <w:t>As of September 30, 2025 and December 31, 2024,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2025, that have materially affected, or are reasonably likely to materially affect, our internal control over financial reporting.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Legal Proceedings</w:t>
      </w:r>
    </w:p>
    <w:p>
      <w:pPr>
        <w:spacing w:after="0" w:line="175" w:lineRule="exact"/>
        <w:rPr>
          <w:sz w:val="20"/>
          <w:szCs w:val="20"/>
          <w:color w:val="auto"/>
        </w:rPr>
      </w:pPr>
    </w:p>
    <w:p>
      <w:pPr>
        <w:ind w:left="60" w:right="179"/>
        <w:spacing w:after="0" w:line="318"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1A. Risk Factors</w:t>
      </w:r>
    </w:p>
    <w:p>
      <w:pPr>
        <w:spacing w:after="0" w:line="189" w:lineRule="exact"/>
        <w:rPr>
          <w:sz w:val="20"/>
          <w:szCs w:val="20"/>
          <w:color w:val="auto"/>
        </w:rPr>
      </w:pPr>
    </w:p>
    <w:p>
      <w:pPr>
        <w:ind w:left="60" w:right="199"/>
        <w:spacing w:after="0" w:line="284" w:lineRule="auto"/>
        <w:rPr>
          <w:sz w:val="20"/>
          <w:szCs w:val="20"/>
          <w:color w:val="auto"/>
        </w:rPr>
      </w:pPr>
      <w:r>
        <w:rPr>
          <w:rFonts w:ascii="Arial" w:cs="Arial" w:eastAsia="Arial" w:hAnsi="Arial"/>
          <w:sz w:val="18"/>
          <w:szCs w:val="18"/>
          <w:color w:val="auto"/>
        </w:rPr>
        <w:t>For a discussion of our potential risks and uncertainties, see the information in Part I, Item IA. “Risk Factors” in our Annual Report on Form 10-K for the year ended December 31, 2024. Other than the risk factor set forth below, there have been no material changes to the risk factors disclosed in our Annual Report on Form 10-K.</w:t>
      </w:r>
    </w:p>
    <w:p>
      <w:pPr>
        <w:spacing w:after="0" w:line="185" w:lineRule="exact"/>
        <w:rPr>
          <w:sz w:val="20"/>
          <w:szCs w:val="20"/>
          <w:color w:val="auto"/>
        </w:rPr>
      </w:pPr>
    </w:p>
    <w:p>
      <w:pPr>
        <w:ind w:left="60" w:right="179"/>
        <w:spacing w:after="0" w:line="310" w:lineRule="auto"/>
        <w:rPr>
          <w:sz w:val="20"/>
          <w:szCs w:val="20"/>
          <w:color w:val="auto"/>
        </w:rPr>
      </w:pPr>
      <w:r>
        <w:rPr>
          <w:rFonts w:ascii="Arial" w:cs="Arial" w:eastAsia="Arial" w:hAnsi="Arial"/>
          <w:sz w:val="18"/>
          <w:szCs w:val="18"/>
          <w:b w:val="1"/>
          <w:bCs w:val="1"/>
          <w:i w:val="1"/>
          <w:iCs w:val="1"/>
          <w:color w:val="231F20"/>
        </w:rPr>
        <w:t>Barostim is also subject to extensive governmental regulation in foreign jurisdictions, such as Europe, and our failure to comply with applicable requirements could cause our business to suffer.</w:t>
      </w:r>
    </w:p>
    <w:p>
      <w:pPr>
        <w:spacing w:after="0" w:line="138"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In the European Economic Area (“EEA”), Barostim was required to comply with the Essential Requirements laid down in Annex I to the European Union (“EU”) Active Implantable Medical Devices Directive. Compliance with these requirements was a prerequisite to affixing the CE mark to Barostim. To demonstrate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Quality Management System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spacing w:after="0" w:line="72"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1" w:lineRule="exact"/>
        <w:rPr>
          <w:sz w:val="20"/>
          <w:szCs w:val="20"/>
          <w:color w:val="auto"/>
        </w:rPr>
      </w:pPr>
    </w:p>
    <w:p>
      <w:pPr>
        <w:ind w:left="60" w:right="259" w:hanging="10"/>
        <w:spacing w:after="0" w:line="238"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7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Regulations in the EU were updated to require compliance to Regulation (EU) 2017/745 on Medical Devices (“MDR”). Additional amendments to the regulation have delayed required implementation dates to December 31, 2027. Compliance with the new regulation required extensive updates to the quality system and device technical file documentation to new requirements. Updates were made and annual Notified Body inspections assessing compliance of the quality system to the MDR have been ongoing since 2020. An application was made for Barostim to comply with the general safety and performance requirements of the EU MDR. Final approval and certificates of compliance for both the technical file and quality system were issued on April 9, 2025. We are required to continue to submit updates for any substantial changes to the design, manufacturing or quality system for assessment against the MDR requirements. Annual audits by the Notified Body are required to verify that we continue to meet the MDR requirements. The current integrated platform technology, Barostim, is approved under the MDR. Barostim Legacy is not approved under MDR, but can still be sold under the Active Implantable Medical Device Directive approval through 2027. Failing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which could impair our ability to market products in the EEA in the future.</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Modification or Termination of Rule 10b5-1 Plans and Certain Other Trading Arrangements</w:t>
      </w:r>
    </w:p>
    <w:p>
      <w:pPr>
        <w:spacing w:after="0" w:line="212" w:lineRule="exact"/>
        <w:rPr>
          <w:sz w:val="20"/>
          <w:szCs w:val="20"/>
          <w:color w:val="auto"/>
        </w:rPr>
      </w:pPr>
    </w:p>
    <w:p>
      <w:pPr>
        <w:jc w:val="both"/>
        <w:ind w:left="60" w:right="439"/>
        <w:spacing w:after="0" w:line="253" w:lineRule="auto"/>
        <w:rPr>
          <w:sz w:val="20"/>
          <w:szCs w:val="20"/>
          <w:color w:val="auto"/>
        </w:rPr>
      </w:pPr>
      <w:r>
        <w:rPr>
          <w:rFonts w:ascii="Arial" w:cs="Arial" w:eastAsia="Arial" w:hAnsi="Arial"/>
          <w:sz w:val="18"/>
          <w:szCs w:val="18"/>
          <w:color w:val="auto"/>
        </w:rPr>
        <w:t>During the three months ended September 30, 2025, none of our directors or officers adopted, modified or terminated a “Rule 10b5-1 trading arrangement” or “non-Rule 10b5-1 trading arrangement,” as each term is defined in Item 408(a) of Regulation S-K.</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gridSpan w:val="8"/>
          </w:tcPr>
          <w:p>
            <w:pPr>
              <w:ind w:left="2680"/>
              <w:spacing w:after="0"/>
              <w:rPr>
                <w:sz w:val="20"/>
                <w:szCs w:val="20"/>
                <w:color w:val="auto"/>
              </w:rPr>
            </w:pPr>
            <w:r>
              <w:rPr>
                <w:rFonts w:ascii="Arial" w:cs="Arial" w:eastAsia="Arial" w:hAnsi="Arial"/>
                <w:sz w:val="22"/>
                <w:szCs w:val="22"/>
                <w:b w:val="1"/>
                <w:bCs w:val="1"/>
                <w:color w:val="auto"/>
              </w:rPr>
              <w:t>EXHIBIT INDEX</w:t>
            </w:r>
          </w:p>
        </w:tc>
      </w:tr>
      <w:tr>
        <w:trPr>
          <w:trHeight w:val="437"/>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9"/>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7920" w:type="dxa"/>
            <w:vAlign w:val="bottom"/>
            <w:tcBorders>
              <w:top w:val="single" w:sz="8" w:color="auto"/>
            </w:tcBorders>
            <w:gridSpan w:val="8"/>
          </w:tcPr>
          <w:p>
            <w:pPr>
              <w:spacing w:after="0"/>
              <w:rPr>
                <w:rFonts w:ascii="Arial" w:cs="Arial" w:eastAsia="Arial" w:hAnsi="Arial"/>
                <w:sz w:val="18"/>
                <w:szCs w:val="18"/>
                <w:color w:val="0000EE"/>
              </w:rPr>
            </w:pPr>
            <w:hyperlink r:id="rId48">
              <w:r>
                <w:rPr>
                  <w:rFonts w:ascii="Arial" w:cs="Arial" w:eastAsia="Arial" w:hAnsi="Arial"/>
                  <w:sz w:val="18"/>
                  <w:szCs w:val="18"/>
                  <w:color w:val="0000EE"/>
                </w:rPr>
                <w:t>Restated Certificate of Incorporation of CVRx, Inc. (incorporated by reference to Exhibit 3.1 to the</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Company’s Current Report on Form 8-K filed on June 7, 2024)</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920" w:type="dxa"/>
            <w:vAlign w:val="bottom"/>
            <w:gridSpan w:val="8"/>
          </w:tcPr>
          <w:p>
            <w:pPr>
              <w:spacing w:after="0"/>
              <w:rPr>
                <w:rFonts w:ascii="Arial" w:cs="Arial" w:eastAsia="Arial" w:hAnsi="Arial"/>
                <w:sz w:val="18"/>
                <w:szCs w:val="18"/>
                <w:color w:val="0000EE"/>
              </w:rPr>
            </w:pPr>
            <w:hyperlink r:id="rId49">
              <w:r>
                <w:rPr>
                  <w:rFonts w:ascii="Arial" w:cs="Arial" w:eastAsia="Arial" w:hAnsi="Arial"/>
                  <w:sz w:val="18"/>
                  <w:szCs w:val="18"/>
                  <w:color w:val="0000EE"/>
                </w:rPr>
                <w:t>Amended and Restated By-Laws of CVRx, Inc. (incorporated by reference to Exhibit 3.2 to the</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Company’s Current Report on Form 8-K filed on July 7, 2021)</w:t>
              </w:r>
            </w:hyperlink>
          </w:p>
        </w:tc>
        <w:tc>
          <w:tcPr>
            <w:tcW w:w="254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120" w:type="dxa"/>
            <w:vAlign w:val="bottom"/>
            <w:gridSpan w:val="2"/>
          </w:tcPr>
          <w:p>
            <w:pPr>
              <w:spacing w:after="0"/>
              <w:rPr>
                <w:sz w:val="24"/>
                <w:szCs w:val="24"/>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180" w:type="dxa"/>
            <w:vAlign w:val="bottom"/>
            <w:gridSpan w:val="4"/>
          </w:tcPr>
          <w:p>
            <w:pPr>
              <w:spacing w:after="0"/>
              <w:rPr>
                <w:sz w:val="24"/>
                <w:szCs w:val="24"/>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EE"/>
              </w:rPr>
              <w:t>Certification of Chief Executive Officer Pursuant to 18 U.S.C. Section 1350, as adopted pursuant to</w:t>
            </w: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6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EE"/>
              </w:rPr>
              <w:t>Certification of Chief Financial Officer Pursuant to 18 U.S.C. Section 1350, as adopted pursuant to</w:t>
            </w: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120" w:type="dxa"/>
            <w:vAlign w:val="bottom"/>
            <w:gridSpan w:val="2"/>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40" w:right="279" w:hanging="983"/>
        <w:spacing w:after="0" w:line="286" w:lineRule="auto"/>
        <w:tabs>
          <w:tab w:leader="none" w:pos="1020" w:val="left"/>
        </w:tabs>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r>
        <w:rPr>
          <w:rFonts w:ascii="Arial" w:cs="Arial" w:eastAsia="Arial" w:hAnsi="Arial"/>
          <w:sz w:val="18"/>
          <w:szCs w:val="18"/>
          <w:color w:val="auto"/>
        </w:rPr>
        <w:tab/>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 File because its XBRL tags are embedded within the Inline XBRL document</w:t>
      </w:r>
    </w:p>
    <w:p>
      <w:pPr>
        <w:spacing w:after="0" w:line="127"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Schema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Definition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Label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1"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6, 2025</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Hykes</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Kevin Hykes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Hykes, certify that:</w:t>
      </w:r>
    </w:p>
    <w:p>
      <w:pPr>
        <w:spacing w:after="0" w:line="117"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9"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September 30,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September 30,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8" Type="http://schemas.openxmlformats.org/officeDocument/2006/relationships/hyperlink" Target="https://www.sec.gov/Archives/edgar/data/1235912/000110465924069657/tm2416672d1_ex3-1.htm" TargetMode="External"/><Relationship Id="rId49" Type="http://schemas.openxmlformats.org/officeDocument/2006/relationships/hyperlink" Target="https://www.sec.gov/Archives/edgar/data/1235912/000110465921089779/tm212150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2025-11-06T06:45:17Z</dcterms:created>
  <dcterms:modified xsi:type="dcterms:W3CDTF">2025-11-06T06:45:17Z</dcterms:modified>
</cp:coreProperties>
</file>