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109220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4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September 30, 2021</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128905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50"/>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6"/>
                <w:szCs w:val="16"/>
                <w:color w:val="auto"/>
              </w:rPr>
            </w:pPr>
          </w:p>
        </w:tc>
      </w:tr>
      <w:tr>
        <w:trPr>
          <w:trHeight w:val="269"/>
        </w:trPr>
        <w:tc>
          <w:tcPr>
            <w:tcW w:w="3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20" w:type="dxa"/>
            <w:vAlign w:val="bottom"/>
          </w:tcPr>
          <w:p>
            <w:pPr>
              <w:spacing w:after="0"/>
              <w:rPr>
                <w:sz w:val="23"/>
                <w:szCs w:val="23"/>
                <w:color w:val="auto"/>
              </w:rPr>
            </w:pPr>
          </w:p>
        </w:tc>
      </w:tr>
      <w:tr>
        <w:trPr>
          <w:trHeight w:val="190"/>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6"/>
                <w:szCs w:val="16"/>
                <w:color w:val="auto"/>
              </w:rPr>
            </w:pPr>
          </w:p>
        </w:tc>
      </w:tr>
      <w:tr>
        <w:trPr>
          <w:trHeight w:val="19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2"/>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9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14"/>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18"/>
                <w:szCs w:val="18"/>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4"/>
        </w:trPr>
        <w:tc>
          <w:tcPr>
            <w:tcW w:w="31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5"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The Nasdaq Global Select Market</w:t>
            </w:r>
          </w:p>
        </w:tc>
      </w:tr>
      <w:tr>
        <w:trPr>
          <w:trHeight w:val="215"/>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305" w:lineRule="exact"/>
        <w:rPr>
          <w:sz w:val="24"/>
          <w:szCs w:val="24"/>
          <w:color w:val="auto"/>
        </w:rPr>
      </w:pPr>
    </w:p>
    <w:p>
      <w:pPr>
        <w:ind w:left="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3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left="40"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5" w:right="879" w:bottom="1440" w:gutter="0" w:footer="0" w:header="0"/>
        </w:sect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5" w:right="87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9"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5" w:right="879" w:bottom="1440" w:gutter="0" w:footer="0" w:header="0"/>
          <w:type w:val="continuous"/>
        </w:sectPr>
      </w:pPr>
    </w:p>
    <w:p>
      <w:pPr>
        <w:ind w:left="40" w:right="2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left="40"/>
        <w:spacing w:after="0" w:line="184" w:lineRule="exact"/>
        <w:tabs>
          <w:tab w:leader="none" w:pos="89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November 08, 2021, there were 20,351,779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687705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87630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130810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5" w:right="8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12"/>
          </w:tcPr>
          <w:p>
            <w:pPr>
              <w:ind w:left="260"/>
              <w:spacing w:after="0"/>
              <w:rPr>
                <w:sz w:val="20"/>
                <w:szCs w:val="20"/>
                <w:color w:val="auto"/>
              </w:rPr>
            </w:pPr>
            <w:r>
              <w:rPr>
                <w:rFonts w:ascii="Arial" w:cs="Arial" w:eastAsia="Arial" w:hAnsi="Arial"/>
                <w:sz w:val="18"/>
                <w:szCs w:val="18"/>
                <w:b w:val="1"/>
                <w:bCs w:val="1"/>
                <w:color w:val="auto"/>
              </w:rPr>
              <w:t>TABLE OF CONTENTS</w:t>
            </w:r>
          </w:p>
        </w:tc>
      </w:tr>
      <w:tr>
        <w:trPr>
          <w:trHeight w:val="823"/>
        </w:trPr>
        <w:tc>
          <w:tcPr>
            <w:tcW w:w="44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Part I</w:t>
              </w:r>
            </w:hyperlink>
          </w:p>
        </w:tc>
        <w:tc>
          <w:tcPr>
            <w:tcW w:w="800" w:type="dxa"/>
            <w:vAlign w:val="bottom"/>
            <w:gridSpan w:val="7"/>
          </w:tcPr>
          <w:p>
            <w:pPr>
              <w:spacing w:after="0"/>
              <w:rPr>
                <w:sz w:val="24"/>
                <w:szCs w:val="24"/>
                <w:color w:val="auto"/>
              </w:rPr>
            </w:pPr>
          </w:p>
        </w:tc>
        <w:tc>
          <w:tcPr>
            <w:tcW w:w="1820" w:type="dxa"/>
            <w:vAlign w:val="bottom"/>
            <w:tcBorders>
              <w:bottom w:val="single" w:sz="8" w:color="0000EE"/>
            </w:tcBorders>
            <w:gridSpan w:val="9"/>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Financial Information</w:t>
              </w:r>
            </w:hyperlink>
          </w:p>
        </w:tc>
        <w:tc>
          <w:tcPr>
            <w:tcW w:w="5140" w:type="dxa"/>
            <w:vAlign w:val="bottom"/>
            <w:gridSpan w:val="14"/>
          </w:tcPr>
          <w:p>
            <w:pPr>
              <w:spacing w:after="0"/>
              <w:rPr>
                <w:sz w:val="24"/>
                <w:szCs w:val="24"/>
                <w:color w:val="auto"/>
              </w:rPr>
            </w:pPr>
          </w:p>
        </w:tc>
      </w:tr>
      <w:tr>
        <w:trPr>
          <w:trHeight w:val="398"/>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Item 1.</w:t>
              </w:r>
            </w:hyperlink>
          </w:p>
        </w:tc>
        <w:tc>
          <w:tcPr>
            <w:tcW w:w="700" w:type="dxa"/>
            <w:vAlign w:val="bottom"/>
            <w:gridSpan w:val="5"/>
          </w:tcPr>
          <w:p>
            <w:pPr>
              <w:spacing w:after="0"/>
              <w:rPr>
                <w:sz w:val="24"/>
                <w:szCs w:val="24"/>
                <w:color w:val="auto"/>
              </w:rPr>
            </w:pPr>
          </w:p>
        </w:tc>
        <w:tc>
          <w:tcPr>
            <w:tcW w:w="168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Statements</w:t>
              </w:r>
            </w:hyperlink>
          </w:p>
        </w:tc>
        <w:tc>
          <w:tcPr>
            <w:tcW w:w="5280" w:type="dxa"/>
            <w:vAlign w:val="bottom"/>
            <w:gridSpan w:val="15"/>
          </w:tcPr>
          <w:p>
            <w:pPr>
              <w:spacing w:after="0"/>
              <w:rPr>
                <w:sz w:val="24"/>
                <w:szCs w:val="24"/>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Balance Sheets as of September 30, 2021 and December 31,</w:t>
              </w:r>
            </w:hyperlink>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(Unaudited)</w:t>
              </w:r>
            </w:hyperlink>
          </w:p>
        </w:tc>
        <w:tc>
          <w:tcPr>
            <w:tcW w:w="5420" w:type="dxa"/>
            <w:vAlign w:val="bottom"/>
            <w:gridSpan w:val="16"/>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Operations and Comprehensive Loss for the</w:t>
              </w:r>
            </w:hyperlink>
          </w:p>
        </w:tc>
        <w:tc>
          <w:tcPr>
            <w:tcW w:w="200" w:type="dxa"/>
            <w:vAlign w:val="bottom"/>
            <w:gridSpan w:val="2"/>
          </w:tcPr>
          <w:p>
            <w:pPr>
              <w:spacing w:after="0"/>
              <w:rPr>
                <w:sz w:val="24"/>
                <w:szCs w:val="24"/>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three and nine months ended September 30, 2021 and 2020 (Unaudited)</w:t>
              </w:r>
            </w:hyperlink>
          </w:p>
        </w:tc>
        <w:tc>
          <w:tcPr>
            <w:tcW w:w="1020" w:type="dxa"/>
            <w:vAlign w:val="bottom"/>
            <w:gridSpan w:val="6"/>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Convertible Preferred Stock and Stockholders’</w:t>
              </w:r>
            </w:hyperlink>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Equity (Deficit) for the three and nine months ended September 30, 2021 and 2020</w:t>
              </w:r>
            </w:hyperlink>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240" w:type="dxa"/>
            <w:vAlign w:val="bottom"/>
            <w:gridSpan w:val="3"/>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nine months ended</w:t>
              </w:r>
            </w:hyperlink>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1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September 30, 2021 and 2020 (Unaudited)</w:t>
              </w:r>
            </w:hyperlink>
          </w:p>
        </w:tc>
        <w:tc>
          <w:tcPr>
            <w:tcW w:w="660" w:type="dxa"/>
            <w:vAlign w:val="bottom"/>
            <w:gridSpan w:val="4"/>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399"/>
        </w:trPr>
        <w:tc>
          <w:tcPr>
            <w:tcW w:w="540" w:type="dxa"/>
            <w:vAlign w:val="bottom"/>
            <w:gridSpan w:val="3"/>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Item 2.</w:t>
              </w:r>
            </w:hyperlink>
          </w:p>
        </w:tc>
        <w:tc>
          <w:tcPr>
            <w:tcW w:w="700" w:type="dxa"/>
            <w:vAlign w:val="bottom"/>
            <w:gridSpan w:val="5"/>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w:t>
              </w:r>
            </w:hyperlink>
          </w:p>
        </w:tc>
      </w:tr>
      <w:tr>
        <w:trPr>
          <w:trHeight w:val="196"/>
        </w:trPr>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Operations</w:t>
              </w:r>
            </w:hyperlink>
          </w:p>
        </w:tc>
        <w:tc>
          <w:tcPr>
            <w:tcW w:w="5100" w:type="dxa"/>
            <w:vAlign w:val="bottom"/>
            <w:tcBorders>
              <w:top w:val="single" w:sz="8" w:color="0000EE"/>
            </w:tcBorders>
            <w:gridSpan w:val="14"/>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385"/>
        </w:trPr>
        <w:tc>
          <w:tcPr>
            <w:tcW w:w="560" w:type="dxa"/>
            <w:vAlign w:val="bottom"/>
            <w:gridSpan w:val="4"/>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Item 3.</w:t>
              </w:r>
            </w:hyperlink>
          </w:p>
        </w:tc>
        <w:tc>
          <w:tcPr>
            <w:tcW w:w="680" w:type="dxa"/>
            <w:vAlign w:val="bottom"/>
            <w:gridSpan w:val="4"/>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r>
      <w:tr>
        <w:trPr>
          <w:trHeight w:val="399"/>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2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260" w:type="dxa"/>
            <w:vAlign w:val="bottom"/>
            <w:gridSpan w:val="9"/>
          </w:tcPr>
          <w:p>
            <w:pPr>
              <w:spacing w:after="0"/>
              <w:rPr>
                <w:sz w:val="24"/>
                <w:szCs w:val="24"/>
                <w:color w:val="auto"/>
              </w:rPr>
            </w:pPr>
          </w:p>
        </w:tc>
      </w:tr>
      <w:tr>
        <w:trPr>
          <w:trHeight w:val="398"/>
        </w:trPr>
        <w:tc>
          <w:tcPr>
            <w:tcW w:w="5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700" w:type="dxa"/>
            <w:vAlign w:val="bottom"/>
            <w:gridSpan w:val="5"/>
          </w:tcPr>
          <w:p>
            <w:pPr>
              <w:spacing w:after="0"/>
              <w:rPr>
                <w:sz w:val="24"/>
                <w:szCs w:val="24"/>
                <w:color w:val="auto"/>
              </w:rPr>
            </w:pPr>
          </w:p>
        </w:tc>
        <w:tc>
          <w:tcPr>
            <w:tcW w:w="198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4980" w:type="dxa"/>
            <w:vAlign w:val="bottom"/>
            <w:gridSpan w:val="12"/>
          </w:tcPr>
          <w:p>
            <w:pPr>
              <w:spacing w:after="0"/>
              <w:rPr>
                <w:sz w:val="24"/>
                <w:szCs w:val="24"/>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8"/>
        </w:trPr>
        <w:tc>
          <w:tcPr>
            <w:tcW w:w="560" w:type="dxa"/>
            <w:vAlign w:val="bottom"/>
            <w:gridSpan w:val="4"/>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1.</w:t>
              </w:r>
            </w:hyperlink>
          </w:p>
        </w:tc>
        <w:tc>
          <w:tcPr>
            <w:tcW w:w="680" w:type="dxa"/>
            <w:vAlign w:val="bottom"/>
            <w:gridSpan w:val="4"/>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r>
      <w:tr>
        <w:trPr>
          <w:trHeight w:val="20"/>
        </w:trPr>
        <w:tc>
          <w:tcPr>
            <w:tcW w:w="5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r>
      <w:tr>
        <w:trPr>
          <w:trHeight w:val="399"/>
        </w:trPr>
        <w:tc>
          <w:tcPr>
            <w:tcW w:w="6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1A.</w:t>
              </w:r>
            </w:hyperlink>
          </w:p>
        </w:tc>
        <w:tc>
          <w:tcPr>
            <w:tcW w:w="580" w:type="dxa"/>
            <w:vAlign w:val="bottom"/>
            <w:gridSpan w:val="3"/>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Risk Factors</w:t>
              </w:r>
            </w:hyperlink>
          </w:p>
        </w:tc>
        <w:tc>
          <w:tcPr>
            <w:tcW w:w="5960" w:type="dxa"/>
            <w:vAlign w:val="bottom"/>
            <w:gridSpan w:val="20"/>
          </w:tcPr>
          <w:p>
            <w:pPr>
              <w:spacing w:after="0"/>
              <w:rPr>
                <w:sz w:val="24"/>
                <w:szCs w:val="24"/>
                <w:color w:val="auto"/>
              </w:rPr>
            </w:pPr>
          </w:p>
        </w:tc>
      </w:tr>
      <w:tr>
        <w:trPr>
          <w:trHeight w:val="398"/>
        </w:trPr>
        <w:tc>
          <w:tcPr>
            <w:tcW w:w="560" w:type="dxa"/>
            <w:vAlign w:val="bottom"/>
            <w:gridSpan w:val="4"/>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Item 2.</w:t>
              </w:r>
            </w:hyperlink>
          </w:p>
        </w:tc>
        <w:tc>
          <w:tcPr>
            <w:tcW w:w="680" w:type="dxa"/>
            <w:vAlign w:val="bottom"/>
            <w:gridSpan w:val="4"/>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Unregistered Sales of Equity Securities and Use of Proceeds</w:t>
              </w:r>
            </w:hyperlink>
          </w:p>
        </w:tc>
      </w:tr>
      <w:tr>
        <w:trPr>
          <w:trHeight w:val="398"/>
        </w:trPr>
        <w:tc>
          <w:tcPr>
            <w:tcW w:w="560" w:type="dxa"/>
            <w:vAlign w:val="bottom"/>
            <w:tcBorders>
              <w:top w:val="single" w:sz="8" w:color="0000EE"/>
            </w:tcBorders>
            <w:gridSpan w:val="4"/>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Item 3.</w:t>
              </w:r>
            </w:hyperlink>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5"/>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Defaults Upon Senior Securities</w:t>
              </w:r>
            </w:hyperlink>
          </w:p>
        </w:tc>
        <w:tc>
          <w:tcPr>
            <w:tcW w:w="2120" w:type="dxa"/>
            <w:vAlign w:val="bottom"/>
            <w:gridSpan w:val="8"/>
          </w:tcPr>
          <w:p>
            <w:pPr>
              <w:spacing w:after="0"/>
              <w:rPr>
                <w:sz w:val="24"/>
                <w:szCs w:val="24"/>
                <w:color w:val="auto"/>
              </w:rPr>
            </w:pPr>
          </w:p>
        </w:tc>
      </w:tr>
      <w:tr>
        <w:trPr>
          <w:trHeight w:val="398"/>
        </w:trPr>
        <w:tc>
          <w:tcPr>
            <w:tcW w:w="560" w:type="dxa"/>
            <w:vAlign w:val="bottom"/>
            <w:tcBorders>
              <w:top w:val="single" w:sz="8" w:color="0000EE"/>
            </w:tcBorders>
            <w:gridSpan w:val="4"/>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Item 4.</w:t>
              </w:r>
            </w:hyperlink>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Mine Safety Disclosures</w:t>
              </w:r>
            </w:hyperlink>
          </w:p>
        </w:tc>
        <w:tc>
          <w:tcPr>
            <w:tcW w:w="4420" w:type="dxa"/>
            <w:vAlign w:val="bottom"/>
            <w:gridSpan w:val="11"/>
          </w:tcPr>
          <w:p>
            <w:pPr>
              <w:spacing w:after="0"/>
              <w:rPr>
                <w:sz w:val="24"/>
                <w:szCs w:val="24"/>
                <w:color w:val="auto"/>
              </w:rPr>
            </w:pPr>
          </w:p>
        </w:tc>
      </w:tr>
      <w:tr>
        <w:trPr>
          <w:trHeight w:val="399"/>
        </w:trPr>
        <w:tc>
          <w:tcPr>
            <w:tcW w:w="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Item 5.</w:t>
              </w:r>
            </w:hyperlink>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Other Information</w:t>
              </w:r>
            </w:hyperlink>
          </w:p>
        </w:tc>
        <w:tc>
          <w:tcPr>
            <w:tcW w:w="520" w:type="dxa"/>
            <w:vAlign w:val="bottom"/>
            <w:tcBorders>
              <w:top w:val="single" w:sz="8" w:color="0000EE"/>
            </w:tcBorders>
            <w:gridSpan w:val="5"/>
          </w:tcPr>
          <w:p>
            <w:pPr>
              <w:spacing w:after="0"/>
              <w:rPr>
                <w:sz w:val="24"/>
                <w:szCs w:val="24"/>
                <w:color w:val="auto"/>
              </w:rPr>
            </w:pPr>
          </w:p>
        </w:tc>
        <w:tc>
          <w:tcPr>
            <w:tcW w:w="5040" w:type="dxa"/>
            <w:vAlign w:val="bottom"/>
            <w:gridSpan w:val="13"/>
          </w:tcPr>
          <w:p>
            <w:pPr>
              <w:spacing w:after="0"/>
              <w:rPr>
                <w:sz w:val="24"/>
                <w:szCs w:val="24"/>
                <w:color w:val="auto"/>
              </w:rPr>
            </w:pPr>
          </w:p>
        </w:tc>
      </w:tr>
      <w:tr>
        <w:trPr>
          <w:trHeight w:val="398"/>
        </w:trPr>
        <w:tc>
          <w:tcPr>
            <w:tcW w:w="540" w:type="dxa"/>
            <w:vAlign w:val="bottom"/>
            <w:gridSpan w:val="3"/>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Item 6.</w:t>
              </w:r>
            </w:hyperlink>
          </w:p>
        </w:tc>
        <w:tc>
          <w:tcPr>
            <w:tcW w:w="700" w:type="dxa"/>
            <w:vAlign w:val="bottom"/>
            <w:gridSpan w:val="5"/>
          </w:tcPr>
          <w:p>
            <w:pPr>
              <w:spacing w:after="0"/>
              <w:rPr>
                <w:sz w:val="24"/>
                <w:szCs w:val="24"/>
                <w:color w:val="auto"/>
              </w:rPr>
            </w:pPr>
          </w:p>
        </w:tc>
        <w:tc>
          <w:tcPr>
            <w:tcW w:w="6960" w:type="dxa"/>
            <w:vAlign w:val="bottom"/>
            <w:gridSpan w:val="2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02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77">
              <w:r>
                <w:rPr>
                  <w:rFonts w:ascii="Arial" w:cs="Arial" w:eastAsia="Arial" w:hAnsi="Arial"/>
                  <w:sz w:val="18"/>
                  <w:szCs w:val="18"/>
                  <w:color w:val="0000EE"/>
                  <w:w w:val="96"/>
                </w:rPr>
                <w:t>Exhibit Index</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124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0"/>
        </w:trPr>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13"/>
          </w:tcPr>
          <w:p>
            <w:pPr>
              <w:ind w:left="316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1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7</w:t>
      </w:r>
    </w:p>
    <w:p>
      <w:pPr>
        <w:spacing w:after="0" w:line="200" w:lineRule="exact"/>
        <w:rPr>
          <w:sz w:val="20"/>
          <w:szCs w:val="20"/>
          <w:color w:val="auto"/>
        </w:rPr>
      </w:pP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9</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14"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33</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35</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35</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76</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76</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76</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77</w:t>
      </w:r>
    </w:p>
    <w:p>
      <w:pPr>
        <w:spacing w:after="0" w:line="212"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2">
            <w:col w:w="8260" w:space="320"/>
            <w:col w:w="43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206"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II, Item 1A. “Risk Factors” in this Quarterly Report on Form 10-Q, which are summarized below. Moreover, we operate in an evolving environment. New risk factors and uncertainties may emerge from time to time, and it is not possible for management to predict all risk factors and uncertainties.</w:t>
      </w:r>
    </w:p>
    <w:p>
      <w:pPr>
        <w:spacing w:after="0" w:line="195"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but are not limited to, the following:</w:t>
      </w:r>
    </w:p>
    <w:p>
      <w:pPr>
        <w:spacing w:after="0" w:line="205" w:lineRule="exact"/>
        <w:rPr>
          <w:sz w:val="20"/>
          <w:szCs w:val="20"/>
          <w:color w:val="auto"/>
        </w:rPr>
      </w:pPr>
    </w:p>
    <w:p>
      <w:pPr>
        <w:ind w:left="720" w:right="7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88" w:lineRule="exact"/>
        <w:rPr>
          <w:rFonts w:ascii="Arial" w:cs="Arial" w:eastAsia="Arial" w:hAnsi="Arial"/>
          <w:sz w:val="18"/>
          <w:szCs w:val="18"/>
          <w:color w:val="auto"/>
        </w:rPr>
      </w:pPr>
    </w:p>
    <w:p>
      <w:pPr>
        <w:ind w:left="720" w:right="115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94" w:lineRule="exact"/>
        <w:rPr>
          <w:rFonts w:ascii="Arial" w:cs="Arial" w:eastAsia="Arial" w:hAnsi="Arial"/>
          <w:sz w:val="18"/>
          <w:szCs w:val="18"/>
          <w:color w:val="auto"/>
        </w:rPr>
      </w:pPr>
    </w:p>
    <w:p>
      <w:pPr>
        <w:ind w:left="720" w:right="89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history operating as a commercial company and are highly dependent on a single product, BAROSTIM NEO, and the failure to obtain market acceptance in the U.S. for BAROSTIM NEO would negatively impact our business, liquidity and results of operations;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65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commercial sales experience marketing and selling our BAROSTIM NEO, and if we are unable to establish and maintain sales and marketing capabilities, we will be unable to successfully commercialize our BAROSTIM NEO or generate sustained and increasing product revenue;</w:t>
      </w:r>
    </w:p>
    <w:p>
      <w:pPr>
        <w:spacing w:after="0" w:line="9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demonstrate to physicians and patients the merits of our BAROSTIM NEO;</w:t>
      </w:r>
    </w:p>
    <w:p>
      <w:pPr>
        <w:spacing w:after="0" w:line="117" w:lineRule="exact"/>
        <w:rPr>
          <w:rFonts w:ascii="Arial" w:cs="Arial" w:eastAsia="Arial" w:hAnsi="Arial"/>
          <w:sz w:val="18"/>
          <w:szCs w:val="18"/>
          <w:color w:val="auto"/>
        </w:rPr>
      </w:pPr>
    </w:p>
    <w:p>
      <w:pPr>
        <w:ind w:left="720" w:right="12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third-party payors do not provide adequate coverage and reimbursement for the use of BAROSTIM NEO, our revenue will be negatively impacted;</w:t>
      </w:r>
    </w:p>
    <w:p>
      <w:pPr>
        <w:spacing w:after="0" w:line="88" w:lineRule="exact"/>
        <w:rPr>
          <w:rFonts w:ascii="Arial" w:cs="Arial" w:eastAsia="Arial" w:hAnsi="Arial"/>
          <w:sz w:val="18"/>
          <w:szCs w:val="18"/>
          <w:color w:val="auto"/>
        </w:rPr>
      </w:pPr>
    </w:p>
    <w:p>
      <w:pPr>
        <w:ind w:left="720" w:right="73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NEO, our business will be adversely impacted;</w:t>
      </w:r>
    </w:p>
    <w:p>
      <w:pPr>
        <w:spacing w:after="0" w:line="9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receive access to hospitals, our sales may decrease;</w:t>
      </w:r>
    </w:p>
    <w:p>
      <w:pPr>
        <w:spacing w:after="0" w:line="117" w:lineRule="exact"/>
        <w:rPr>
          <w:rFonts w:ascii="Arial" w:cs="Arial" w:eastAsia="Arial" w:hAnsi="Arial"/>
          <w:sz w:val="18"/>
          <w:szCs w:val="18"/>
          <w:color w:val="auto"/>
        </w:rPr>
      </w:pPr>
    </w:p>
    <w:p>
      <w:pPr>
        <w:ind w:left="720" w:right="8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94" w:lineRule="exact"/>
        <w:rPr>
          <w:rFonts w:ascii="Arial" w:cs="Arial" w:eastAsia="Arial" w:hAnsi="Arial"/>
          <w:sz w:val="18"/>
          <w:szCs w:val="18"/>
          <w:color w:val="auto"/>
        </w:rPr>
      </w:pPr>
    </w:p>
    <w:p>
      <w:pPr>
        <w:ind w:left="720" w:right="5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88" w:lineRule="exact"/>
        <w:rPr>
          <w:rFonts w:ascii="Arial" w:cs="Arial" w:eastAsia="Arial" w:hAnsi="Arial"/>
          <w:sz w:val="18"/>
          <w:szCs w:val="18"/>
          <w:color w:val="auto"/>
        </w:rPr>
      </w:pPr>
    </w:p>
    <w:p>
      <w:pPr>
        <w:ind w:left="720" w:right="5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94" w:lineRule="exact"/>
        <w:rPr>
          <w:rFonts w:ascii="Arial" w:cs="Arial" w:eastAsia="Arial" w:hAnsi="Arial"/>
          <w:sz w:val="18"/>
          <w:szCs w:val="18"/>
          <w:color w:val="auto"/>
        </w:rPr>
      </w:pPr>
    </w:p>
    <w:p>
      <w:pPr>
        <w:ind w:left="720" w:right="5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88" w:lineRule="exact"/>
        <w:rPr>
          <w:rFonts w:ascii="Arial" w:cs="Arial" w:eastAsia="Arial" w:hAnsi="Arial"/>
          <w:sz w:val="18"/>
          <w:szCs w:val="18"/>
          <w:color w:val="auto"/>
        </w:rPr>
      </w:pPr>
    </w:p>
    <w:p>
      <w:pPr>
        <w:ind w:left="720" w:right="51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96" w:lineRule="exact"/>
        <w:rPr>
          <w:rFonts w:ascii="Arial" w:cs="Arial" w:eastAsia="Arial" w:hAnsi="Arial"/>
          <w:sz w:val="18"/>
          <w:szCs w:val="18"/>
          <w:color w:val="auto"/>
        </w:rPr>
      </w:pPr>
    </w:p>
    <w:p>
      <w:pPr>
        <w:ind w:left="720" w:right="679" w:hanging="319"/>
        <w:spacing w:after="0" w:line="274"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66" w:lineRule="exact"/>
        <w:rPr>
          <w:rFonts w:ascii="Arial" w:cs="Arial" w:eastAsia="Arial" w:hAnsi="Arial"/>
          <w:sz w:val="17"/>
          <w:szCs w:val="17"/>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170,913</w:t>
            </w: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203"/>
        </w:trPr>
        <w:tc>
          <w:tcPr>
            <w:tcW w:w="652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3,421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r>
      <w:tr>
        <w:trPr>
          <w:trHeight w:val="203"/>
        </w:trPr>
        <w:tc>
          <w:tcPr>
            <w:tcW w:w="6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6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605</w:t>
            </w:r>
          </w:p>
        </w:tc>
      </w:tr>
      <w:tr>
        <w:trPr>
          <w:trHeight w:val="196"/>
        </w:trPr>
        <w:tc>
          <w:tcPr>
            <w:tcW w:w="65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180,697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64,341</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36"/>
        </w:trPr>
        <w:tc>
          <w:tcPr>
            <w:tcW w:w="65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181,707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64,777</w:t>
            </w:r>
          </w:p>
        </w:tc>
      </w:tr>
      <w:tr>
        <w:trPr>
          <w:trHeight w:val="183"/>
        </w:trPr>
        <w:tc>
          <w:tcPr>
            <w:tcW w:w="652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r>
      <w:tr>
        <w:trPr>
          <w:trHeight w:val="203"/>
        </w:trPr>
        <w:tc>
          <w:tcPr>
            <w:tcW w:w="652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4,977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3,583</w:t>
            </w:r>
          </w:p>
        </w:tc>
      </w:tr>
      <w:tr>
        <w:trPr>
          <w:trHeight w:val="203"/>
        </w:trPr>
        <w:tc>
          <w:tcPr>
            <w:tcW w:w="6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3,911</w:t>
            </w:r>
          </w:p>
        </w:tc>
      </w:tr>
      <w:tr>
        <w:trPr>
          <w:trHeight w:val="203"/>
        </w:trPr>
        <w:tc>
          <w:tcPr>
            <w:tcW w:w="65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8,851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7,977</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16,151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19,278</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r>
      <w:tr>
        <w:trPr>
          <w:trHeight w:val="236"/>
        </w:trPr>
        <w:tc>
          <w:tcPr>
            <w:tcW w:w="65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25,943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28,032</w:t>
            </w:r>
          </w:p>
        </w:tc>
      </w:tr>
      <w:tr>
        <w:trPr>
          <w:trHeight w:val="183"/>
        </w:trPr>
        <w:tc>
          <w:tcPr>
            <w:tcW w:w="652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Convertible preferred stock, $0.01 par value, 10,000,000 and 237,370,645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authorized as of September 30, 2021 and December 31, 2020, respectively; 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and 223,541,754 shares issued and outstanding as of September 30, 2021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3" w:lineRule="exact"/>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329,983</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Common stock, $0.01 par value, 200,000,000 and 625,217,795 authorized as of</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September 30, 2021 and December 31, 2020, respectively; 20,351,779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360,412 shares issued and outstanding as of September 30, 2021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520" w:type="dxa"/>
            <w:vAlign w:val="bottom"/>
          </w:tcPr>
          <w:p>
            <w:pPr>
              <w:spacing w:after="0" w:line="203" w:lineRule="exact"/>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539,941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58,624</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(384,184)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(351,676)</w:t>
            </w: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196"/>
        </w:trPr>
        <w:tc>
          <w:tcPr>
            <w:tcW w:w="652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155,764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(293,238)</w:t>
            </w:r>
          </w:p>
        </w:tc>
      </w:tr>
      <w:tr>
        <w:trPr>
          <w:trHeight w:val="196"/>
        </w:trPr>
        <w:tc>
          <w:tcPr>
            <w:tcW w:w="652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convertible preferred stock, and stockholders’ equity (deficit)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181,707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64,777</w:t>
            </w: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3,965</w:t>
            </w:r>
          </w:p>
        </w:tc>
      </w:tr>
      <w:tr>
        <w:trPr>
          <w:trHeight w:val="203"/>
        </w:trPr>
        <w:tc>
          <w:tcPr>
            <w:tcW w:w="4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989</w:t>
            </w:r>
          </w:p>
        </w:tc>
      </w:tr>
      <w:tr>
        <w:trPr>
          <w:trHeight w:val="196"/>
        </w:trPr>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w:t>
            </w:r>
          </w:p>
        </w:tc>
      </w:tr>
      <w:tr>
        <w:trPr>
          <w:trHeight w:val="196"/>
        </w:trPr>
        <w:tc>
          <w:tcPr>
            <w:tcW w:w="43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3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5,900</w:t>
            </w:r>
          </w:p>
        </w:tc>
      </w:tr>
      <w:tr>
        <w:trPr>
          <w:trHeight w:val="203"/>
        </w:trPr>
        <w:tc>
          <w:tcPr>
            <w:tcW w:w="43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18,198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6,455</w:t>
            </w:r>
          </w:p>
        </w:tc>
      </w:tr>
      <w:tr>
        <w:trPr>
          <w:trHeight w:val="196"/>
        </w:trPr>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9,810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23,902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12,355</w:t>
            </w:r>
          </w:p>
        </w:tc>
      </w:tr>
      <w:tr>
        <w:trPr>
          <w:trHeight w:val="196"/>
        </w:trPr>
        <w:tc>
          <w:tcPr>
            <w:tcW w:w="434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(7,291)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(3,042)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(17,180)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(9,379)</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(1,856)</w:t>
            </w:r>
          </w:p>
        </w:tc>
      </w:tr>
      <w:tr>
        <w:trPr>
          <w:trHeight w:val="203"/>
        </w:trPr>
        <w:tc>
          <w:tcPr>
            <w:tcW w:w="4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(13,439)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592</w:t>
            </w:r>
          </w:p>
        </w:tc>
      </w:tr>
      <w:tr>
        <w:trPr>
          <w:trHeight w:val="196"/>
        </w:trPr>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(10,643)</w:t>
            </w:r>
          </w:p>
        </w:tc>
      </w:tr>
      <w:tr>
        <w:trPr>
          <w:trHeight w:val="203"/>
        </w:trPr>
        <w:tc>
          <w:tcPr>
            <w:tcW w:w="4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w:t>
            </w:r>
          </w:p>
        </w:tc>
      </w:tr>
      <w:tr>
        <w:trPr>
          <w:trHeight w:val="196"/>
        </w:trPr>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(10,707)</w:t>
            </w:r>
          </w:p>
        </w:tc>
      </w:tr>
      <w:tr>
        <w:trPr>
          <w:trHeight w:val="203"/>
        </w:trPr>
        <w:tc>
          <w:tcPr>
            <w:tcW w:w="4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r>
      <w:tr>
        <w:trPr>
          <w:trHeight w:val="196"/>
        </w:trPr>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(32,516)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(10,714)</w:t>
            </w:r>
          </w:p>
        </w:tc>
      </w:tr>
      <w:tr>
        <w:trPr>
          <w:trHeight w:val="196"/>
        </w:trPr>
        <w:tc>
          <w:tcPr>
            <w:tcW w:w="43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(9.56)</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(4.66)</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(27.58)</w:t>
            </w:r>
          </w:p>
        </w:tc>
      </w:tr>
      <w:tr>
        <w:trPr>
          <w:trHeight w:val="202"/>
        </w:trPr>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20,126,672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360,356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6,975,386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396,071</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780" w:type="dxa"/>
            <w:vAlign w:val="bottom"/>
            <w:gridSpan w:val="5"/>
          </w:tcPr>
          <w:p>
            <w:pPr>
              <w:jc w:val="right"/>
              <w:ind w:right="600"/>
              <w:spacing w:after="0" w:line="135" w:lineRule="exact"/>
              <w:rPr>
                <w:sz w:val="20"/>
                <w:szCs w:val="20"/>
                <w:color w:val="auto"/>
              </w:rPr>
            </w:pPr>
            <w:r>
              <w:rPr>
                <w:rFonts w:ascii="Arial" w:cs="Arial" w:eastAsia="Arial" w:hAnsi="Arial"/>
                <w:sz w:val="13"/>
                <w:szCs w:val="13"/>
                <w:b w:val="1"/>
                <w:bCs w:val="1"/>
                <w:color w:val="auto"/>
              </w:rPr>
              <w:t>Convertible</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other</w:t>
            </w:r>
          </w:p>
        </w:tc>
        <w:tc>
          <w:tcPr>
            <w:tcW w:w="8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17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preferred stock</w:t>
            </w:r>
          </w:p>
        </w:tc>
        <w:tc>
          <w:tcPr>
            <w:tcW w:w="1580" w:type="dxa"/>
            <w:vAlign w:val="bottom"/>
            <w:gridSpan w:val="5"/>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8"/>
              </w:rPr>
              <w:t>paid-in</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8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2"/>
              </w:rPr>
              <w:t>loss</w:t>
            </w: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28"/>
        </w:trPr>
        <w:tc>
          <w:tcPr>
            <w:tcW w:w="18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Balances as of June 30, 2021</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223,541,754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329,983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366,342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59,311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(378,051)</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5,853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net of offering costs</w:t>
            </w: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8,050,000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133,080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133,161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Reverse stock split</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preferred stock</w:t>
            </w: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(223,541,754)</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w w:val="96"/>
              </w:rPr>
              <w:t>(329,983)</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11,929,584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347,069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347,188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 for the three months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ended September 30, 2021</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(6,133)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ind w:left="20"/>
              <w:spacing w:after="0" w:line="113" w:lineRule="exact"/>
              <w:rPr>
                <w:sz w:val="20"/>
                <w:szCs w:val="20"/>
                <w:color w:val="auto"/>
              </w:rPr>
            </w:pPr>
            <w:r>
              <w:rPr>
                <w:rFonts w:ascii="Arial" w:cs="Arial" w:eastAsia="Arial" w:hAnsi="Arial"/>
                <w:sz w:val="13"/>
                <w:szCs w:val="13"/>
                <w:b w:val="1"/>
                <w:bCs w:val="1"/>
                <w:color w:val="auto"/>
              </w:rPr>
              <w:t>Balances as of</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880" w:type="dxa"/>
            <w:vAlign w:val="bottom"/>
            <w:vMerge w:val="continue"/>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20,351,779</w:t>
            </w:r>
          </w:p>
        </w:tc>
        <w:tc>
          <w:tcPr>
            <w:tcW w:w="16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204</w:t>
            </w:r>
          </w:p>
        </w:tc>
        <w:tc>
          <w:tcPr>
            <w:tcW w:w="14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539,941</w:t>
            </w:r>
          </w:p>
        </w:tc>
        <w:tc>
          <w:tcPr>
            <w:tcW w:w="14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(384,184)</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(197)</w:t>
            </w:r>
          </w:p>
        </w:tc>
        <w:tc>
          <w:tcPr>
            <w:tcW w:w="14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155,764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88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September 30, 2021</w:t>
            </w:r>
          </w:p>
        </w:tc>
        <w:tc>
          <w:tcPr>
            <w:tcW w:w="8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Balances as of June 30, 2020</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161,041,754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279,983</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360,237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58,773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(345,047)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(286,480)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 compensation</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Issuance of Series G preferred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stock, net of 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62,500,000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49,783</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Accretion of Series G issuance</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costs</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(217)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80" w:type="dxa"/>
            <w:vAlign w:val="bottom"/>
          </w:tcPr>
          <w:p>
            <w:pPr>
              <w:ind w:left="20"/>
              <w:spacing w:after="0" w:line="129" w:lineRule="exact"/>
              <w:rPr>
                <w:sz w:val="20"/>
                <w:szCs w:val="20"/>
                <w:color w:val="auto"/>
              </w:rPr>
            </w:pPr>
            <w:r>
              <w:rPr>
                <w:rFonts w:ascii="Arial" w:cs="Arial" w:eastAsia="Arial" w:hAnsi="Arial"/>
                <w:sz w:val="13"/>
                <w:szCs w:val="13"/>
                <w:color w:val="auto"/>
              </w:rPr>
              <w:t>Net loss for the three months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1" w:lineRule="exact"/>
              <w:rPr>
                <w:sz w:val="20"/>
                <w:szCs w:val="20"/>
                <w:color w:val="auto"/>
              </w:rPr>
            </w:pPr>
            <w:r>
              <w:rPr>
                <w:rFonts w:ascii="Arial" w:cs="Arial" w:eastAsia="Arial" w:hAnsi="Arial"/>
                <w:sz w:val="13"/>
                <w:szCs w:val="13"/>
                <w:color w:val="auto"/>
              </w:rPr>
              <w:t>ended September 30, 2020</w:t>
            </w: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(3,227)</w:t>
            </w: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(3,227)</w:t>
            </w: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adjustment</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September 30, 2020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223,541,754</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329,983</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360,412</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58,587</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(348,274)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(196)</w:t>
            </w: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(289,879)</w:t>
            </w:r>
          </w:p>
        </w:tc>
        <w:tc>
          <w:tcPr>
            <w:tcW w:w="0" w:type="dxa"/>
            <w:vAlign w:val="bottom"/>
          </w:tcPr>
          <w:p>
            <w:pPr>
              <w:spacing w:after="0"/>
              <w:rPr>
                <w:sz w:val="1"/>
                <w:szCs w:val="1"/>
                <w:color w:val="auto"/>
              </w:rPr>
            </w:pPr>
          </w:p>
        </w:tc>
      </w:tr>
      <w:tr>
        <w:trPr>
          <w:trHeight w:val="128"/>
        </w:trPr>
        <w:tc>
          <w:tcPr>
            <w:tcW w:w="18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8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Convertible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6"/>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5"/>
              </w:rPr>
              <w:t>preferred stock</w:t>
            </w:r>
          </w:p>
        </w:tc>
        <w:tc>
          <w:tcPr>
            <w:tcW w:w="144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3"/>
          </w:tcPr>
          <w:p>
            <w:pPr>
              <w:ind w:left="140"/>
              <w:spacing w:after="0"/>
              <w:rPr>
                <w:sz w:val="20"/>
                <w:szCs w:val="20"/>
                <w:color w:val="auto"/>
              </w:rPr>
            </w:pPr>
            <w:r>
              <w:rPr>
                <w:rFonts w:ascii="Arial" w:cs="Arial" w:eastAsia="Arial" w:hAnsi="Arial"/>
                <w:sz w:val="13"/>
                <w:szCs w:val="13"/>
                <w:b w:val="1"/>
                <w:bCs w:val="1"/>
                <w:color w:val="auto"/>
                <w:w w:val="95"/>
              </w:rPr>
              <w:t>Accumulated</w:t>
            </w:r>
          </w:p>
        </w:tc>
        <w:tc>
          <w:tcPr>
            <w:tcW w:w="1080" w:type="dxa"/>
            <w:vAlign w:val="bottom"/>
            <w:gridSpan w:val="3"/>
          </w:tcPr>
          <w:p>
            <w:pPr>
              <w:ind w:left="140"/>
              <w:spacing w:after="0"/>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(deficit)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9"/>
              </w:rPr>
              <w:t>loss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77"/>
              <w:spacing w:after="0" w:line="129" w:lineRule="exact"/>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Balances as of</w:t>
            </w: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2020</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223,541,754</w:t>
            </w:r>
          </w:p>
        </w:tc>
        <w:tc>
          <w:tcPr>
            <w:tcW w:w="2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329,983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360,412</w:t>
            </w:r>
          </w:p>
        </w:tc>
        <w:tc>
          <w:tcPr>
            <w:tcW w:w="2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58,624</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(351,676)</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(190)</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11,783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Issuance of common stock,</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net of offering 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8,050,000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133,080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133,161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Reverse stock split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Conversion of Series G</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preferred stock</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w w:val="98"/>
              </w:rPr>
              <w:t>(223,541,754)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w w:val="96"/>
              </w:rPr>
              <w:t>(329,983)</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w w:val="98"/>
              </w:rPr>
              <w:t>11,929,584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347,069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347,188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nine months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ended September 30, 2021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(32,508)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(32,508)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as of</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860" w:type="dxa"/>
            <w:vAlign w:val="bottom"/>
            <w:vMerge w:val="continue"/>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20,351,779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204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539,941</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(384,184)</w:t>
            </w:r>
          </w:p>
        </w:tc>
        <w:tc>
          <w:tcPr>
            <w:tcW w:w="2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(197)</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155,764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September 30, 2021</w:t>
            </w:r>
          </w:p>
        </w:tc>
        <w:tc>
          <w:tcPr>
            <w:tcW w:w="8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Balances as of</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December 31, 2019</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161,041,754</w:t>
            </w:r>
          </w:p>
        </w:tc>
        <w:tc>
          <w:tcPr>
            <w:tcW w:w="24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279,983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483,931</w:t>
            </w:r>
          </w:p>
        </w:tc>
        <w:tc>
          <w:tcPr>
            <w:tcW w:w="2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58,708</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(337,567)</w:t>
            </w:r>
          </w:p>
        </w:tc>
        <w:tc>
          <w:tcPr>
            <w:tcW w:w="2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(189)</w:t>
            </w:r>
          </w:p>
        </w:tc>
        <w:tc>
          <w:tcPr>
            <w:tcW w:w="2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(279,043)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(123,694)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line="135" w:lineRule="exact"/>
              <w:rPr>
                <w:sz w:val="20"/>
                <w:szCs w:val="20"/>
                <w:color w:val="auto"/>
              </w:rPr>
            </w:pPr>
            <w:r>
              <w:rPr>
                <w:rFonts w:ascii="Arial" w:cs="Arial" w:eastAsia="Arial" w:hAnsi="Arial"/>
                <w:sz w:val="13"/>
                <w:szCs w:val="13"/>
                <w:color w:val="auto"/>
              </w:rPr>
              <w:t>Employee stock compensation</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G preferred</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stock, net of costs</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62,500,000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49,783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Accretion of Series G issuance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costs</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loss for the nine months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8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ended September 30, 2020</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line="129" w:lineRule="exact"/>
              <w:rPr>
                <w:sz w:val="20"/>
                <w:szCs w:val="20"/>
                <w:color w:val="auto"/>
              </w:rPr>
            </w:pPr>
            <w:r>
              <w:rPr>
                <w:rFonts w:ascii="Arial" w:cs="Arial" w:eastAsia="Arial" w:hAnsi="Arial"/>
                <w:sz w:val="13"/>
                <w:szCs w:val="13"/>
                <w:color w:val="auto"/>
              </w:rPr>
              <w:t>Cumulative translation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80" w:type="dxa"/>
            <w:vAlign w:val="bottom"/>
            <w:gridSpan w:val="2"/>
          </w:tcPr>
          <w:p>
            <w:pPr>
              <w:spacing w:after="0" w:line="141" w:lineRule="exact"/>
              <w:rPr>
                <w:sz w:val="20"/>
                <w:szCs w:val="20"/>
                <w:color w:val="auto"/>
              </w:rPr>
            </w:pPr>
            <w:r>
              <w:rPr>
                <w:rFonts w:ascii="Arial" w:cs="Arial" w:eastAsia="Arial" w:hAnsi="Arial"/>
                <w:sz w:val="13"/>
                <w:szCs w:val="13"/>
                <w:color w:val="auto"/>
              </w:rPr>
              <w:t>adjustment</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86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Balances as of</w:t>
            </w:r>
          </w:p>
        </w:tc>
        <w:tc>
          <w:tcPr>
            <w:tcW w:w="8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223,541,754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329,983</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360,412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58,587</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(348,274)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(289,879)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2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(32,508)</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(10,707)</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(1,243)</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(20,717)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(12,012)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Proceeds from issuance of Series G Preferred Stock, net of fees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49,783</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related to reverse stock split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the issuance of common stock, net of offering costs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133,161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133,170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49,783</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111,801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37,554</w:t>
            </w: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59,112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25,741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170,913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63,295</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1,528</w:t>
            </w:r>
          </w:p>
        </w:tc>
      </w:tr>
      <w:tr>
        <w:trPr>
          <w:trHeight w:val="217"/>
        </w:trPr>
        <w:tc>
          <w:tcPr>
            <w:tcW w:w="6280" w:type="dxa"/>
            <w:vAlign w:val="bottom"/>
          </w:tcPr>
          <w:p>
            <w:pPr>
              <w:ind w:left="100"/>
              <w:spacing w:after="0"/>
              <w:rPr>
                <w:sz w:val="20"/>
                <w:szCs w:val="20"/>
                <w:color w:val="auto"/>
              </w:rPr>
            </w:pPr>
            <w:r>
              <w:rPr>
                <w:rFonts w:ascii="Arial" w:cs="Arial" w:eastAsia="Arial" w:hAnsi="Arial"/>
                <w:sz w:val="18"/>
                <w:szCs w:val="18"/>
                <w:color w:val="auto"/>
              </w:rPr>
              <w:t>Cash paid for income taxes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38"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NEO, for heart failure (“HF”) and resistant hypertension. The Company is focused on the sale of its product in the U.S. and Europe.</w:t>
      </w:r>
    </w:p>
    <w:p>
      <w:pPr>
        <w:spacing w:after="0" w:line="20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208"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3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September 30, 2021 and December 31, 2020, cash equivalents consisted of money market funds, which are stated at cost and approximate fair value.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3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sells its products primarily through a direct sales force and to a lesser extent through a combination of sales agents and independent distributors. The Company’s revenue consists primarily of the sale of its BAROSTIM NEO, which consists of two implantable components: a pulse generator and a stimulation lead.</w:t>
      </w:r>
    </w:p>
    <w:p>
      <w:pPr>
        <w:spacing w:after="0" w:line="18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In February 2016, the Financial Accounting Standards Board issued Accounting Standards Update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842”)</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Topic 842 is to increase the transparency and comparability among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by recognizing lease assets and lease liabilities on the balance sheet, including those previously classified as operating leases under current U.S. GAAP and disclosing key information about leasing arrangements. Topic 842 is effective for private companies and smaller reporting companies for annual periods beginning after December 15, 2021 and interim periods within fiscal years beginning after December 15, 2022. Early adoption is permitted, and the Company must elect whether the date of initial application is the beginning of the earliest comparative period presented in the financial statements, or the beginning of the period of adoption. While the Company is still in the process of determining the effect that the new standard will have on its financial position and results of operations, the Company expects to recognize additional assets and corresponding liabilities on its condensed consolidated balance sheets, as a result of its operating lease portfolio as disclosed in Note 10 — Commitments and Contingencies.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3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1,083</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3,440</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consists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196"/>
        </w:trPr>
        <w:tc>
          <w:tcPr>
            <w:tcW w:w="6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Lab equipment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1,440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r>
      <w:tr>
        <w:trPr>
          <w:trHeight w:val="203"/>
        </w:trPr>
        <w:tc>
          <w:tcPr>
            <w:tcW w:w="6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6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2,755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2,110</w:t>
            </w:r>
          </w:p>
        </w:tc>
      </w:tr>
      <w:tr>
        <w:trPr>
          <w:trHeight w:val="203"/>
        </w:trPr>
        <w:tc>
          <w:tcPr>
            <w:tcW w:w="6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1,812</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w:t>
            </w: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color w:val="auto"/>
        </w:rPr>
        <w:t>Depreciation expense was $42,000 and $17,000 for the three months ended September 30, 2021 and 2020, respectively, and $112,000 and $52,000 for the nine months ended September 30, 2021 and 2020, respectively.</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196"/>
        </w:trPr>
        <w:tc>
          <w:tcPr>
            <w:tcW w:w="6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1,638</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1,690</w:t>
            </w: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794</w:t>
            </w:r>
          </w:p>
        </w:tc>
      </w:tr>
      <w:tr>
        <w:trPr>
          <w:trHeight w:val="203"/>
        </w:trPr>
        <w:tc>
          <w:tcPr>
            <w:tcW w:w="6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356</w:t>
            </w:r>
          </w:p>
        </w:tc>
      </w:tr>
      <w:tr>
        <w:trPr>
          <w:trHeight w:val="202"/>
        </w:trPr>
        <w:tc>
          <w:tcPr>
            <w:tcW w:w="6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196"/>
        </w:trPr>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6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4,977</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3,583</w:t>
            </w:r>
          </w:p>
        </w:tc>
      </w:tr>
      <w:tr>
        <w:trPr>
          <w:trHeight w:val="20"/>
        </w:trPr>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3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225" w:lineRule="exact"/>
        <w:rPr>
          <w:rFonts w:ascii="Arial" w:cs="Arial" w:eastAsia="Arial" w:hAnsi="Arial"/>
          <w:sz w:val="18"/>
          <w:szCs w:val="18"/>
          <w:color w:val="auto"/>
        </w:rPr>
      </w:pPr>
    </w:p>
    <w:p>
      <w:pPr>
        <w:ind w:left="380" w:right="299"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202"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225"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The following table sets forth the Company’s liabilities that were measured at fair value on a recurring basis by level within the fair value hierarchy:</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5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3,911</w:t>
            </w:r>
          </w:p>
        </w:tc>
        <w:tc>
          <w:tcPr>
            <w:tcW w:w="2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ind w:left="80"/>
              <w:spacing w:after="0" w:line="202" w:lineRule="exact"/>
              <w:rPr>
                <w:sz w:val="20"/>
                <w:szCs w:val="20"/>
                <w:color w:val="auto"/>
              </w:rPr>
            </w:pPr>
            <w:r>
              <w:rPr>
                <w:rFonts w:ascii="Arial" w:cs="Arial" w:eastAsia="Arial" w:hAnsi="Arial"/>
                <w:sz w:val="18"/>
                <w:szCs w:val="18"/>
                <w:color w:val="auto"/>
              </w:rPr>
              <w:t>3,911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3,911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vMerge w:val="restart"/>
          </w:tcPr>
          <w:p>
            <w:pPr>
              <w:jc w:val="right"/>
              <w:ind w:right="5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The convertible preferred stock warrant liability related to warrants issued in connection with loan and security agreements entered into in September 2014, as amended in July 2015, in May 2016 and in September 2019. These warrants were originally issued to purchase shares of Series F-2 convertible preferred stock and Series G convertible preferred stock (“Series G Preferred Shares”). </w:t>
      </w:r>
      <w:r>
        <w:rPr>
          <w:rFonts w:ascii="Arial" w:cs="Arial" w:eastAsia="Arial" w:hAnsi="Arial"/>
          <w:sz w:val="18"/>
          <w:szCs w:val="18"/>
          <w:color w:val="231F20"/>
        </w:rPr>
        <w:t>In connection with the closing of the initial</w:t>
      </w:r>
      <w:r>
        <w:rPr>
          <w:rFonts w:ascii="Arial" w:cs="Arial" w:eastAsia="Arial" w:hAnsi="Arial"/>
          <w:sz w:val="18"/>
          <w:szCs w:val="18"/>
          <w:color w:val="auto"/>
        </w:rPr>
        <w:t xml:space="preserve"> </w:t>
      </w:r>
      <w:r>
        <w:rPr>
          <w:rFonts w:ascii="Arial" w:cs="Arial" w:eastAsia="Arial" w:hAnsi="Arial"/>
          <w:sz w:val="18"/>
          <w:szCs w:val="18"/>
          <w:color w:val="231F20"/>
        </w:rPr>
        <w:t>public offering (“IPO”), these convertible preferred stock warrants became warrants to purchase 108,406 shares of common stock and were reclassified to equity.</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The convertible preferred stock warrant liability also related to a warrant issued to Biosense Webster, Inc. (“BWI”), an affiliate of Johnson &amp; Johnson Innovation — JJDC, Inc., to purchase Series G Preferred Shares with an exercise price of $0.01 per share. </w:t>
      </w:r>
      <w:r>
        <w:rPr>
          <w:rFonts w:ascii="Arial" w:cs="Arial" w:eastAsia="Arial" w:hAnsi="Arial"/>
          <w:sz w:val="18"/>
          <w:szCs w:val="18"/>
          <w:color w:val="231F20"/>
        </w:rPr>
        <w:t>In connection with the closing of the IPO, the BWI warrant to purchase</w:t>
      </w:r>
      <w:r>
        <w:rPr>
          <w:rFonts w:ascii="Arial" w:cs="Arial" w:eastAsia="Arial" w:hAnsi="Arial"/>
          <w:sz w:val="18"/>
          <w:szCs w:val="18"/>
          <w:color w:val="auto"/>
        </w:rPr>
        <w:t xml:space="preserve"> </w:t>
      </w:r>
      <w:r>
        <w:rPr>
          <w:rFonts w:ascii="Arial" w:cs="Arial" w:eastAsia="Arial" w:hAnsi="Arial"/>
          <w:sz w:val="18"/>
          <w:szCs w:val="18"/>
          <w:color w:val="231F20"/>
        </w:rPr>
        <w:t xml:space="preserve">Series G Preferred Shares became exercisable to purchase 607,725 shares of common stock at </w:t>
      </w:r>
      <w:r>
        <w:rPr>
          <w:rFonts w:ascii="Arial" w:cs="Arial" w:eastAsia="Arial" w:hAnsi="Arial"/>
          <w:sz w:val="18"/>
          <w:szCs w:val="18"/>
          <w:color w:val="000000"/>
        </w:rPr>
        <w:t>an exercise</w:t>
      </w:r>
      <w:r>
        <w:rPr>
          <w:rFonts w:ascii="Arial" w:cs="Arial" w:eastAsia="Arial" w:hAnsi="Arial"/>
          <w:sz w:val="18"/>
          <w:szCs w:val="18"/>
          <w:color w:val="231F20"/>
        </w:rPr>
        <w:t xml:space="preserve"> </w:t>
      </w:r>
      <w:r>
        <w:rPr>
          <w:rFonts w:ascii="Arial" w:cs="Arial" w:eastAsia="Arial" w:hAnsi="Arial"/>
          <w:sz w:val="18"/>
          <w:szCs w:val="18"/>
          <w:color w:val="000000"/>
        </w:rPr>
        <w:t>price of $0.16 per share</w:t>
      </w:r>
      <w:r>
        <w:rPr>
          <w:rFonts w:ascii="Arial" w:cs="Arial" w:eastAsia="Arial" w:hAnsi="Arial"/>
          <w:sz w:val="18"/>
          <w:szCs w:val="18"/>
          <w:color w:val="231F20"/>
        </w:rPr>
        <w:t>.</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The Company’s recurring fair value measurements using significant unobservable inputs (Level 3) related solely to the Company’s convertible preferred stock warrant liability. The convertible preferred stock warrant liability was remeasured at each financial reporting period with any changes in fair value being recognized as a component of other income (expense), net in the condensed consolidated statements of operations and comprehensive loss. </w:t>
      </w:r>
      <w:r>
        <w:rPr>
          <w:rFonts w:ascii="Arial" w:cs="Arial" w:eastAsia="Arial" w:hAnsi="Arial"/>
          <w:sz w:val="18"/>
          <w:szCs w:val="18"/>
          <w:color w:val="231F20"/>
        </w:rPr>
        <w:t>In connection with the closing of the IPO, all of the outstanding convertible preferred stock</w:t>
      </w:r>
      <w:r>
        <w:rPr>
          <w:rFonts w:ascii="Arial" w:cs="Arial" w:eastAsia="Arial" w:hAnsi="Arial"/>
          <w:sz w:val="18"/>
          <w:szCs w:val="18"/>
          <w:color w:val="auto"/>
        </w:rPr>
        <w:t xml:space="preserve"> </w:t>
      </w:r>
      <w:r>
        <w:rPr>
          <w:rFonts w:ascii="Arial" w:cs="Arial" w:eastAsia="Arial" w:hAnsi="Arial"/>
          <w:sz w:val="18"/>
          <w:szCs w:val="18"/>
          <w:color w:val="231F20"/>
        </w:rPr>
        <w:t>warrants were converted to common stock warrants. The related liability was remeasured at the time of the IPO and reclassed to additional paid-in capital.</w:t>
      </w:r>
    </w:p>
    <w:p>
      <w:pPr>
        <w:spacing w:after="0" w:line="20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fair value of the convertible preferred stock warrant liability was determined using the Black-Scholes option pricing model with the following inputs during the nine months ended:</w:t>
      </w:r>
    </w:p>
    <w:p>
      <w:pPr>
        <w:spacing w:after="0" w:line="197"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nine months ended: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6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03"/>
        </w:trPr>
        <w:tc>
          <w:tcPr>
            <w:tcW w:w="684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13,294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Conversion to common stock warrants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46"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September 30, 2021 and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Debt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loan agreement</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September 2019, the Company entered into a loan and security agreement (“Horizon loan agreement”) with Horizon Technology Finance Corporation (“Horizon”) under which it could borrow up to a total of $20.0 million at a floating per annum rate equal to 10% plus the amount by which the 30-day U.S. dollar LIBOR rate on the first business day of the month exceeds 2.2%. The Horizon loan agreement initially required interest only payments through October 2021 and then 36 monthly principal and interest payments beginning in November 2021. A final payment of $0.7 million, equal to 3.5% of the original principal, is due in October 2024. The Horizon loan agreement initially required the Company to maintain cash on deposit of not less than $5.0 million in accounts over which Horizon maintained an account control agreement. This minimum cash on deposit requirement was released in July 2020, following the satisfaction of a financing milestone. The borrowings are collateralized by all or substantially all of the assets of the Company. The Horizon loan agreement requires the payment of certain penalties if the loan is paid off prior to maturity for any reason, including pursuant to a subjective acceleration clause, and includes various restrictive covenants, including a restriction on the payment of dividends. The Company was in compliance with these covenants as of September 30,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79"/>
        <w:spacing w:after="0" w:line="274" w:lineRule="auto"/>
        <w:rPr>
          <w:sz w:val="20"/>
          <w:szCs w:val="20"/>
          <w:color w:val="auto"/>
        </w:rPr>
      </w:pPr>
      <w:r>
        <w:rPr>
          <w:rFonts w:ascii="Arial" w:cs="Arial" w:eastAsia="Arial" w:hAnsi="Arial"/>
          <w:sz w:val="17"/>
          <w:szCs w:val="17"/>
          <w:color w:val="auto"/>
        </w:rPr>
        <w:t>In August 2020, the Company entered into an amended agreement with Horizon to extend the interest only period through April 2022, followed by 30 monthly principal and interest payments beginning in May 2022.</w:t>
      </w:r>
    </w:p>
    <w:p>
      <w:pPr>
        <w:spacing w:after="0" w:line="17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connection with the Horizon loan agreement, the Company recorded $1.1 million of debt issuance costs and discounts as a reduction of long-term debt. Of this total, $0.5 million related to legal fees and an investment bank fee and $0.6 million related to the warrants to purchase Series G Preferred Shares issued by the Company. These warrants were exercisable on the grant date at a price of $0.80 per share and expire in September 2029. The Company used the Black-Scholes option pricing model to determine the grant date fair value of these warrants.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annual principal maturities of debt as of September 30, 2021 are as follows (in thousands):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5,333</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w:t>
            </w:r>
          </w:p>
        </w:tc>
      </w:tr>
      <w:tr>
        <w:trPr>
          <w:trHeight w:val="203"/>
        </w:trPr>
        <w:tc>
          <w:tcPr>
            <w:tcW w:w="7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6,667</w:t>
            </w:r>
          </w:p>
        </w:tc>
      </w:tr>
      <w:tr>
        <w:trPr>
          <w:trHeight w:val="196"/>
        </w:trPr>
        <w:tc>
          <w:tcPr>
            <w:tcW w:w="7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Less: Unamortized debt costs and discounts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(3,333)</w:t>
            </w:r>
          </w:p>
        </w:tc>
      </w:tr>
      <w:tr>
        <w:trPr>
          <w:trHeight w:val="196"/>
        </w:trPr>
        <w:tc>
          <w:tcPr>
            <w:tcW w:w="7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16,151</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left="60" w:right="479"/>
        <w:spacing w:after="0" w:line="253" w:lineRule="auto"/>
        <w:rPr>
          <w:sz w:val="20"/>
          <w:szCs w:val="20"/>
          <w:color w:val="auto"/>
        </w:rPr>
      </w:pPr>
      <w:r>
        <w:rPr>
          <w:rFonts w:ascii="Arial" w:cs="Arial" w:eastAsia="Arial" w:hAnsi="Arial"/>
          <w:sz w:val="17"/>
          <w:szCs w:val="17"/>
          <w:color w:val="auto"/>
        </w:rPr>
        <w:t>During 2016, the Company issued 72,125,000 shares of Series G Preferred Shares at a price of $0.80 per share, for net proceeds to the Company of approximately $57.4 million after deducting offering expenses payable by the Company. The same Series G investors agreed to purchase an additional $35.3 million of Series G Preferred Shares upon the Company’s achievement of a certain operational milestone, subject to limited closing conditions. In January 2019, May 2019, and August 2019, the Series G investors purchased additional Series G Preferred Shares, resulting in net proceeds to the Company of $24.7 million.</w:t>
      </w:r>
    </w:p>
    <w:p>
      <w:pPr>
        <w:spacing w:after="0" w:line="195"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In July of 2020, the Company issued 62,500,000 additional Series G Preferred Shares, at a price of $0.80 per share, for net proceeds to the Company of $49.8 million after deducting offering expenses payable by the Company.</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On May 31, 2016, holders of the requisite number of the Company’s then-outstanding convertible preferred stock approved the conversion of all preferred stock into shares of the Company’s common stock in connection with a new equity financing. Accordingly, all of the Company’s then-outstanding preferred stock was converted on a one-for-one basis into shares of the Company’s common stock. Under the terms of the equity financing, each prior holder of preferred stock who purchased a required amount of securities in the new financing was entitled to exchange certain of the shares of common stock received in the conversion described above into new prime series of preferred stock corresponding to the series of preferred stock from which the common stock was previously converted. All of the previously held Series A-1, B-1, C-1, D-1, E-1 and F preferred stock had similar features as the Series A-2 preferred stock (“Series A-2 Preferred Shares”), Series B-2 preferred stock (“Series B-2 Preferred Shares”), Series C-2 preferred stock (“Series C-2 Preferred Shares”), Series D-2 preferred stock (“Series D-2 Preferred Shares”), Series E-2 preferred stock (“Series E-2 Preferred Shares”), and Series F-2 preferred stock (“Series F-2 Preferred Shares”) described below. The Series A-2, Series B-2, Series C-2, Series D-2, Series E-2, Series F-2 and Series G Preferred Shares are referred to collectively as the “Preferred Shares.”</w:t>
      </w:r>
    </w:p>
    <w:p>
      <w:pPr>
        <w:spacing w:after="0" w:line="214"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deducting the underwriting discount and other offering expenses payable by the Company totaling $1.6 million, of $133.2 million.</w:t>
      </w:r>
    </w:p>
    <w:p>
      <w:pPr>
        <w:spacing w:after="0" w:line="197"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Preferred Shares were converted into common stock on a 15.819-for-1 basis, and all other shares of convertible preferred stock were automatically converted into common stock on a 39.548-for-1 basis. The conversion of the outstanding preferred stock resulted in an aggregate of 11,929,584 shares of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will convert into common stock in connection with the closing of the IPO. Accordingly, all share and per-share 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day of grant to four years and expire within a maximum term of 10 years from the grant date.</w:t>
      </w:r>
    </w:p>
    <w:p>
      <w:pPr>
        <w:spacing w:after="0" w:line="202"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600,373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September 30, 2021, there were 1,791,888 shares available for future issuance under the 2021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97"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During the years 2008 through September 30, 2021,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Aggregate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Intrinsic</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660" w:type="dxa"/>
            <w:vAlign w:val="bottom"/>
          </w:tcPr>
          <w:p>
            <w:pPr>
              <w:spacing w:after="0"/>
              <w:rPr>
                <w:sz w:val="15"/>
                <w:szCs w:val="15"/>
                <w:color w:val="auto"/>
              </w:rPr>
            </w:pPr>
          </w:p>
        </w:tc>
        <w:tc>
          <w:tcPr>
            <w:tcW w:w="560" w:type="dxa"/>
            <w:vAlign w:val="bottom"/>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1,473,359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1,238,426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(42,669)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0.88</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September 30, 2021</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2,657,333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7.35</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auto"/>
            </w:tcBorders>
            <w:shd w:val="clear" w:color="auto" w:fill="CCEEFF"/>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25,475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Options exercisable as of September 30, 2021</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20" w:type="dxa"/>
            <w:vAlign w:val="bottom"/>
            <w:vMerge w:val="continue"/>
          </w:tcPr>
          <w:p>
            <w:pPr>
              <w:spacing w:after="0"/>
              <w:rPr>
                <w:sz w:val="13"/>
                <w:szCs w:val="13"/>
                <w:color w:val="auto"/>
              </w:rPr>
            </w:pP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1,009,785</w:t>
            </w:r>
          </w:p>
        </w:tc>
        <w:tc>
          <w:tcPr>
            <w:tcW w:w="2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right"/>
              <w:ind w:right="408"/>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14,330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As of September 30, 2021, stock options outstanding included 9,993 options that were not granted under the 2001 Plan or the 2021 Plan. For options outstanding as of September 30, 2021, the weighted average remaining contractual life was 8.4 years. For options exercisable as of September 30, 2021, the weighted average remaining contractual life was 7.3 years.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Company expects the first purchase period to commence in 2022. Accordingly, as of September 30, 2021, no shares of common stock have been purchased under the ESPP.</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on the grant date. The Company measures stock-based compensation expense based on the grant date fair value of the award and recognizes compensation expense over the requisite service period, which is generally the vesting period. The amount of stock-based compensation expense recognized during a period is based on the portion of the awards that are ultimately expected to vest. The Company estimates pre-vesting forfeitures at the time of grant by analyzing historical data and revises those estimates in subsequent periods if actual forfeitures differ from those estimates.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299"/>
        <w:spacing w:after="0"/>
        <w:rPr>
          <w:sz w:val="20"/>
          <w:szCs w:val="20"/>
          <w:color w:val="auto"/>
        </w:rPr>
      </w:pPr>
      <w:r>
        <w:rPr>
          <w:rFonts w:ascii="Arial" w:cs="Arial" w:eastAsia="Arial" w:hAnsi="Arial"/>
          <w:sz w:val="18"/>
          <w:szCs w:val="18"/>
          <w:color w:val="auto"/>
        </w:rPr>
        <w:t>The following table provides the weighted average fair value of options granted to employees and the related assumptions used in the Black-Scholes option pricing model for the nine months ended September 30, 2021. No options were issued during the nine months ended September 30, 2020.</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7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7"/>
                <w:szCs w:val="17"/>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rPr>
              <w:t>Expected term (in years) — non-officer employees</w:t>
            </w:r>
          </w:p>
        </w:tc>
        <w:tc>
          <w:tcPr>
            <w:tcW w:w="140" w:type="dxa"/>
            <w:vAlign w:val="bottom"/>
          </w:tcPr>
          <w:p>
            <w:pPr>
              <w:spacing w:after="0"/>
              <w:rPr>
                <w:sz w:val="17"/>
                <w:szCs w:val="17"/>
                <w:color w:val="auto"/>
              </w:rPr>
            </w:pPr>
          </w:p>
        </w:tc>
        <w:tc>
          <w:tcPr>
            <w:tcW w:w="13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2.7 to 6.1</w:t>
            </w:r>
          </w:p>
        </w:tc>
      </w:tr>
      <w:tr>
        <w:trPr>
          <w:trHeight w:val="203"/>
        </w:trPr>
        <w:tc>
          <w:tcPr>
            <w:tcW w:w="7420" w:type="dxa"/>
            <w:vAlign w:val="bottom"/>
          </w:tcPr>
          <w:p>
            <w:pPr>
              <w:spacing w:after="0" w:line="202" w:lineRule="exact"/>
              <w:rPr>
                <w:sz w:val="20"/>
                <w:szCs w:val="20"/>
                <w:color w:val="auto"/>
              </w:rPr>
            </w:pPr>
            <w:r>
              <w:rPr>
                <w:rFonts w:ascii="Arial" w:cs="Arial" w:eastAsia="Arial" w:hAnsi="Arial"/>
                <w:sz w:val="18"/>
                <w:szCs w:val="18"/>
                <w:color w:val="auto"/>
              </w:rPr>
              <w:t>Expected term (in years) — officer employees</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03"/>
        </w:trPr>
        <w:tc>
          <w:tcPr>
            <w:tcW w:w="4720" w:type="dxa"/>
            <w:vAlign w:val="bottom"/>
          </w:tcPr>
          <w:p>
            <w:pPr>
              <w:spacing w:after="0" w:line="203" w:lineRule="exact"/>
              <w:rPr>
                <w:sz w:val="20"/>
                <w:szCs w:val="20"/>
                <w:color w:val="auto"/>
              </w:rPr>
            </w:pPr>
            <w:r>
              <w:rPr>
                <w:rFonts w:ascii="Arial" w:cs="Arial" w:eastAsia="Arial" w:hAnsi="Arial"/>
                <w:sz w:val="18"/>
                <w:szCs w:val="18"/>
                <w:color w:val="auto"/>
              </w:rPr>
              <w:t>Expected volatility</w:t>
            </w:r>
          </w:p>
        </w:tc>
        <w:tc>
          <w:tcPr>
            <w:tcW w:w="3960" w:type="dxa"/>
            <w:vAlign w:val="bottom"/>
          </w:tcPr>
          <w:p>
            <w:pPr>
              <w:ind w:left="2820"/>
              <w:spacing w:after="0" w:line="203" w:lineRule="exact"/>
              <w:rPr>
                <w:sz w:val="20"/>
                <w:szCs w:val="20"/>
                <w:color w:val="auto"/>
              </w:rPr>
            </w:pPr>
            <w:r>
              <w:rPr>
                <w:rFonts w:ascii="Arial" w:cs="Arial" w:eastAsia="Arial" w:hAnsi="Arial"/>
                <w:sz w:val="18"/>
                <w:szCs w:val="18"/>
                <w:color w:val="auto"/>
              </w:rPr>
              <w:t>56.1% to 63.4</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60" w:type="dxa"/>
            <w:vAlign w:val="bottom"/>
          </w:tcPr>
          <w:p>
            <w:pPr>
              <w:ind w:left="2820"/>
              <w:spacing w:after="0"/>
              <w:rPr>
                <w:sz w:val="20"/>
                <w:szCs w:val="20"/>
                <w:color w:val="auto"/>
              </w:rPr>
            </w:pPr>
            <w:r>
              <w:rPr>
                <w:rFonts w:ascii="Arial" w:cs="Arial" w:eastAsia="Arial" w:hAnsi="Arial"/>
                <w:sz w:val="18"/>
                <w:szCs w:val="18"/>
                <w:color w:val="auto"/>
              </w:rPr>
              <w:t>0.17% to 0.47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 xml:space="preserve">The Company reviews these assumptions on a periodic basis and adjusts them, as necessary. The expected term of an award was determined based on the Company’s analysis of historical exercise behavior while taking into consideration various participant demographics and option characteristics. </w:t>
      </w:r>
      <w:r>
        <w:rPr>
          <w:rFonts w:ascii="Arial" w:cs="Arial" w:eastAsia="Arial" w:hAnsi="Arial"/>
          <w:sz w:val="18"/>
          <w:szCs w:val="18"/>
          <w:color w:val="231F20"/>
        </w:rPr>
        <w:t>We utilize the simplified method</w:t>
      </w:r>
      <w:r>
        <w:rPr>
          <w:rFonts w:ascii="Arial" w:cs="Arial" w:eastAsia="Arial" w:hAnsi="Arial"/>
          <w:sz w:val="18"/>
          <w:szCs w:val="18"/>
          <w:color w:val="auto"/>
        </w:rPr>
        <w:t xml:space="preserve"> </w:t>
      </w:r>
      <w:r>
        <w:rPr>
          <w:rFonts w:ascii="Arial" w:cs="Arial" w:eastAsia="Arial" w:hAnsi="Arial"/>
          <w:sz w:val="18"/>
          <w:szCs w:val="18"/>
          <w:color w:val="231F20"/>
        </w:rPr>
        <w:t>to develop the estimate of the expected term</w:t>
      </w:r>
      <w:r>
        <w:rPr>
          <w:rFonts w:ascii="Arial" w:cs="Arial" w:eastAsia="Arial" w:hAnsi="Arial"/>
          <w:sz w:val="18"/>
          <w:szCs w:val="18"/>
          <w:color w:val="000000"/>
        </w:rPr>
        <w:t>. The expected volatility is based upon observed volatility of</w:t>
      </w:r>
      <w:r>
        <w:rPr>
          <w:rFonts w:ascii="Arial" w:cs="Arial" w:eastAsia="Arial" w:hAnsi="Arial"/>
          <w:sz w:val="18"/>
          <w:szCs w:val="18"/>
          <w:color w:val="231F20"/>
        </w:rPr>
        <w:t xml:space="preserve"> </w:t>
      </w:r>
      <w:r>
        <w:rPr>
          <w:rFonts w:ascii="Arial" w:cs="Arial" w:eastAsia="Arial" w:hAnsi="Arial"/>
          <w:sz w:val="18"/>
          <w:szCs w:val="18"/>
          <w:color w:val="000000"/>
        </w:rPr>
        <w:t>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203"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For the three and nine months ended September 30, 2021 and 2020, the Company recognized stock-based compensation expense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Selling, general &amp; administrative</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830</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As of September 30, 2021, unrecognized compensation expense related to unvested stock-based compensation arrangements was $6.3 million. As of September 30, 2021, the related weighted average period over which it is expected to be recognized is approximately 3.5 years.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Performance-Based options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of September 30, 2021, the Company had 10,493 stock options outstanding that contained vesting conditions contingent on the achievement of certain milestones. Assuming continued service by the employees, the options would start vesting over a 48-month period upon achievement of the performance criteria. As of September 30, 2021, the Company determined that the likelihood of achieving the milestones was not probable and therefore no stock-based compensation expense was recorded.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September 30, 2021 and 2020, there have been no early exercises and therefore there is no liability recorded for the early exercise of stock options.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3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As of both September 30, 2021 and 2020, a valuation allowance was recorded against all deferred tax assets due to the Company’s cumulative net loss position. Provision for income taxes for the three months ended September 30, 2021 and 2020 was $23,000 and $ 19,000, respectively. Provision for income taxes for the nine months ended September 30, 2021 and 2020 was $66,000 and $64,000, respectively.</w:t>
      </w:r>
    </w:p>
    <w:p>
      <w:pPr>
        <w:spacing w:after="0" w:line="20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As of December 31, 2020, the Company had federal and state net operating loss carryforwards (“NOLs”) of approximately $296.1 million and $88.0 million, respectively. The federal NOLs begin to expire in 2021 and the state NOLs began expiring in 2020. As of December 31, 2020, the Company had federal and state tax credit carryforwards of approximately $8.6 million and $1.5 million, respectively. The federal and state tax credit carryforwards begin to expire in 2021 and 2028, respectively.</w:t>
      </w:r>
    </w:p>
    <w:p>
      <w:pPr>
        <w:spacing w:after="0" w:line="20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Utilization of net operating loss carryforwards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net operating losses and could be triggered by subsequent sales of securities by the Company or its stockholders.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Earnings Per Share</w:t>
      </w:r>
    </w:p>
    <w:p>
      <w:pPr>
        <w:spacing w:after="0" w:line="238" w:lineRule="exact"/>
        <w:rPr>
          <w:sz w:val="20"/>
          <w:szCs w:val="20"/>
          <w:color w:val="auto"/>
        </w:rPr>
      </w:pPr>
    </w:p>
    <w:p>
      <w:pPr>
        <w:ind w:left="60" w:right="859"/>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data):</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(6,133)</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(3,227)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(32,508)</w:t>
            </w: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preferred stock to redemption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2"/>
        </w:trPr>
        <w:tc>
          <w:tcPr>
            <w:tcW w:w="3540" w:type="dxa"/>
            <w:vAlign w:val="bottom"/>
          </w:tcPr>
          <w:p>
            <w:pPr>
              <w:ind w:left="100"/>
              <w:spacing w:after="0" w:line="182" w:lineRule="exact"/>
              <w:rPr>
                <w:sz w:val="20"/>
                <w:szCs w:val="20"/>
                <w:color w:val="auto"/>
              </w:rPr>
            </w:pPr>
            <w:r>
              <w:rPr>
                <w:rFonts w:ascii="Arial" w:cs="Arial" w:eastAsia="Arial" w:hAnsi="Arial"/>
                <w:sz w:val="18"/>
                <w:szCs w:val="18"/>
                <w:color w:val="auto"/>
              </w:rPr>
              <w:t>Net loss attributable to common</w:t>
            </w:r>
          </w:p>
        </w:tc>
        <w:tc>
          <w:tcPr>
            <w:tcW w:w="36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(6,133)</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(3,444)</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(32,508)</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line="190" w:lineRule="exact"/>
              <w:rPr>
                <w:sz w:val="20"/>
                <w:szCs w:val="20"/>
                <w:color w:val="auto"/>
              </w:rPr>
            </w:pPr>
            <w:r>
              <w:rPr>
                <w:rFonts w:ascii="Arial" w:cs="Arial" w:eastAsia="Arial" w:hAnsi="Arial"/>
                <w:sz w:val="18"/>
                <w:szCs w:val="18"/>
                <w:color w:val="auto"/>
              </w:rPr>
              <w:t>stockholders</w:t>
            </w:r>
          </w:p>
        </w:tc>
        <w:tc>
          <w:tcPr>
            <w:tcW w:w="36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Denominator:</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20,126,672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360,356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6,975,386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396,071</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100"/>
              <w:spacing w:after="0" w:line="190" w:lineRule="exact"/>
              <w:rPr>
                <w:sz w:val="20"/>
                <w:szCs w:val="20"/>
                <w:color w:val="auto"/>
              </w:rPr>
            </w:pPr>
            <w:r>
              <w:rPr>
                <w:rFonts w:ascii="Arial" w:cs="Arial" w:eastAsia="Arial" w:hAnsi="Arial"/>
                <w:sz w:val="18"/>
                <w:szCs w:val="18"/>
                <w:color w:val="auto"/>
              </w:rPr>
              <w:t>outstanding — basic and diluted</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w:t>
            </w:r>
          </w:p>
        </w:tc>
        <w:tc>
          <w:tcPr>
            <w:tcW w:w="3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190"/>
        </w:trPr>
        <w:tc>
          <w:tcPr>
            <w:tcW w:w="35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stockholders — basic and diluted</w:t>
            </w:r>
          </w:p>
        </w:tc>
        <w:tc>
          <w:tcPr>
            <w:tcW w:w="3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64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2,657,333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961,885</w:t>
            </w: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60" w:type="dxa"/>
            <w:vAlign w:val="bottom"/>
          </w:tcPr>
          <w:p>
            <w:pPr>
              <w:spacing w:after="0" w:line="203" w:lineRule="exact"/>
              <w:rPr>
                <w:sz w:val="20"/>
                <w:szCs w:val="20"/>
                <w:color w:val="auto"/>
              </w:rPr>
            </w:pPr>
            <w:r>
              <w:rPr>
                <w:rFonts w:ascii="Arial" w:cs="Arial" w:eastAsia="Arial" w:hAnsi="Arial"/>
                <w:sz w:val="18"/>
                <w:szCs w:val="18"/>
                <w:color w:val="auto"/>
              </w:rPr>
              <w:t>common stock)</w:t>
            </w: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108,406</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716,131</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 (as converted to common stock)</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11,929,584</w:t>
            </w:r>
          </w:p>
        </w:tc>
      </w:tr>
      <w:tr>
        <w:trPr>
          <w:trHeight w:val="196"/>
        </w:trPr>
        <w:tc>
          <w:tcPr>
            <w:tcW w:w="646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3,373,464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12,999,875</w:t>
            </w:r>
          </w:p>
        </w:tc>
      </w:tr>
      <w:tr>
        <w:trPr>
          <w:trHeight w:val="20"/>
        </w:trPr>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Operating Leases</w:t>
      </w:r>
    </w:p>
    <w:p>
      <w:pPr>
        <w:spacing w:after="0" w:line="21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entered into an operating lease agreement for its office, manufacturing and research facility, which expires in 2024. Rent expense for the three months ended September 30, 2021 and 2020 was $91,000 and $90,000, respectively. Rent expense for the nine months ended September 30, 2021 and 2020 was $279,000 and $276,000, respectively.</w:t>
      </w:r>
    </w:p>
    <w:p>
      <w:pPr>
        <w:spacing w:after="0" w:line="205" w:lineRule="exact"/>
        <w:rPr>
          <w:sz w:val="20"/>
          <w:szCs w:val="20"/>
          <w:color w:val="auto"/>
        </w:rPr>
      </w:pPr>
    </w:p>
    <w:p>
      <w:pPr>
        <w:ind w:left="60" w:right="659"/>
        <w:spacing w:after="0" w:line="246" w:lineRule="auto"/>
        <w:rPr>
          <w:sz w:val="20"/>
          <w:szCs w:val="20"/>
          <w:color w:val="auto"/>
        </w:rPr>
      </w:pPr>
      <w:r>
        <w:rPr>
          <w:rFonts w:ascii="Arial" w:cs="Arial" w:eastAsia="Arial" w:hAnsi="Arial"/>
          <w:sz w:val="18"/>
          <w:szCs w:val="18"/>
          <w:color w:val="auto"/>
        </w:rPr>
        <w:t>Future minimum lease payments under all operating leases as of September 30, 2021, are as follows for the years ending (in thousands):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December 31, 2022</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2023</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78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December 31, 2024</w:t>
            </w:r>
          </w:p>
        </w:tc>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196"/>
        </w:trPr>
        <w:tc>
          <w:tcPr>
            <w:tcW w:w="78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655</w:t>
            </w:r>
          </w:p>
        </w:tc>
      </w:tr>
      <w:tr>
        <w:trPr>
          <w:trHeight w:val="20"/>
        </w:trPr>
        <w:tc>
          <w:tcPr>
            <w:tcW w:w="7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Contingencies</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September 30, 2021 or December 31, 2020.</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11.Employee benefit plans</w:t>
      </w:r>
    </w:p>
    <w:p>
      <w:pPr>
        <w:spacing w:after="0" w:line="23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3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ectPr>
          <w:pgSz w:w="11900" w:h="16838" w:orient="portrait"/>
          <w:cols w:equalWidth="0" w:num="1">
            <w:col w:w="9019"/>
          </w:cols>
          <w:pgMar w:left="1440" w:top="517"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79"/>
        <w:spacing w:after="0"/>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three and nine months ended (in thousands):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720" w:type="dxa"/>
            <w:vAlign w:val="bottom"/>
          </w:tcPr>
          <w:p>
            <w:pPr>
              <w:spacing w:after="0"/>
              <w:rPr>
                <w:sz w:val="15"/>
                <w:szCs w:val="15"/>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72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$ 2,572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$ 6,289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902</w:t>
            </w: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2,657</w:t>
            </w:r>
          </w:p>
        </w:tc>
      </w:tr>
      <w:tr>
        <w:trPr>
          <w:trHeight w:val="203"/>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406</w:t>
            </w:r>
          </w:p>
        </w:tc>
      </w:tr>
      <w:tr>
        <w:trPr>
          <w:trHeight w:val="196"/>
        </w:trPr>
        <w:tc>
          <w:tcPr>
            <w:tcW w:w="572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$ 3,395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997</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$ 9,378</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3,965</w:t>
            </w:r>
          </w:p>
        </w:tc>
      </w:tr>
      <w:tr>
        <w:trPr>
          <w:trHeight w:val="20"/>
        </w:trPr>
        <w:tc>
          <w:tcPr>
            <w:tcW w:w="5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September 30, 2021 and 2020, long-lived assets were located primarily in the U.S.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13. Subsequent events</w:t>
      </w:r>
    </w:p>
    <w:p>
      <w:pPr>
        <w:spacing w:after="0" w:line="26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On November 3, 2021 the Company fully repaid all amounts outstanding under the $20.0 million principal amount Horizon loan agreement. The total repayment amount was $21.3 million, inclusive of prepayment and other fees, and will be reflected within the Company’s financial statements for the fiscal year ended December 31, 2021.</w:t>
      </w:r>
    </w:p>
    <w:p>
      <w:pPr>
        <w:spacing w:after="0" w:line="160" w:lineRule="exact"/>
        <w:rPr>
          <w:sz w:val="20"/>
          <w:szCs w:val="20"/>
          <w:color w:val="auto"/>
        </w:rPr>
      </w:pPr>
    </w:p>
    <w:p>
      <w:pPr>
        <w:ind w:left="60" w:right="259"/>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38"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NEO, is the first and only commercially available neuromodulation device indicated to improve symptoms for patients with HFrEF. BAROSTIM NEO provides Baroreflex Activation Therapy by sending imperceptible and persistent electrical pulses to baroreceptors located in the wall of the carotid artery to signal the brain to modulate cardiovascular function. BAROSTIM NEO is currently approved by the U.S. Food and Drug Administration (“FDA”) to improve the symptoms of patients with HFrEF and is CE Marked for HFrEF and resistant hypertension.</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our BAROSTIM Therapy, conducting our BeAT-HF pre-market and post-market pivotal studies in the U.S. and filing for regulatory approvals. Our ability to generate revenue from product sales and become profitable will depend on our ability to successfully commercialize BAROSTIM NEO and any product enhancements we may advance in the future. We expect to derive future revenue by expanding our own dedicated salesforce and increasing awareness of our BAROSTIM NEO among payors, physicians and patients.</w:t>
      </w:r>
    </w:p>
    <w:p>
      <w:pPr>
        <w:spacing w:after="0" w:line="203"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the hospitals, where the procedures are performed primarily in an outpatient setting, to be our customers, as they are the purchasing entities of our BAROSTIM NEO in the U.S. We intend to continue making significant investments building our U.S. commercial infrastructure by expanding and training our U.S. sales force. We have dedicated significant resources to educate physicians who treat HFrEF about the advantages of BAROSTIM NEO and train them on the implant procedure.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 BAROSTIM NEO. As a result, we have prioritized coverage by the Centers for Medicare and Medicaid Services (“CMS”) while simultaneously developing processes to engage commercial payors. As of July 2020, all Medicare Administrative Contractors have retired automatic coverage denial policies for our Current Procedural Terminology (“CPT”)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 on a case-by-case basis where positive coverage policies currently do not exist. Outside the U.S., reimbursement levels vary by country and within some countries by region. BAROSTIM NEO is eligible for reimbursement in certain countries in the European Union (“EU”), such as Germany, where annual healthcare budgets for the hospital generally determine the number of patients to be treated and the prices to be paid for the related devices that may be purchased.</w:t>
      </w:r>
    </w:p>
    <w:p>
      <w:pPr>
        <w:spacing w:after="0" w:line="21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manage all aspects of manufacturing operations and product supply of our BAROSTIM NEO, which includes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our BAROSTIM NEO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current and past credit facilities. We have devoted substantially all of our resources to research and development activities related to our BAROSTIM Therapy, including clinical and regulatory initiatives to obtain marketing approval, and sales and marketing activities.</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NEO in the U.S. We also intend to continue investing in research and development in the near term to improve clinical outcomes, optimize patient adoption and comfort, increase patient access and enhance the physician and patient experience. Longer term, we plan to explore BAROSTIM NEO’s potential to expand its indications for use to other cardiovascular diseases. As a result of these investments and our commercialization efforts, we expect to continue to incur net losses for the next several years, which may require additional funding and could include future equity and debt financings.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20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COVID-19 pandemic has negatively impacted our business, financial condition and results of operations by decreasing and delaying procedures performed to implant our BAROSTIM NEO, and we expect the pandemic will continue to negatively impact our business, financial condition and results of operations. Beginning in March 2020, our revenue was negatively impacted by COVID-19 as healthcare facilities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 physician-society conferences being moved to a virtual setting, which directly impacted our planned commercial launch in the U.S.</w:t>
      </w:r>
    </w:p>
    <w:p>
      <w:pPr>
        <w:spacing w:after="0" w:line="202" w:lineRule="exact"/>
        <w:rPr>
          <w:sz w:val="20"/>
          <w:szCs w:val="20"/>
          <w:color w:val="auto"/>
        </w:rPr>
      </w:pPr>
    </w:p>
    <w:p>
      <w:pPr>
        <w:ind w:left="60" w:right="619"/>
        <w:spacing w:after="0"/>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203" w:lineRule="exact"/>
        <w:rPr>
          <w:sz w:val="20"/>
          <w:szCs w:val="20"/>
          <w:color w:val="auto"/>
        </w:rPr>
      </w:pPr>
    </w:p>
    <w:p>
      <w:pPr>
        <w:ind w:left="380" w:right="83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5" w:lineRule="exact"/>
        <w:rPr>
          <w:rFonts w:ascii="Arial" w:cs="Arial" w:eastAsia="Arial" w:hAnsi="Arial"/>
          <w:sz w:val="18"/>
          <w:szCs w:val="18"/>
          <w:color w:val="231F20"/>
        </w:rPr>
      </w:pPr>
    </w:p>
    <w:p>
      <w:pPr>
        <w:ind w:left="380" w:right="45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96" w:lineRule="exact"/>
        <w:rPr>
          <w:rFonts w:ascii="Arial" w:cs="Arial" w:eastAsia="Arial" w:hAnsi="Arial"/>
          <w:sz w:val="18"/>
          <w:szCs w:val="18"/>
          <w:color w:val="231F20"/>
        </w:rPr>
      </w:pPr>
    </w:p>
    <w:p>
      <w:pPr>
        <w:ind w:left="380" w:right="79" w:hanging="330"/>
        <w:spacing w:after="0" w:line="246" w:lineRule="auto"/>
        <w:tabs>
          <w:tab w:leader="none" w:pos="38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96" w:lineRule="exact"/>
        <w:rPr>
          <w:rFonts w:ascii="Arial" w:cs="Arial" w:eastAsia="Arial" w:hAnsi="Arial"/>
          <w:sz w:val="18"/>
          <w:szCs w:val="18"/>
          <w:color w:val="231F20"/>
        </w:rPr>
      </w:pPr>
    </w:p>
    <w:p>
      <w:pPr>
        <w:ind w:left="380" w:right="659" w:hanging="330"/>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 xml:space="preserve">Increasing our capital resources through the issuance of shares of Series G Preferred Shares for net proceeds of </w:t>
      </w:r>
      <w:r>
        <w:rPr>
          <w:rFonts w:ascii="Arial" w:cs="Arial" w:eastAsia="Arial" w:hAnsi="Arial"/>
          <w:sz w:val="18"/>
          <w:szCs w:val="18"/>
          <w:color w:val="000000"/>
        </w:rPr>
        <w:t>$49.8 million in July 2020.</w:t>
      </w:r>
    </w:p>
    <w:p>
      <w:pPr>
        <w:spacing w:after="0" w:line="18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Our hospital customers in the U.S. and Europe began to gradually perform elective procedures again during the fourth quarter of 2020. We believe the recovery of our business in the fourth quarter of 2020 and through the first nine months of 2021 is an encouraging sign for when remaining shelter-in-place and hospital limitations are lifted. As the pandemic has eased, we are experiencing the following positive trends:</w:t>
      </w:r>
    </w:p>
    <w:p>
      <w:pPr>
        <w:spacing w:after="0" w:line="205"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Strong physician participation in our virtual educational events;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Expansion into new accounts;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Despite the encouraging signs of recovery of our business, we believe the challenges resulting from COVID-19 will likely continue for the duration of the pandemic. The extent to which the COVID-19 pandemic impacts our business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38"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97"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Growing and supporting our U.S. commercial organization;</w:t>
      </w:r>
    </w:p>
    <w:p>
      <w:pPr>
        <w:spacing w:after="0" w:line="225" w:lineRule="exact"/>
        <w:rPr>
          <w:rFonts w:ascii="Arial" w:cs="Arial" w:eastAsia="Arial" w:hAnsi="Arial"/>
          <w:sz w:val="18"/>
          <w:szCs w:val="18"/>
          <w:color w:val="231F20"/>
        </w:rPr>
      </w:pPr>
    </w:p>
    <w:p>
      <w:pPr>
        <w:ind w:left="380" w:right="259" w:hanging="330"/>
        <w:spacing w:after="0" w:line="246" w:lineRule="auto"/>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Promoting awareness among physicians, hospitals and patients to accelerate adoption of our BAROSTIM NEO;</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Raising awareness among payors to build upon reimbursement for BAROSTIM NEO;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679" w:hanging="330"/>
        <w:spacing w:after="0" w:line="246" w:lineRule="auto"/>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Investing in research and development to foster innovation and further simplify our BAROSTIM NEO procedure; and</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Leveraging our manufacturing capacity to further improve our gross margins.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have derived primarily all of our historical revenue from the sale of our BAROSTIM NEO to hospitals in Germany and other select countries in Europe. Revenue from sales of our BAROSTIM NEO in Europe fluctuates based on the average selling price of our BAROSTIM NEO as determined by location of sale and channel mix, each of which may vary significantly from country to country. Our revenue from international sales can also be significantly impacted by fluctuations in foreign currency exchange rates.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U.S. sales have increased since the pre-market approval of our BAROSTIM NEO by the FDA in</w:t>
      </w:r>
    </w:p>
    <w:p>
      <w:pPr>
        <w:jc w:val="both"/>
        <w:ind w:left="60" w:right="139"/>
        <w:spacing w:after="0" w:line="238" w:lineRule="auto"/>
        <w:rPr>
          <w:sz w:val="20"/>
          <w:szCs w:val="20"/>
          <w:color w:val="auto"/>
        </w:rPr>
      </w:pPr>
      <w:r>
        <w:rPr>
          <w:rFonts w:ascii="Arial" w:cs="Arial" w:eastAsia="Arial" w:hAnsi="Arial"/>
          <w:sz w:val="18"/>
          <w:szCs w:val="18"/>
          <w:color w:val="auto"/>
        </w:rPr>
        <w:t>August 2019, and the subsequent reimbursement changes in 2020. We expect to continue to drive increases in revenue through our efforts to increase awareness of BAROSTIM NEO among physicians, patients and payors and by the expansion of our U.S. sales force. As a result, we expect that U.S. sales will continue to account for the majority of our revenue going forward.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NEO,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202" w:lineRule="exact"/>
        <w:rPr>
          <w:sz w:val="20"/>
          <w:szCs w:val="20"/>
          <w:color w:val="auto"/>
        </w:rPr>
      </w:pPr>
    </w:p>
    <w:p>
      <w:pPr>
        <w:ind w:left="60" w:right="199"/>
        <w:spacing w:after="0" w:line="234"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3"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NEO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research and development costs as they are incurred. We expect R&amp;D expenses to increase in absolute dollars as we continue to develop enhancements to BAROSTIM NEO. Our R&amp;D expenses may fluctuate from period to period due to the timing and extent of our product development and clinical trial expenses related to BAROSTIM NEO in HFrEF.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We also expect our administrative expenses will increase as we increase our headcount and information technology to support our operations as a public company. Additionally, we anticipate increased expenses related to audit, legal, regulatory and tax-related services associated with maintaining compliance with exchange listing and SEC requirements, director and officer insurance premiums and investor relations costs associated with being a public company. However, we expect our SG&amp;A expenses to decrease as a percentage of revenue as our revenue grows.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Other income (expense), net consists primarily of the fair value adjustments related to our outstanding convertible preferred stock warrants, which are accounted for as a liability and marked-to-market at each reporting period. The final fair value adjustment of the warrant liability was recorded upon the closing of the IPO in connection with the conversion of the warrants to common stock warrants. Other items include gains (losses) on the extinguishment of debt, interest income earned on our cash and cash equivalents, and the effect of exchange rates on our foreign currency-denominated asset and liability balances. Translation adjustments are recorded as foreign currency gains (losses) in the condensed consolidated statements of operations and comprehensive loss.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4" w:lineRule="exact"/>
        <w:rPr>
          <w:sz w:val="20"/>
          <w:szCs w:val="20"/>
          <w:color w:val="auto"/>
        </w:rPr>
      </w:pPr>
    </w:p>
    <w:p>
      <w:pPr>
        <w:ind w:left="60" w:right="479"/>
        <w:spacing w:after="0"/>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September 30, 2021, compared to the three months ended September 30,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8"/>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7"/>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920" w:type="dxa"/>
            <w:vAlign w:val="bottom"/>
            <w:gridSpan w:val="4"/>
          </w:tcPr>
          <w:p>
            <w:pPr>
              <w:ind w:left="40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gridSpan w:val="3"/>
          </w:tcPr>
          <w:p>
            <w:pPr>
              <w:jc w:val="right"/>
              <w:ind w:right="14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$ 3,395</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$ 2,398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241</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900" w:type="dxa"/>
            <w:vAlign w:val="bottom"/>
            <w:gridSpan w:val="4"/>
          </w:tcPr>
          <w:p>
            <w:pPr>
              <w:jc w:val="right"/>
              <w:ind w:right="2"/>
              <w:spacing w:after="0" w:line="202" w:lineRule="exact"/>
              <w:rPr>
                <w:sz w:val="20"/>
                <w:szCs w:val="20"/>
                <w:color w:val="auto"/>
              </w:rPr>
            </w:pPr>
            <w:r>
              <w:rPr>
                <w:rFonts w:ascii="Arial" w:cs="Arial" w:eastAsia="Arial" w:hAnsi="Arial"/>
                <w:sz w:val="18"/>
                <w:szCs w:val="18"/>
                <w:color w:val="auto"/>
              </w:rPr>
              <w:t>876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6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664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2,519</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1,734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221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ind w:left="320"/>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740" w:type="dxa"/>
            <w:vAlign w:val="bottom"/>
            <w:gridSpan w:val="3"/>
          </w:tcPr>
          <w:p>
            <w:pPr>
              <w:jc w:val="right"/>
              <w:ind w:right="2"/>
              <w:spacing w:after="0" w:line="196" w:lineRule="exact"/>
              <w:rPr>
                <w:sz w:val="20"/>
                <w:szCs w:val="20"/>
                <w:color w:val="auto"/>
              </w:rPr>
            </w:pPr>
            <w:r>
              <w:rPr>
                <w:rFonts w:ascii="Arial" w:cs="Arial" w:eastAsia="Arial" w:hAnsi="Arial"/>
                <w:sz w:val="18"/>
                <w:szCs w:val="18"/>
                <w:color w:val="auto"/>
              </w:rPr>
              <w:t>74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00"/>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gridSpan w:val="4"/>
          </w:tcPr>
          <w:p>
            <w:pPr>
              <w:jc w:val="right"/>
              <w:ind w:right="2"/>
              <w:spacing w:after="0" w:line="202" w:lineRule="exact"/>
              <w:rPr>
                <w:sz w:val="20"/>
                <w:szCs w:val="20"/>
                <w:color w:val="auto"/>
              </w:rPr>
            </w:pPr>
            <w:r>
              <w:rPr>
                <w:rFonts w:ascii="Arial" w:cs="Arial" w:eastAsia="Arial" w:hAnsi="Arial"/>
                <w:sz w:val="18"/>
                <w:szCs w:val="18"/>
                <w:color w:val="auto"/>
              </w:rPr>
              <w:t>1,699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7"/>
              </w:rPr>
              <w:t>1,500</w:t>
            </w:r>
          </w:p>
        </w:tc>
        <w:tc>
          <w:tcPr>
            <w:tcW w:w="16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w:t>
            </w:r>
          </w:p>
        </w:tc>
        <w:tc>
          <w:tcPr>
            <w:tcW w:w="900" w:type="dxa"/>
            <w:vAlign w:val="bottom"/>
            <w:gridSpan w:val="4"/>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8,111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2,327</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3"/>
          </w:tcPr>
          <w:p>
            <w:pPr>
              <w:jc w:val="right"/>
              <w:ind w:right="2"/>
              <w:spacing w:after="0" w:line="196" w:lineRule="exact"/>
              <w:rPr>
                <w:sz w:val="20"/>
                <w:szCs w:val="20"/>
                <w:color w:val="auto"/>
              </w:rPr>
            </w:pPr>
            <w:r>
              <w:rPr>
                <w:rFonts w:ascii="Arial" w:cs="Arial" w:eastAsia="Arial" w:hAnsi="Arial"/>
                <w:sz w:val="18"/>
                <w:szCs w:val="18"/>
                <w:color w:val="auto"/>
              </w:rPr>
              <w:t>9,810</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3,827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color w:val="auto"/>
              </w:rPr>
              <w:t>5,983</w:t>
            </w:r>
          </w:p>
        </w:tc>
        <w:tc>
          <w:tcPr>
            <w:tcW w:w="16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156</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(7,291)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(3,042)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(4,249)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140</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9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16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900" w:type="dxa"/>
            <w:vAlign w:val="bottom"/>
            <w:gridSpan w:val="4"/>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1,795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7"/>
                <w:szCs w:val="17"/>
                <w:color w:val="auto"/>
              </w:rPr>
            </w:pPr>
          </w:p>
        </w:tc>
        <w:tc>
          <w:tcPr>
            <w:tcW w:w="7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(6,110)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(3,208)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9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(6,133)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(3,227)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 (2,906)</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top w:val="single" w:sz="8" w:color="auto"/>
            </w:tcBorders>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8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10"/>
          </w:tcPr>
          <w:p>
            <w:pPr>
              <w:ind w:left="60"/>
              <w:spacing w:after="0"/>
              <w:rPr>
                <w:sz w:val="20"/>
                <w:szCs w:val="20"/>
                <w:color w:val="auto"/>
              </w:rPr>
            </w:pPr>
            <w:r>
              <w:rPr>
                <w:rFonts w:ascii="Arial" w:cs="Arial" w:eastAsia="Arial" w:hAnsi="Arial"/>
                <w:sz w:val="14"/>
                <w:szCs w:val="14"/>
                <w:b w:val="1"/>
                <w:bCs w:val="1"/>
                <w:color w:val="auto"/>
              </w:rPr>
              <w:t>Revenue by Geography</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7"/>
          </w:tcPr>
          <w:p>
            <w:pPr>
              <w:jc w:val="center"/>
              <w:ind w:right="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7"/>
          </w:tcPr>
          <w:p>
            <w:pPr>
              <w:jc w:val="center"/>
              <w:ind w:right="13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92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gridSpan w:val="2"/>
            <w:vMerge w:val="continue"/>
          </w:tcPr>
          <w:p>
            <w:pPr>
              <w:spacing w:after="0"/>
              <w:rPr>
                <w:sz w:val="13"/>
                <w:szCs w:val="13"/>
                <w:color w:val="auto"/>
              </w:rPr>
            </w:pPr>
          </w:p>
        </w:tc>
        <w:tc>
          <w:tcPr>
            <w:tcW w:w="420" w:type="dxa"/>
            <w:vAlign w:val="bottom"/>
            <w:gridSpan w:val="3"/>
          </w:tcPr>
          <w:p>
            <w:pPr>
              <w:spacing w:after="0"/>
              <w:rPr>
                <w:sz w:val="13"/>
                <w:szCs w:val="13"/>
                <w:color w:val="auto"/>
              </w:rPr>
            </w:pPr>
          </w:p>
        </w:tc>
        <w:tc>
          <w:tcPr>
            <w:tcW w:w="66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79"/>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$ 2,572</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$ 2,276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769</w:t>
            </w: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0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26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$ 3,395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$ 2,398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241</w:t>
            </w: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Total revenue increased by $ 2.4 million, or 241%, to $3.4 million for the three months ended September 30, 2021, compared to the three months ended September 30, 2020.</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Revenue generated in the U.S. was $2.6 million for the three months ended September 30, 2021, an increase of $2.3 million, or 769%, over the three months ended September 30, 2020. HF revenue units in the U.S. totaled 84 and four for the three months ended September 30, 2021 and 2020, respectively. HF revenue in the U.S. totaled $2.5 million and $0.1 million for the three months ended September 30, 2021 and 2020, respectively. The increase was primarily driven by continued growth following the U.S. HF commercial launch in 2020, which resulted in the expansion into new sales territories and increased physician and patient awareness of our BAROSTIM NEO. As of September 30, 2021, we had a total of 38 active implanting centers, as compared to four as of September 30, 2020. Active implanting centers are customers that have completed at least one commercial HF implant in the last 12 months. The number of sales territories in the U.S. increased by three to a total of 11 during the three months ended September 30, 2021. Legacy hypertension revenue in the U.S. totaled $0.1 million and $0.2 million for the three months ended September 30, 2021 and 2020, respectively.</w:t>
      </w:r>
    </w:p>
    <w:p>
      <w:pPr>
        <w:spacing w:after="0" w:line="20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Revenue generated in Europe was $0.8 million for the three months ended September 30, 2021, an increase of $0.1 million, or 17%, over the three months ended September 30, 2020. Total revenue units in Europe for the three months ended September 30, 2021 increased to 38 from 32 for the three months ended September 30, 2020. The slight revenue increase was primarily due to the lessening impact of the COVID-19 pandemic in Germany. The number of sales territories in Europe remained consistent at six during the three months ended September 30, 2021.</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Cost of goods sold increased $0.7 million, or 313%, to $0.9 million for the three months ended September 30, 2021, compared to the three months ended September 30, 2020. This increase was primarily due to higher sales of our BAROSTIM NEO.</w:t>
      </w:r>
    </w:p>
    <w:p>
      <w:pPr>
        <w:spacing w:after="0" w:line="203"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Gross margin decreased to 74% for the three months ended September 30, 2021, compared to 79% for the three months ended September 30, 2020. Gross margin for the three months ended September 30, 2021 was lower due to a larger percentage of our revenue units coming from full systems, which require an IPG and a stimulation lead, as compared to individual IPG sales. This was partially offset by an increase in the average selling price.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R&amp;D expenses increased $0.2 million, or 13%, to $1.7 million for the three months ended September 30, 2021, compared to the three months ended September 30, 2020. This change was primarily due to an increase of $0.1 million in non-cash stock-based compensation expense and an increase of $0.1 million in compensation expenses, including salaries and other employee-related expenses, mainly as a result of increased headcount.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SG&amp;A expenses increased $ 5.8 million, or 249%, to $8.1 million for the three months ended September 30, 2021, compared to the three months ended September 30, 2020. This was primarily driven by an increase of $2.8 million in compensation expenses, including salaries and commissions, and other employee-related expenses, mainly as a result of increased headcount, a $0.8 million increase in marketing and advertising expenses primarily related to the commercialization of our BAROSTIM NEO in the U.S., a $0.7 million increase in insurance costs incurred as a result of the IPO, $0.4 million of additional travel expenses, a $0.3 million increase in non-cash stock-based compensation expense, and a $0.3 million increase in consulting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Interest expense remained consistent at $0.6 million for each of the three months ended September 30, 2021 and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Other income, net was $1.8 million for the three months ended September 30, 2021, compared to $0.5 million for the three months ended September 30, 2020, driven by a $1.5 million increase in income related to the decrease in fair value of our convertible preferred stock warrants due to the change in our common stock price from June 30, 2021 to July 2, 2021, which is the date the warrants converted to common stock warrants.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right="919"/>
        <w:spacing w:after="0" w:line="246" w:lineRule="auto"/>
        <w:rPr>
          <w:sz w:val="20"/>
          <w:szCs w:val="20"/>
          <w:color w:val="auto"/>
        </w:rPr>
      </w:pPr>
      <w:r>
        <w:rPr>
          <w:rFonts w:ascii="Arial" w:cs="Arial" w:eastAsia="Arial" w:hAnsi="Arial"/>
          <w:sz w:val="18"/>
          <w:szCs w:val="18"/>
          <w:color w:val="auto"/>
        </w:rPr>
        <w:t>Provision for income taxes was nominal for each of the three months ended September 30, 2021 and September 30,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b w:val="1"/>
          <w:bCs w:val="1"/>
          <w:i w:val="1"/>
          <w:iCs w:val="1"/>
          <w:color w:val="auto"/>
        </w:rPr>
        <w:t>Consolidated results of operations for the nine months ended September 30, 2021, compared to the nine months ended September 30, 2020</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10"/>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820" w:type="dxa"/>
            <w:vAlign w:val="bottom"/>
            <w:gridSpan w:val="3"/>
          </w:tcPr>
          <w:p>
            <w:pPr>
              <w:jc w:val="right"/>
              <w:ind w:right="16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6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9,378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3,965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5,413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2,656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82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6,722</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2,976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3,746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72</w:t>
            </w:r>
          </w:p>
        </w:tc>
        <w:tc>
          <w:tcPr>
            <w:tcW w:w="2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5,704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5,900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(196)</w:t>
            </w:r>
          </w:p>
        </w:tc>
        <w:tc>
          <w:tcPr>
            <w:tcW w:w="14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18,198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11,743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8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23,902</w:t>
            </w:r>
          </w:p>
        </w:tc>
        <w:tc>
          <w:tcPr>
            <w:tcW w:w="2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12,355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11,547</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8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(17,180)</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(9,379)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(7,801)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(1,823)</w:t>
            </w:r>
          </w:p>
        </w:tc>
        <w:tc>
          <w:tcPr>
            <w:tcW w:w="140" w:type="dxa"/>
            <w:vAlign w:val="bottom"/>
          </w:tcPr>
          <w:p>
            <w:pPr>
              <w:spacing w:after="0"/>
              <w:rPr>
                <w:sz w:val="17"/>
                <w:szCs w:val="17"/>
                <w:color w:val="auto"/>
              </w:rPr>
            </w:pPr>
          </w:p>
        </w:tc>
        <w:tc>
          <w:tcPr>
            <w:tcW w:w="840" w:type="dxa"/>
            <w:vAlign w:val="bottom"/>
            <w:gridSpan w:val="4"/>
          </w:tcPr>
          <w:p>
            <w:pPr>
              <w:jc w:val="right"/>
              <w:ind w:right="50"/>
              <w:spacing w:after="0" w:line="202" w:lineRule="exact"/>
              <w:rPr>
                <w:sz w:val="20"/>
                <w:szCs w:val="20"/>
                <w:color w:val="auto"/>
              </w:rPr>
            </w:pPr>
            <w:r>
              <w:rPr>
                <w:rFonts w:ascii="Arial" w:cs="Arial" w:eastAsia="Arial" w:hAnsi="Arial"/>
                <w:sz w:val="18"/>
                <w:szCs w:val="18"/>
                <w:color w:val="auto"/>
              </w:rPr>
              <w:t>(1,856)</w:t>
            </w:r>
          </w:p>
        </w:tc>
        <w:tc>
          <w:tcPr>
            <w:tcW w:w="1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income, net</w:t>
            </w:r>
          </w:p>
        </w:tc>
        <w:tc>
          <w:tcPr>
            <w:tcW w:w="110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(13,439)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(14,031)</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512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82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(32,442)</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(10,643)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(21,799)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10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0"/>
        </w:trPr>
        <w:tc>
          <w:tcPr>
            <w:tcW w:w="512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 (32,508)</w:t>
            </w:r>
          </w:p>
        </w:tc>
        <w:tc>
          <w:tcPr>
            <w:tcW w:w="280" w:type="dxa"/>
            <w:vAlign w:val="bottom"/>
          </w:tcPr>
          <w:p>
            <w:pPr>
              <w:spacing w:after="0"/>
              <w:rPr>
                <w:sz w:val="18"/>
                <w:szCs w:val="18"/>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 (10,707)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 (21,801)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1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12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10"/>
          </w:tcPr>
          <w:p>
            <w:pPr>
              <w:ind w:left="40"/>
              <w:spacing w:after="0"/>
              <w:rPr>
                <w:sz w:val="20"/>
                <w:szCs w:val="20"/>
                <w:color w:val="auto"/>
              </w:rPr>
            </w:pPr>
            <w:r>
              <w:rPr>
                <w:rFonts w:ascii="Arial" w:cs="Arial" w:eastAsia="Arial" w:hAnsi="Arial"/>
                <w:sz w:val="14"/>
                <w:szCs w:val="14"/>
                <w:b w:val="1"/>
                <w:bCs w:val="1"/>
                <w:color w:val="auto"/>
              </w:rPr>
              <w:t>Revenue by Geography</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5"/>
                <w:szCs w:val="15"/>
                <w:color w:val="auto"/>
              </w:rPr>
            </w:pPr>
          </w:p>
        </w:tc>
        <w:tc>
          <w:tcPr>
            <w:tcW w:w="960" w:type="dxa"/>
            <w:vAlign w:val="bottom"/>
            <w:gridSpan w:val="4"/>
          </w:tcPr>
          <w:p>
            <w:pPr>
              <w:ind w:left="4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120" w:type="dxa"/>
            <w:vAlign w:val="bottom"/>
            <w:gridSpan w:val="2"/>
            <w:vMerge w:val="continue"/>
          </w:tcPr>
          <w:p>
            <w:pPr>
              <w:spacing w:after="0"/>
              <w:rPr>
                <w:sz w:val="13"/>
                <w:szCs w:val="13"/>
                <w:color w:val="auto"/>
              </w:rPr>
            </w:pPr>
          </w:p>
        </w:tc>
        <w:tc>
          <w:tcPr>
            <w:tcW w:w="560" w:type="dxa"/>
            <w:vAlign w:val="bottom"/>
            <w:gridSpan w:val="2"/>
          </w:tcPr>
          <w:p>
            <w:pPr>
              <w:spacing w:after="0"/>
              <w:rPr>
                <w:sz w:val="13"/>
                <w:szCs w:val="13"/>
                <w:color w:val="auto"/>
              </w:rPr>
            </w:pPr>
          </w:p>
        </w:tc>
        <w:tc>
          <w:tcPr>
            <w:tcW w:w="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$ 6,289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902</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$ 5,387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2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3,089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3,063</w:t>
            </w: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$ 9,378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3,965</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$ 5,413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Revenue increased by $5.4 million, or 137%, to $9.4 million for the nine months ended September 30, 2021, compared to the nine months ended September 30, 2020.</w:t>
      </w:r>
    </w:p>
    <w:p>
      <w:pPr>
        <w:spacing w:after="0" w:line="19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Revenue generated in the U.S. was $6.3 million for the nine months ended September 30, 2021, an increase of $5.4 million, or 597%, over the nine months ended September 30, 2020. Total HF revenue units in the U.S. totaled 195 and 11 for the nine months ended September 30, 2021 and 2020, respectively. HF revenue in the U.S. totaled $5.7 million and $0.4 million for the nine months ended September 30, 2021 and 2020, respectively. The increase was primarily driven by the continued growth following the commercial launch in 2020, which resulted in the expansion into new sales territories and increased physician and patient awareness of our BAROSTIM NEO. The number of sales territories in the U.S. increased by five to a total of 11 during the nine months ended September 30, 2021. Legacy hypertension revenue in the U.S. totaled $0.6 million and $0.5 million for the nine months ended September 30, 2021 and 2020, respectively.</w:t>
      </w:r>
    </w:p>
    <w:p>
      <w:pPr>
        <w:spacing w:after="0" w:line="207"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Revenue generated in Europe was $ 3.1 million for the nine months ended September 30, 2021, a slight increase of $26,000, or 1%, over the nine months ended September 30, 2020. Total revenue units in Europe decreased to 137 from 138 for the nine months ended September 30, 2021 and 2020, respectively. The number of sales territories in Europe remained consistent at six during the nine months ended September 30,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Cost of goods sold increased $1.7 million, or 169%, to $2.7 million for the nine months ended September 30, 2021, compared to the nine months ended September 30, 2020. This increase was primarily due to higher sales of our BAROSTIM NEO.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Gross margin decreased to 72% for the nine months ended September 30, 2021, compared to 75% for the nine months ended September 30, 2020. Gross margin for the nine months ended September 30, 2021 was lower due to a larger percentage of our revenue units coming from full systems, which require an IPG and a stimulation lead, as compared to individual IPG sales. This was partially offset by an increase in the average selling price.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R&amp;D expenses decreased $0.2 million, or 3%, to $5.7 million for the nine months ended September 30, 2021, compared to the nine months ended September 30, 2020. This was primarily driven by a $0.8 million decline in clinical study expenses, partially offset by a $0.3 million increase in compensation expenses, including salaries and other employee-related expenses, mainly as a result of increased headcount, and a $0.3 million increase in non-cash stock-based compensation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0"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SG&amp;A expenses increased $11.7 million, or 182%, to $18.1 million for the nine months ended September 30, 2021, compared to the nine months ended September 30, 2020. This was driven by an increase of $6.3 million in compensation expenses, including salaries and commissions, and other employee-related expenses, mainly as a result of increased headcount, a $1.9 million increase in marketing and advertising expenses, primarily related to the commercialization of our BAROSTIM NEO in the U.S., $1.4 million of additional travel expenses, a $1.0 million increase in consulting expenses, and a $0.8 million increase in non-cash stock-based compensation expense.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30"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Interest expense remained consistent at $1.8 million for each of the nine months ended September 30, 2021 and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income, net</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Other expense, net was $13.4 million for the nine months ended September 30, 2021, compared to other income, net of $0.6 million for the nine months ended September 30, 2020. This change was primarily driven by a $13.7 million increase in expense related to the increase in fair value of our convertible preferred stock warrants due to the change in our common stock price from January 1, 2021 to July 2, 2021, which is the date the warrants converted to common stock warrants.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was nominal for each of the nine months ended September 30, 2021 and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38"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September 30, 2021 and December 31, 2020, we had cash and cash equivalents of $170.9 million and $59.1 million, respectively. For the three months ended September 30, 2021 and 2020, our net losses were $6.1 million and $3.2 million, respectively. For the nine months ended September 30, 2021 and 2020, our net losses were $32.5 million and $10.7 million, respectively. Our net cash used in operating activities for the nine months ended September 30, 2021 and 2020 was $20.7 million and $12.0 million, respectively.</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Prior to the IPO, our operations were financed primarily by aggregate net proceeds from the sale of our convertible preferred stock of $ 383.1 million, as well as debt financings. In July 2020, we completed an equity financing pursuant to which we issued 62,500,000 shares of Series G Preferred Shares at a price of $0.80 per share, for net proceeds of $49.8 million after deducting offering expenses. In September 2019, we</w:t>
      </w:r>
    </w:p>
    <w:p>
      <w:pPr>
        <w:sectPr>
          <w:pgSz w:w="11900" w:h="16838" w:orient="portrait"/>
          <w:cols w:equalWidth="0" w:num="1">
            <w:col w:w="9019"/>
          </w:cols>
          <w:pgMar w:left="1440" w:top="517"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entered into the Horizon loan agreement to borrow $20.0 million. On November 3, 2021, we fully repaid our outstanding principal balance of $20.0 million under the Horizon loan agreement. In January, May and August of 2019, we completed equity financings pursuant to which we issued shares of Series G Preferred Shares at a price of $0.80 per share, for net proceeds of $24.7 million. On July 2, 2021 we closed our IPO for net proceeds from the offering, after deducting the underwriting discount and other offering expenses payable by us, of $133.2 million.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investment in our U.S. commercial infrastructure and sales forces;</w:t>
      </w:r>
    </w:p>
    <w:p>
      <w:pPr>
        <w:spacing w:after="0" w:line="225" w:lineRule="exact"/>
        <w:rPr>
          <w:rFonts w:ascii="Arial" w:cs="Arial" w:eastAsia="Arial" w:hAnsi="Arial"/>
          <w:sz w:val="18"/>
          <w:szCs w:val="18"/>
          <w:color w:val="231F20"/>
        </w:rPr>
      </w:pPr>
    </w:p>
    <w:p>
      <w:pPr>
        <w:ind w:left="380" w:right="319" w:hanging="330"/>
        <w:spacing w:after="0" w:line="246" w:lineRule="auto"/>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NEO and the ability for our customers to obtain appropriate levels of reimbursement;</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5" w:lineRule="exact"/>
        <w:rPr>
          <w:rFonts w:ascii="Arial" w:cs="Arial" w:eastAsia="Arial" w:hAnsi="Arial"/>
          <w:sz w:val="18"/>
          <w:szCs w:val="18"/>
          <w:color w:val="231F20"/>
        </w:rPr>
      </w:pPr>
    </w:p>
    <w:p>
      <w:pPr>
        <w:ind w:left="380" w:right="379" w:hanging="330"/>
        <w:spacing w:after="0" w:line="246" w:lineRule="auto"/>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96"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5" w:lineRule="exact"/>
        <w:rPr>
          <w:rFonts w:ascii="Arial" w:cs="Arial" w:eastAsia="Arial" w:hAnsi="Arial"/>
          <w:sz w:val="18"/>
          <w:szCs w:val="18"/>
          <w:color w:val="231F20"/>
        </w:rPr>
      </w:pPr>
    </w:p>
    <w:p>
      <w:pPr>
        <w:ind w:left="380" w:hanging="330"/>
        <w:spacing w:after="0"/>
        <w:tabs>
          <w:tab w:leader="none" w:pos="3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5"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We believe that our existing cash resources together with revenue will be sufficient to meet our forecasted requirements for operating liquidity, capital expenditures and debt services for at least the next 12 months. If these sources are insufficient to satisfy our liquidity requirements, however, we may seek to sell additional equity or enter into an additional loan agreement. If we raise additional funds by issuing equity securities, our stockholders would experience dilution. Debt financing, if available, may involve covenants further restricting our operations or our ability to incur additional debt. Any debt financing or additional equity that we raise may contain terms that are not favorable to us or our stockholders.</w:t>
      </w:r>
    </w:p>
    <w:p>
      <w:pPr>
        <w:spacing w:after="0" w:line="20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our BAROSTIM NEO.</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(20,717)</w:t>
            </w:r>
          </w:p>
        </w:tc>
        <w:tc>
          <w:tcPr>
            <w:tcW w:w="34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133,170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7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111,801</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37,554</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7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Net cash used in operating activities for the nine months ended September 30, 2021 was $20.7 million and consisted primarily of a net loss of $ 32.5 million and a decrease in net operating assets of $3.0 million, partially offset by non-cash charges of $ 13.3 million related to the fair value adjustment to our convertible preferred stock warrants and $1.2 million from non-cash stock-based compensation expense. Net operating assets consisted primarily of inventory, accounts receivable and accrued expenses to support the growth of our operations.</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Net cash used in operating activities for the nine months ended September 30, 2020 was $12.0 million and consisted primarily of a net loss of $ 10.7 million and a decrease in net operating assets of $1.3 million. Net operating assets consisted primarily of inventory, accounts receivable, accounts payable and accrued expenses to support the growth of our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30"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Cash used in investing activities was $0.6 million and $0.2 million for the nine months ended September 30, 2021 and 2020, respectively, and consisted of purchases of property and equipment.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30"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Net cash provided by financing activities for the nine months ended September 30, 2021 was $133.2 million and consisted primarily of proceeds from the issuance of common stock of $133.2 million.</w:t>
      </w:r>
    </w:p>
    <w:p>
      <w:pPr>
        <w:spacing w:after="0" w:line="197"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Net cash provided by financing activities for the nine months ended September 30, 2020 was $49.8 million and consisted entirely of proceeds from the issuance of Series G Preferred Shares.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23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In September 2019, we entered into the Horizon loan agreement under which we borrowed $20.0 million, which is the maximum borrowing under the Horizon loan agreement. Amounts outstanding under the Horizon loan agreement bear interest at a floating per annum rate equal to 10% plus the amount by which the 30-day U.S. dollar LIBOR rate on the first business day of the month exceeds 2.2%. The Horizon loan agreement initially required interest only payments through October 2021 and then 36 monthly principal and interest payments beginning in November 2021. In August 2020, we entered into an amended agreement with Horizon to extend the interest only period through April 2022, followed by 30 monthly principal and interest payments beginning May 2022. A final payment of $0.7 million, equal to 3.5% of the original principal, is due to be paid in October 2024. The Horizon loan agreement initially required us to maintain cash on deposit of not less than $5.0 million in accounts over which Horizon maintained an account control agreement. This minimum cash on deposit requirement was released in July 2020 following the satisfaction of a financing milestone. The borrowings are collateralized by all or substantially all of our assets, including our intellectual property portfolio. The Horizon loan agreement contains certain financial covenants, including a minimum U.S. revenue requirement of approximately $5.9 million during the year ended December 31, 2021, approximately $14.6 million during the year ended December 31, 2022 and $5.0 million during each calendar quarter thereafter; certain negative covenants, including a requirement that we not receive a final disapproval letter from the FDA for use of BAROSTIM NEO in certain other HF patients upon our request for additional labeling based upon the results of the post-market stage of our BeAT-HF pivotal trial; and various restrictive covenants, including a restriction on the payment of dividends. We were in compliance with these covenants as of September 30, 2021. The amount outstanding under the Horizon loan agreement as of September 30, 2021 was $20.0 million.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38" w:lineRule="exact"/>
        <w:rPr>
          <w:sz w:val="20"/>
          <w:szCs w:val="20"/>
          <w:color w:val="auto"/>
        </w:rPr>
      </w:pPr>
    </w:p>
    <w:p>
      <w:pPr>
        <w:ind w:left="60" w:right="119"/>
        <w:spacing w:after="0" w:line="274" w:lineRule="auto"/>
        <w:rPr>
          <w:sz w:val="20"/>
          <w:szCs w:val="20"/>
          <w:color w:val="auto"/>
        </w:rPr>
      </w:pPr>
      <w:r>
        <w:rPr>
          <w:rFonts w:ascii="Arial" w:cs="Arial" w:eastAsia="Arial" w:hAnsi="Arial"/>
          <w:sz w:val="17"/>
          <w:szCs w:val="17"/>
          <w:color w:val="auto"/>
        </w:rPr>
        <w:t>There have been no material changes to our contractual obligations as of September 30, 2021, as compared to those disclosed in the final prospectus for the IPO filed with the SEC pursuant to Rule 424(b) on July 1,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38"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our management to make estimates and judgments that affect the amounts reported in our condensed consolidated financial statements and accompanying notes included elsewhere in this Quarterly Report on Form 10-Q.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condensed consolidated financial statements.</w:t>
      </w:r>
    </w:p>
    <w:p>
      <w:pPr>
        <w:spacing w:after="0" w:line="208" w:lineRule="exact"/>
        <w:rPr>
          <w:sz w:val="20"/>
          <w:szCs w:val="20"/>
          <w:color w:val="auto"/>
        </w:rPr>
      </w:pPr>
    </w:p>
    <w:p>
      <w:pPr>
        <w:ind w:left="60" w:right="539"/>
        <w:spacing w:after="0" w:line="238" w:lineRule="auto"/>
        <w:rPr>
          <w:sz w:val="20"/>
          <w:szCs w:val="20"/>
          <w:color w:val="auto"/>
        </w:rPr>
      </w:pPr>
      <w:r>
        <w:rPr>
          <w:rFonts w:ascii="Arial" w:cs="Arial" w:eastAsia="Arial" w:hAnsi="Arial"/>
          <w:sz w:val="18"/>
          <w:szCs w:val="18"/>
          <w:color w:val="auto"/>
        </w:rPr>
        <w:t>While our significant accounting policies are more fully described in Note 2 to our condensed consolidated financial statements included elsewhere in this Quarterly Report on Form 10-Q,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203"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208"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89" w:lineRule="exact"/>
        <w:rPr>
          <w:sz w:val="20"/>
          <w:szCs w:val="20"/>
          <w:color w:val="auto"/>
        </w:rPr>
      </w:pPr>
    </w:p>
    <w:p>
      <w:pPr>
        <w:ind w:left="380" w:right="219" w:hanging="330"/>
        <w:spacing w:after="0" w:line="232" w:lineRule="auto"/>
        <w:tabs>
          <w:tab w:leader="none" w:pos="380" w:val="left"/>
        </w:tabs>
        <w:numPr>
          <w:ilvl w:val="0"/>
          <w:numId w:val="11"/>
        </w:numPr>
        <w:rPr>
          <w:rFonts w:ascii="Arial" w:cs="Arial" w:eastAsia="Arial" w:hAnsi="Arial"/>
          <w:sz w:val="22"/>
          <w:szCs w:val="22"/>
          <w:color w:val="auto"/>
        </w:rPr>
      </w:pPr>
      <w:r>
        <w:rPr>
          <w:rFonts w:ascii="Arial" w:cs="Arial" w:eastAsia="Arial" w:hAnsi="Arial"/>
          <w:sz w:val="18"/>
          <w:szCs w:val="18"/>
          <w:color w:val="231F20"/>
        </w:rPr>
        <w:t>Fair value of common stock — Given the absence of a public trading market for our common stock prior to the IPO, the fair value of our common stock was determined by our Board of Directors with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99"/>
        <w:spacing w:after="0" w:line="236" w:lineRule="auto"/>
        <w:rPr>
          <w:sz w:val="20"/>
          <w:szCs w:val="20"/>
          <w:color w:val="auto"/>
        </w:rPr>
      </w:pPr>
      <w:r>
        <w:rPr>
          <w:rFonts w:ascii="Arial" w:cs="Arial" w:eastAsia="Arial" w:hAnsi="Arial"/>
          <w:sz w:val="18"/>
          <w:szCs w:val="18"/>
          <w:color w:val="231F20"/>
        </w:rPr>
        <w:t>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will determine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94" w:lineRule="exact"/>
        <w:rPr>
          <w:sz w:val="20"/>
          <w:szCs w:val="20"/>
          <w:color w:val="auto"/>
        </w:rPr>
      </w:pPr>
    </w:p>
    <w:p>
      <w:pPr>
        <w:ind w:left="380" w:right="79" w:hanging="330"/>
        <w:spacing w:after="0" w:line="24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right="79" w:hanging="330"/>
        <w:spacing w:after="0" w:line="256"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Expected term of an award — Determined based on our analysis of historical exercise behavior while taking into consideration various participant demographics and option characteristics. We utilize the simplified method to develop the estimate of the expected term.</w:t>
      </w:r>
    </w:p>
    <w:p>
      <w:pPr>
        <w:spacing w:after="0" w:line="174"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859" w:hanging="330"/>
        <w:spacing w:after="0" w:line="277" w:lineRule="auto"/>
        <w:tabs>
          <w:tab w:leader="none" w:pos="3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Expected dividend yield — We assume an expected dividend yield of zero, as we have never paid dividends and have no current plans to pay any dividends on our common stock.</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estimate pre-vesting forfeitures at the time of grant by analyzing historical data and revise those estimates in subsequent periods if actual forfeitures differ from those estimates or if they are likely to change. We expense the fair value of our equity-based compensation awards granted to employees on a straight-line basis over the associated service period, which is generally the period in which the related services are received.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Freestanding preferred stock warrants</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Warrants to purchase our preferred stock were classified as a liability on our condensed consolidated balance sheets. These warrants were subject to remeasurement at each balance sheet date and any change in fair value was recognized in other income (expense), net. As a result of the IPO, these warrants were converted to common stock warrants and the liability was reclassified to stockholders’ equity.</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valuation of our warrants required the input of certain subjective assumptions, including (i) IPO probability,</w:t>
      </w:r>
    </w:p>
    <w:p>
      <w:pPr>
        <w:ind w:left="60" w:right="279" w:hanging="10"/>
        <w:spacing w:after="0" w:line="246" w:lineRule="auto"/>
        <w:tabs>
          <w:tab w:leader="none" w:pos="3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fair value of common stock, (iii) the expected share price volatility, (iv) the expected term, (v) the risk-free interest rate and (vi) the expected dividend yield.</w:t>
      </w:r>
    </w:p>
    <w:p>
      <w:pPr>
        <w:spacing w:after="0" w:line="183" w:lineRule="exact"/>
        <w:rPr>
          <w:sz w:val="20"/>
          <w:szCs w:val="20"/>
          <w:color w:val="auto"/>
        </w:rPr>
      </w:pPr>
    </w:p>
    <w:p>
      <w:pPr>
        <w:ind w:left="380" w:right="399" w:hanging="330"/>
        <w:spacing w:after="0" w:line="256" w:lineRule="auto"/>
        <w:tabs>
          <w:tab w:leader="none" w:pos="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IPO probability — Management, along with the assistance of an unrelated third-party valuation firm, evaluated the likelihood and timing of an IPO and applied these assumptions to the determination of the future fair value of the common stock as well as the expected term assumption.</w:t>
      </w:r>
    </w:p>
    <w:p>
      <w:pPr>
        <w:spacing w:after="0" w:line="174" w:lineRule="exact"/>
        <w:rPr>
          <w:rFonts w:ascii="Arial" w:cs="Arial" w:eastAsia="Arial" w:hAnsi="Arial"/>
          <w:sz w:val="18"/>
          <w:szCs w:val="18"/>
          <w:color w:val="231F20"/>
        </w:rPr>
      </w:pPr>
    </w:p>
    <w:p>
      <w:pPr>
        <w:ind w:left="380" w:right="219" w:hanging="330"/>
        <w:spacing w:after="0" w:line="245" w:lineRule="auto"/>
        <w:tabs>
          <w:tab w:leader="none" w:pos="38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Future fair value of common stock —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4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 xml:space="preserve">Expected share price volatility — Due to the lack of a public market for the trading of our common stock and a lack of company-specific historical and implied volatility data, we based our estimate of expected volatility on the historical volatility of a group of similar (guideline) companies that are publicly traded. The historical volatility was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87" w:lineRule="exact"/>
        <w:rPr>
          <w:rFonts w:ascii="Arial" w:cs="Arial" w:eastAsia="Arial" w:hAnsi="Arial"/>
          <w:sz w:val="18"/>
          <w:szCs w:val="18"/>
          <w:color w:val="auto"/>
        </w:rPr>
      </w:pPr>
    </w:p>
    <w:p>
      <w:pPr>
        <w:ind w:left="380" w:hanging="330"/>
        <w:spacing w:after="0"/>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Expected term — The expected term of the warrant was driven by the probability and timing of an IPO.</w:t>
      </w:r>
    </w:p>
    <w:p>
      <w:pPr>
        <w:spacing w:after="0" w:line="225" w:lineRule="exact"/>
        <w:rPr>
          <w:rFonts w:ascii="Arial" w:cs="Arial" w:eastAsia="Arial" w:hAnsi="Arial"/>
          <w:sz w:val="18"/>
          <w:szCs w:val="18"/>
          <w:color w:val="231F20"/>
        </w:rPr>
      </w:pPr>
    </w:p>
    <w:p>
      <w:pPr>
        <w:ind w:left="380" w:right="279" w:hanging="330"/>
        <w:spacing w:after="0" w:line="277" w:lineRule="auto"/>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Risk-free interest rate — Based on a treasury instrument whose term is consistent with the expected term of the stock options.</w:t>
      </w:r>
    </w:p>
    <w:p>
      <w:pPr>
        <w:spacing w:after="0" w:line="156" w:lineRule="exact"/>
        <w:rPr>
          <w:rFonts w:ascii="Arial" w:cs="Arial" w:eastAsia="Arial" w:hAnsi="Arial"/>
          <w:sz w:val="18"/>
          <w:szCs w:val="18"/>
          <w:color w:val="231F20"/>
        </w:rPr>
      </w:pPr>
    </w:p>
    <w:p>
      <w:pPr>
        <w:ind w:left="380" w:right="759" w:hanging="330"/>
        <w:spacing w:after="0" w:line="277" w:lineRule="auto"/>
        <w:tabs>
          <w:tab w:leader="none" w:pos="38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Expected dividend yield — We assumed an expected dividend yield of zero, as we have never paid dividends and have no current plans to pay any dividends on our common stock.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3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38" w:lineRule="exact"/>
        <w:rPr>
          <w:sz w:val="20"/>
          <w:szCs w:val="20"/>
          <w:color w:val="auto"/>
        </w:rPr>
      </w:pPr>
    </w:p>
    <w:p>
      <w:pPr>
        <w:ind w:left="60" w:right="719"/>
        <w:spacing w:after="0" w:line="246"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4" w:lineRule="exact"/>
        <w:rPr>
          <w:sz w:val="20"/>
          <w:szCs w:val="20"/>
          <w:color w:val="auto"/>
        </w:rPr>
      </w:pPr>
    </w:p>
    <w:p>
      <w:pPr>
        <w:ind w:left="60" w:right="179"/>
        <w:spacing w:after="0" w:line="274"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175"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Additionally, the interest rate for our outstanding debt is variable. If overall interest rates had increased by 100 basis points during the periods presented, our interest expense would not have been materially affected.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3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To date, a majority of our revenue and a portion of our operating expenses are incurred outside the U.S. are denominated in foreign currencies and are subject to fluctuations due to changes in foreign currency exchange rates, particularly changes in the Euro. Additionally, fluctuations in foreign currency exchange rates may cause us to recognize transaction gains and losses in our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4" w:lineRule="exact"/>
        <w:rPr>
          <w:sz w:val="20"/>
          <w:szCs w:val="20"/>
          <w:color w:val="auto"/>
        </w:rPr>
      </w:pPr>
    </w:p>
    <w:p>
      <w:pPr>
        <w:ind w:left="60" w:right="239"/>
        <w:spacing w:after="0" w:line="248"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spacing w:after="0" w:line="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3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As of September 30, 2021 and December 31, 2020,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7"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reputation,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business</w:t>
      </w:r>
    </w:p>
    <w:p>
      <w:pPr>
        <w:spacing w:after="0" w:line="2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We have a history of significant losses, which we expect to continue, and we may not be able to achieve or sustain profitability. If we do not achieve and sustain profitability, our financial condition could suffer.</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 xml:space="preserve">We have experienced significant net losses since our inception and we expect to continue to incur losses for the foreseeable future. </w:t>
      </w:r>
      <w:r>
        <w:rPr>
          <w:rFonts w:ascii="Arial" w:cs="Arial" w:eastAsia="Arial" w:hAnsi="Arial"/>
          <w:sz w:val="18"/>
          <w:szCs w:val="18"/>
          <w:color w:val="000000"/>
        </w:rPr>
        <w:t>We incurred net losses of $14.1 million and $14.6 million for the years ended December 31,</w:t>
      </w:r>
      <w:r>
        <w:rPr>
          <w:rFonts w:ascii="Arial" w:cs="Arial" w:eastAsia="Arial" w:hAnsi="Arial"/>
          <w:sz w:val="18"/>
          <w:szCs w:val="18"/>
          <w:color w:val="231F20"/>
        </w:rPr>
        <w:t xml:space="preserve"> </w:t>
      </w:r>
      <w:r>
        <w:rPr>
          <w:rFonts w:ascii="Arial" w:cs="Arial" w:eastAsia="Arial" w:hAnsi="Arial"/>
          <w:sz w:val="18"/>
          <w:szCs w:val="18"/>
          <w:color w:val="000000"/>
        </w:rPr>
        <w:t xml:space="preserve">2020 and 2019, respectively. </w:t>
      </w:r>
      <w:r>
        <w:rPr>
          <w:rFonts w:ascii="Arial" w:cs="Arial" w:eastAsia="Arial" w:hAnsi="Arial"/>
          <w:sz w:val="18"/>
          <w:szCs w:val="18"/>
          <w:color w:val="231F20"/>
        </w:rPr>
        <w:t>We incurred net losses of $6.1 million and $32.5 million for the three and nine</w:t>
      </w:r>
      <w:r>
        <w:rPr>
          <w:rFonts w:ascii="Arial" w:cs="Arial" w:eastAsia="Arial" w:hAnsi="Arial"/>
          <w:sz w:val="18"/>
          <w:szCs w:val="18"/>
          <w:color w:val="000000"/>
        </w:rPr>
        <w:t xml:space="preserve"> </w:t>
      </w:r>
      <w:r>
        <w:rPr>
          <w:rFonts w:ascii="Arial" w:cs="Arial" w:eastAsia="Arial" w:hAnsi="Arial"/>
          <w:sz w:val="18"/>
          <w:szCs w:val="18"/>
          <w:color w:val="231F20"/>
        </w:rPr>
        <w:t>months ended September 30, 2021, respectively</w:t>
      </w:r>
      <w:r>
        <w:rPr>
          <w:rFonts w:ascii="Arial" w:cs="Arial" w:eastAsia="Arial" w:hAnsi="Arial"/>
          <w:sz w:val="18"/>
          <w:szCs w:val="18"/>
          <w:color w:val="000000"/>
        </w:rPr>
        <w:t>.</w:t>
      </w:r>
      <w:r>
        <w:rPr>
          <w:rFonts w:ascii="Arial" w:cs="Arial" w:eastAsia="Arial" w:hAnsi="Arial"/>
          <w:sz w:val="18"/>
          <w:szCs w:val="18"/>
          <w:color w:val="231F20"/>
        </w:rPr>
        <w:t xml:space="preserve"> As of September 30, 2021 and December 31, 2020, our accumulated deficit was $384.2 million and $351.7 million, respectively. We expect to continue to incur significant sales and marketing, research and development, regulatory and other expenses as we grow our U.S. commercial sales force and expand our marketing efforts to increase adoption of our BAROSTIM NEO, expand existing relationships with our customers, add new features to our BAROSTIM NEO, obtain regulatory clearances or approvals for our planned or future products and conduct clinical trials on our existing and planned or future products. In addition, we expect our general and administrative expenses to increase following the IPO due to the additional costs associated with being a public company.</w:t>
      </w:r>
    </w:p>
    <w:p>
      <w:pPr>
        <w:spacing w:after="0" w:line="208" w:lineRule="exact"/>
        <w:rPr>
          <w:sz w:val="20"/>
          <w:szCs w:val="20"/>
          <w:color w:val="auto"/>
        </w:rPr>
      </w:pPr>
    </w:p>
    <w:p>
      <w:pPr>
        <w:ind w:left="60" w:right="159"/>
        <w:spacing w:after="0" w:line="267" w:lineRule="auto"/>
        <w:rPr>
          <w:sz w:val="20"/>
          <w:szCs w:val="20"/>
          <w:color w:val="auto"/>
        </w:rPr>
      </w:pPr>
      <w:r>
        <w:rPr>
          <w:rFonts w:ascii="Arial" w:cs="Arial" w:eastAsia="Arial" w:hAnsi="Arial"/>
          <w:sz w:val="18"/>
          <w:szCs w:val="18"/>
          <w:color w:val="231F20"/>
        </w:rPr>
        <w:t>Until our recent IPO, we financed our operations primarily through convertible preferred stock financings and amounts borrowed under the Horizon loan agreement (as defined above). We have devoted substantially all of our financial resources to research and development activities as well as general and administrative expenses associated with our operations, including clinical and regulatory initiatives to obtain marketing approval. We will need to generate significant additional revenue in order to achieve and sustain profitability. Even if we achieve profitability in the future, we may not be able to sustain profitability in subsequent periods. Our expected future operating losses, combined with our prior operating losses, may adversely affect the market price of our common stock and our ability to raise capital and continue operations.</w:t>
      </w:r>
    </w:p>
    <w:p>
      <w:pPr>
        <w:spacing w:after="0" w:line="20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We have a limited history operating as a commercial company and are highly dependent on a single product, BAROSTIM NEO. The failure to obtain market acceptance in the U.S. for BAROSTIM NEO would negatively impact our business, liquidity and results of operations.</w:t>
      </w:r>
    </w:p>
    <w:p>
      <w:pPr>
        <w:spacing w:after="0" w:line="257"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231F20"/>
        </w:rPr>
        <w:t>Since our inception, we have generated minimal revenue as our activities have consisted primarily of developing our BAROSTIM Therapy, conducting our BeAT-HF pre-market and post-market pivotal studies in</w:t>
      </w:r>
    </w:p>
    <w:p>
      <w:pPr>
        <w:sectPr>
          <w:pgSz w:w="11900" w:h="16838" w:orient="portrait"/>
          <w:cols w:equalWidth="0" w:num="1">
            <w:col w:w="9019"/>
          </w:cols>
          <w:pgMar w:left="1440" w:top="517"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59"/>
        <w:spacing w:after="0" w:line="267" w:lineRule="auto"/>
        <w:rPr>
          <w:sz w:val="20"/>
          <w:szCs w:val="20"/>
          <w:color w:val="auto"/>
        </w:rPr>
      </w:pPr>
      <w:r>
        <w:rPr>
          <w:rFonts w:ascii="Arial" w:cs="Arial" w:eastAsia="Arial" w:hAnsi="Arial"/>
          <w:sz w:val="18"/>
          <w:szCs w:val="18"/>
          <w:color w:val="231F20"/>
        </w:rPr>
        <w:t>the U.S. and filing for regulatory approvals. We first commercialized our BAROSTIM NEO in the European Economic Area (“EEA”) in 2012 and in the U.S. in 2020 and therefore do not have a long history operating as a commercial company. We expect substantially all of our revenue to continue to be derived from sales of BAROSTIM NEO for the foreseeable future, the majority of which will be generated in the U.S. Because of its recent commercial introduction in the U.S., our BAROSTIM NEO has limited product and brand recognition. In addition, demand for our BAROSTIM NEO may decline or may not increase as quickly as we expect. If we are unable to achieve significant market acceptance in the U.S. for BAROSTIM NEO, our results of operations will be adversely affected. Because we do not yet have other products currently in development, if we are unsuccessful in commercializing BAROSTIM NEO or are unable to market BAROSTIM NEO as a result of a quality problem, failure to maintain regulatory approvals, unexpected or serious complications or other unforeseen negative effects related to BAROSTIM NEO or the other factors discussed in these risk factors, we would lose our main source of revenue, and our business, reputation, liquidity and results of operations will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379"/>
        <w:spacing w:after="0" w:line="258" w:lineRule="auto"/>
        <w:rPr>
          <w:sz w:val="20"/>
          <w:szCs w:val="20"/>
          <w:color w:val="auto"/>
        </w:rPr>
      </w:pPr>
      <w:r>
        <w:rPr>
          <w:rFonts w:ascii="Arial" w:cs="Arial" w:eastAsia="Arial" w:hAnsi="Arial"/>
          <w:sz w:val="17"/>
          <w:szCs w:val="17"/>
          <w:b w:val="1"/>
          <w:bCs w:val="1"/>
          <w:i w:val="1"/>
          <w:iCs w:val="1"/>
          <w:color w:val="231F20"/>
        </w:rPr>
        <w:t>We have limited commercial sales experience marketing and selling our BAROSTIM NEO, and if we are unable to establish and maintain sales and marketing capabilities, we will be unable to successfully commercialize our BAROSTIM NEO or generate sustained and increasing product revenue.</w:t>
      </w:r>
    </w:p>
    <w:p>
      <w:pPr>
        <w:spacing w:after="0" w:line="2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We currently have a limited sales and marketing organization. As a result, we have limited experience marketing and selling our BAROSTIM NEO. In order to generate future revenue growth, we plan to expand the size and geographic scope of our U.S. direct sales and marketing organization. In order to increase our sales and marketing efforts, we will need to retain, grow and develop a substantial number of direct sales personnel. We intend to make a significant investment in recruiting and training sales representatives for our commercialization effort in the U.S. There is significant competition for sales personnel experienced in relevant medical device sales. Once hired, the training process is lengthy because it requires significant education for new sales representatives to achieve the level of clinical competency with our products expected by physicians. Upon completion of the training, our sales representatives typically require lead time in the field to grow their network of accounts and achieve the productivity levels we expect them to reach in any individual territory. Furthermore, the use of our product will often require or benefit from direct support from us. If we are unable to attract, motivate, develop and retain a sufficient number of qualified sales personnel, and if our sales representatives do not achieve the productivity levels we expect them to reach, our revenue will not grow at the rate we expect and our financial performance will suffer. Because the competition for direct medical sales personnel is high, we cannot be certain we will be able to hire and retain additional sales personnel on favorable or commercially reasonable terms, if at all. Failure to hire or retain qualified sales representatives would prevent us from expanding our business and generating revenue. Any of these risks may adversely affect our business.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must demonstrate to physicians and patients the merits of our BAROSTIM NEO.</w:t>
      </w:r>
    </w:p>
    <w:p>
      <w:pPr>
        <w:spacing w:after="0" w:line="247"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Physicians play a significant role in determining the course of a patient’s treatment and, subsequently, the type of product that will be used to treat a patient. As a result, our success depends, in large part, on effectively marketing BAROSTIM NEO to physicians. In order for us to sell BAROSTIM NEO, we must successfully demonstrate to physicians and patients the merits of BAROSTIM Therapy for use in treating patients with HFrEF. Specifically, BAROSTIM NEO provides symptomatic relief for patients with NYHA Class III or II (with recent history of III), have a LVEF ≤ 35% and a NT-proBNP &lt; 1,600 pg/ml. Acceptance of BAROSTIM NEO depends on educating physicians as to the distinctive characteristics, perceived benefits, safety, ease of use and cost-effectiveness of BAROSTIM NEO, and communicating to physicians the proper application of our BAROSTIM Therapy for patients who meet BAROSTIM NEO’s eligibility criteria. If we are not successful in convincing physicians of the merits of our BAROSTIM Therapy, they may not use BAROSTIM NEO and we may be unable to increase our sales, sustain our growth or achieve profitability.</w:t>
      </w:r>
    </w:p>
    <w:p>
      <w:pPr>
        <w:spacing w:after="0" w:line="208"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In addition, physicians typically need to perform several procedures to become comfortable using BAROSTIM NEO. If a physician experiences difficulties during an initial procedure or otherwise, that physician may be less likely to continue to use our product or to recommend it to other physicians. It is critical to the success of our commercialization efforts to educate physicians on the proper use of BAROSTIM NEO, and to provide them with adequate product support during clinical procedures. If we do not provide support to physicians or do not adequately educate physicians on the benefits and proper use of BAROSTIM NEO, physicians may not use or advocate for our BAROSTIM NEO. In such circumstances, our results of operations would be materially adversely affected.</w:t>
      </w:r>
    </w:p>
    <w:p>
      <w:pPr>
        <w:spacing w:after="0" w:line="210" w:lineRule="exact"/>
        <w:rPr>
          <w:sz w:val="20"/>
          <w:szCs w:val="20"/>
          <w:color w:val="auto"/>
        </w:rPr>
      </w:pPr>
    </w:p>
    <w:p>
      <w:pPr>
        <w:ind w:left="60" w:right="159"/>
        <w:spacing w:after="0" w:line="269" w:lineRule="auto"/>
        <w:rPr>
          <w:sz w:val="20"/>
          <w:szCs w:val="20"/>
          <w:color w:val="auto"/>
        </w:rPr>
      </w:pPr>
      <w:r>
        <w:rPr>
          <w:rFonts w:ascii="Arial" w:cs="Arial" w:eastAsia="Arial" w:hAnsi="Arial"/>
          <w:sz w:val="18"/>
          <w:szCs w:val="18"/>
          <w:color w:val="231F20"/>
        </w:rPr>
        <w:t>Patients may not choose or be able to receive our BAROSTIM NEO if, among other potential reasons, they are reluctant to receive an implantable device as opposed to an alternative, non-implantable treatment, they are worried about potential adverse effects of our BAROSTIM NEO, or they are unable to obtain adequate third-party coverage or reimbursement.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379"/>
        <w:spacing w:after="0" w:line="256" w:lineRule="auto"/>
        <w:rPr>
          <w:sz w:val="20"/>
          <w:szCs w:val="20"/>
          <w:color w:val="auto"/>
        </w:rPr>
      </w:pPr>
      <w:r>
        <w:rPr>
          <w:rFonts w:ascii="Arial" w:cs="Arial" w:eastAsia="Arial" w:hAnsi="Arial"/>
          <w:sz w:val="18"/>
          <w:szCs w:val="18"/>
          <w:b w:val="1"/>
          <w:bCs w:val="1"/>
          <w:i w:val="1"/>
          <w:iCs w:val="1"/>
          <w:color w:val="231F20"/>
        </w:rPr>
        <w:t>If third-party payors do not provide adequate coverage and reimbursement for the use of BAROSTIM NEO, our revenue will be negatively impacted.</w:t>
      </w:r>
    </w:p>
    <w:p>
      <w:pPr>
        <w:spacing w:after="0" w:line="201"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success in marketing BAROSTIM NEO depends and will continue to depend in large part on whether U.S. and international government health administrative authorities, private health insurers and other organizations adequately cover and reimburse customers for the cost of our products. In the U.S., we expect to derive nearly all our revenue from sales of BAROSTIM NEO to hospitals that typically bill various third-party payors, including Medicare, Medicaid, private commercial insurance companies, health maintenance organizations and other healthcare-related organizations, to cover all or a portion of the costs and fees associated with procedures using BAROSTIM NEO and bill patients for any applicable deductibles or co-payments. Access to adequate coverage and reimbursement for procedures using BAROSTIM NEO by third-party payors is essential to the acceptance of our products by our customers.</w:t>
      </w:r>
    </w:p>
    <w:p>
      <w:pPr>
        <w:spacing w:after="0" w:line="209" w:lineRule="exact"/>
        <w:rPr>
          <w:sz w:val="20"/>
          <w:szCs w:val="20"/>
          <w:color w:val="auto"/>
        </w:rPr>
      </w:pPr>
    </w:p>
    <w:p>
      <w:pPr>
        <w:ind w:left="60" w:right="119"/>
        <w:spacing w:after="0" w:line="281" w:lineRule="auto"/>
        <w:rPr>
          <w:sz w:val="20"/>
          <w:szCs w:val="20"/>
          <w:color w:val="auto"/>
        </w:rPr>
      </w:pPr>
      <w:r>
        <w:rPr>
          <w:rFonts w:ascii="Arial" w:cs="Arial" w:eastAsia="Arial" w:hAnsi="Arial"/>
          <w:sz w:val="17"/>
          <w:szCs w:val="17"/>
          <w:color w:val="231F20"/>
        </w:rPr>
        <w:t>Payors in the U.S. generally require hospitals and physicians to identify the proper CPT codes for the service for which they are seeking reimbursement. Procedures using BAROSTIM NEO are currently mapped to CPT code 0266T for the implantation of the device, which is a Category III CPT code. While customers are currently being reimbursed for our procedure, this may not continue in the future, as payors may determine this Category</w:t>
      </w:r>
    </w:p>
    <w:p>
      <w:pPr>
        <w:spacing w:after="0" w:line="3" w:lineRule="exact"/>
        <w:rPr>
          <w:sz w:val="20"/>
          <w:szCs w:val="20"/>
          <w:color w:val="auto"/>
        </w:rPr>
      </w:pPr>
    </w:p>
    <w:p>
      <w:pPr>
        <w:ind w:left="60" w:right="179" w:hanging="10"/>
        <w:spacing w:after="0" w:line="269" w:lineRule="auto"/>
        <w:tabs>
          <w:tab w:leader="none" w:pos="2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CPT code to be investigational. This uncertainty could result in some of our target customers being unwilling to adopt BAROSTIM NEO over more established or lower cost therapeutic alternatives. While we intend to request that our codes be promoted to Category I by the American Medical Association, there can be no assurance that such efforts will be successful.</w:t>
      </w:r>
    </w:p>
    <w:p>
      <w:pPr>
        <w:spacing w:after="0" w:line="206"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Medicare reimbursement levels are important to increasing adoption of BAROSTIM NEO because nearly two-thirds of the target patient population for BAROSTIM NEO is over the age of 65. Effective January 2021, CMS awarded BAROSTIM NEO a Transitional Pass-Through (“TPT”) payment for outpatient procedures that adds the device cost as a pass-through payment to the calculated procedure payment. The calculated procedure payment depends on many factors, including the location of the hospitals and their billing practices, and may not adequately cover hospital costs associated with the procedure. In addition, CMS awarded BAROSTIM NEO a New Technology Add-on Payment (“NTAP”) for inpatient procedures, which took effect in October 2020. The NTAP is for 65% of the device cost and is incremental to the standard payment provided for the implant procedure. Hospitals are responsible for billing for the procedures to receive the additional payment, when such increase in payment is necessary, and there can be no assurance that hospitals will accurately perform these billing procedures. The TPT payment and the NTAP are only effective for up to three years. While we intend to request that BAROSTIM NEO be reclassified into a higher Medicare reimbursement level, there can be no assurance that such efforts will be successful. Any future decline in the amount Medicare is willing to reimburse our customers for procedures using BAROSTIM NEO could make it difficult for new customers to adopt BAROSTIM NEO and could create additional pricing pressure for us, which could adversely affect our ability to invest in and grow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Third-party payors, whether foreign or domestic, or governmental or commercial, are developing increasingly sophisticated methods of controlling healthcare costs. In addition, in the U.S.,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for physicians as well as hospitals that often requires us to provide scientific and clinical support for the use of our products to each payor separately, with no assurance that coverage and adequate reimbursement will be obtained, or maintained if obtained. Accordingly, until such time as BAROSTIM NEO gains broader acceptance by third-party payors as a treatment for HFrEF, hospitals and physicians may encounter delays and additional administrative burdens, such as the submission of supporting documentation, in obtaining reimbursement. Such delays and additional burdens may make it less likely for physicians and hospitals to adopt BAROSTIM NEO. Any future decline in the amount third-party payors are willing to reimburse our customers for procedures using BAROSTIM NEO could make it difficult for new customers to adopt BAROSTIM NEO and could create additional pricing pressure for us, which could adversely affect our ability to invest in and grow our business.</w:t>
      </w:r>
    </w:p>
    <w:p>
      <w:pPr>
        <w:spacing w:after="0" w:line="217"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231F20"/>
        </w:rPr>
        <w:t>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coverage and reimbursement is not available for our current or future products, in either the U.S. or internationally, the demand for our products and our revenues will be adversely affected.</w:t>
      </w:r>
    </w:p>
    <w:p>
      <w:pPr>
        <w:spacing w:after="0" w:line="143" w:lineRule="exact"/>
        <w:rPr>
          <w:sz w:val="20"/>
          <w:szCs w:val="20"/>
          <w:color w:val="auto"/>
        </w:rPr>
      </w:pPr>
    </w:p>
    <w:p>
      <w:pPr>
        <w:ind w:left="60" w:right="139"/>
        <w:spacing w:after="0" w:line="249" w:lineRule="auto"/>
        <w:rPr>
          <w:sz w:val="20"/>
          <w:szCs w:val="20"/>
          <w:color w:val="auto"/>
        </w:rPr>
      </w:pPr>
      <w:r>
        <w:rPr>
          <w:rFonts w:ascii="Arial" w:cs="Arial" w:eastAsia="Arial" w:hAnsi="Arial"/>
          <w:sz w:val="17"/>
          <w:szCs w:val="17"/>
          <w:b w:val="1"/>
          <w:bCs w:val="1"/>
          <w:i w:val="1"/>
          <w:iCs w:val="1"/>
          <w:color w:val="231F20"/>
        </w:rPr>
        <w:t>Our industry is highly competitive. If our competitors, many of which are large, well-established companies with substantially greater resources than us and have a long history of competing in the HF market, are better able to develop and market products that are safer, more effective, less costly, easier to use or otherwise more attractive than BAROSTIM NEO, our business will be adversely impacted.</w:t>
      </w:r>
    </w:p>
    <w:p>
      <w:pPr>
        <w:spacing w:after="0" w:line="210"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The medical device industry is highly competitive and subject to technological change. Our success depends, in part, upon our ability to establish a competitive position in the market by securing broad market acceptance of our BAROSTIM Therapy and BAROSTIM NEO for the treatment of HFrEF. Any product we develop that achieves regulatory clearance or approval, including BAROSTIM NEO, will have to compete for market acceptance and market share. We believe that the primary competitive factors in the market are demonstrated clinical effectiveness, product safety, reliability and durability, ease of use, product support and service, minimal side effects and salesforce experience and relationships. Many of our current and potential competitors that are addressing other HF indications are publicly traded, or are divisions of publicly-traded, established medical device companies that have substantially greater financial, technical, sales and marketing resources than we do, such as Medtronic plc, Boston Scientific Corporation, Abbott Laboratories and LivaNova PLC. We may also face competition from other competitors, such as Impulse Dynamics, which is a private company with a medical device indicated for a subset of our target patient population, or companies with active system development programs that may emerge in the future. Many of the companies developing or marketing competing products enjoy several advantages over us, including, among others:</w:t>
      </w:r>
    </w:p>
    <w:p>
      <w:pPr>
        <w:spacing w:after="0" w:line="177" w:lineRule="exact"/>
        <w:rPr>
          <w:sz w:val="20"/>
          <w:szCs w:val="20"/>
          <w:color w:val="auto"/>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more experienced sales forces;</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greater name recognition;</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more established sales and marketing programs and distribution networks;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earlier regulatory approval;</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long established relationships with physicians and hospitals;</w:t>
      </w:r>
    </w:p>
    <w:p>
      <w:pPr>
        <w:spacing w:after="0" w:line="103" w:lineRule="exact"/>
        <w:rPr>
          <w:rFonts w:ascii="Arial" w:cs="Arial" w:eastAsia="Arial" w:hAnsi="Arial"/>
          <w:sz w:val="18"/>
          <w:szCs w:val="18"/>
          <w:color w:val="231F20"/>
        </w:rPr>
      </w:pPr>
    </w:p>
    <w:p>
      <w:pPr>
        <w:ind w:left="380" w:hanging="127"/>
        <w:spacing w:after="0"/>
        <w:tabs>
          <w:tab w:leader="none" w:pos="38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significant patent portfolios, including issued U.S. and foreign patents and pending patent applications, 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well as the resources to enforce patents against us or any of our third-party suppliers and distributors;</w:t>
      </w:r>
    </w:p>
    <w:p>
      <w:pPr>
        <w:spacing w:after="0" w:line="90" w:lineRule="exact"/>
        <w:rPr>
          <w:sz w:val="20"/>
          <w:szCs w:val="20"/>
          <w:color w:val="auto"/>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ability to acquire and integrate our competitors and/or their technology;</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demonstrated ability to develop product enhancements and new product offerings;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established history of product reliability, safety and durability;</w:t>
      </w:r>
    </w:p>
    <w:p>
      <w:pPr>
        <w:spacing w:after="0" w:line="76"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ability to offer rebates or bundle multiple product offerings to offer greater discounts or incentives;</w:t>
      </w:r>
    </w:p>
    <w:p>
      <w:pPr>
        <w:spacing w:after="0" w:line="90" w:lineRule="exact"/>
        <w:rPr>
          <w:rFonts w:ascii="Arial" w:cs="Arial" w:eastAsia="Arial" w:hAnsi="Arial"/>
          <w:sz w:val="18"/>
          <w:szCs w:val="18"/>
          <w:color w:val="231F20"/>
        </w:rPr>
      </w:pPr>
    </w:p>
    <w:p>
      <w:pPr>
        <w:ind w:left="380" w:hanging="127"/>
        <w:spacing w:after="0"/>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greater financial and human resources for product development, sales, and marketing; and</w:t>
      </w:r>
    </w:p>
    <w:p>
      <w:pPr>
        <w:spacing w:after="0" w:line="103" w:lineRule="exact"/>
        <w:rPr>
          <w:rFonts w:ascii="Arial" w:cs="Arial" w:eastAsia="Arial" w:hAnsi="Arial"/>
          <w:sz w:val="18"/>
          <w:szCs w:val="18"/>
          <w:color w:val="231F20"/>
        </w:rPr>
      </w:pPr>
    </w:p>
    <w:p>
      <w:pPr>
        <w:ind w:left="380" w:right="279" w:hanging="127"/>
        <w:spacing w:after="0" w:line="271" w:lineRule="auto"/>
        <w:tabs>
          <w:tab w:leader="none" w:pos="38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greater experience in and resources for conducting research and development, clinical studies, manufacturing, preparing regulatory submissions, obtaining regulatory clearance or approval for products and marketing approved products.</w:t>
      </w:r>
    </w:p>
    <w:p>
      <w:pPr>
        <w:spacing w:after="0" w:line="68"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competitors may develop and patent processes or products earlier than us, obtain patents that may apply to us at any time, obtain regulatory clearance or approvals for competing products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 In addition, we face a particular challenge overcoming the long-standing practices by some physicians of using the products of our larger, more established competitors. Physicians who have completed many successful implants using the products made by these competitors may be reluctant to try new products from a source with which they are less familiar. If these physicians do not try and subsequently adopt our product, then our revenue growth will slow or decline.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receive access to hospitals, our sales may decrease.</w:t>
      </w:r>
    </w:p>
    <w:p>
      <w:pPr>
        <w:spacing w:after="0" w:line="24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the U.S., in order for physicians to use BAROSTIM NEO, we expect that the hospitals where these physicians treat patients will typically require us to enter into purchasing contracts. This process can be lengthy, time-consuming and require extensive negotiations and management time, which could include an approval by a customer’s value analysis committee. In the EU, from time to time certain institutions require us to engage in a contract bidding process in the event that such institutions are considering making purchase commitments that exceed specified cost thresholds, which vary by jurisdiction. These processes are only open at certain periods of time, and we may not be successful in the bidding process. If we do not receive access to hospitals via these contracting processes or otherwise, or if we are unable to secure contracts or tender successful bids, our sales may decrease and our operating results may be harmed. Furthermore, we may expend significant effort in these time-consuming processes and still may not obtain a purchase contract from such hospitals.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i w:val="1"/>
          <w:iCs w:val="1"/>
          <w:color w:val="231F20"/>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20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We currently source certain components for our BAROSTIM NEO from a limited number of suppliers. Our ability to supply BAROSTIM NEO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any of our limited suppliers, some of which supply components critical to our products, such as modules, batteries and electrodes. We currently have no plans to enter into any such contracts and we cannot guarantee that our suppliers will be able to meet our demand for their products and services, either because of the nature of our arrangements with those suppliers, our limited experience with those suppliers, or due to our relative importance as a customer to those suppliers. Further, due to our limited operating history and expected future expansion, it may be difficult for us to assess their ability to timely meet our demand in the future based on past performance.</w:t>
      </w:r>
    </w:p>
    <w:p>
      <w:pPr>
        <w:spacing w:after="0" w:line="208"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Our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reliance on these third-party suppliers also subjects us to other risks that could harm our business, including, among others:</w:t>
      </w:r>
    </w:p>
    <w:p>
      <w:pPr>
        <w:spacing w:after="0" w:line="206" w:lineRule="exact"/>
        <w:rPr>
          <w:sz w:val="20"/>
          <w:szCs w:val="20"/>
          <w:color w:val="auto"/>
        </w:rPr>
      </w:pPr>
    </w:p>
    <w:p>
      <w:pPr>
        <w:ind w:left="540" w:right="57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are not a major customer of many of our suppliers, and these suppliers may therefore give other customers’ needs higher priority than ours;</w:t>
      </w:r>
    </w:p>
    <w:p>
      <w:pPr>
        <w:spacing w:after="0" w:line="75" w:lineRule="exact"/>
        <w:rPr>
          <w:rFonts w:ascii="Arial" w:cs="Arial" w:eastAsia="Arial" w:hAnsi="Arial"/>
          <w:sz w:val="18"/>
          <w:szCs w:val="18"/>
          <w:color w:val="231F20"/>
        </w:rPr>
      </w:pPr>
    </w:p>
    <w:p>
      <w:pPr>
        <w:ind w:left="540" w:right="79" w:hanging="139"/>
        <w:spacing w:after="0" w:line="308" w:lineRule="auto"/>
        <w:tabs>
          <w:tab w:leader="none" w:pos="54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third parties may threaten or enforce their intellectual property rights against our suppliers, which may cause disruptions or delays in shipment, or may force our suppliers to cease conducting business with us;</w:t>
      </w:r>
    </w:p>
    <w:p>
      <w:pPr>
        <w:spacing w:after="0" w:line="51" w:lineRule="exact"/>
        <w:rPr>
          <w:rFonts w:ascii="Arial" w:cs="Arial" w:eastAsia="Arial" w:hAnsi="Arial"/>
          <w:sz w:val="17"/>
          <w:szCs w:val="17"/>
          <w:color w:val="231F20"/>
        </w:rPr>
      </w:pPr>
    </w:p>
    <w:p>
      <w:pPr>
        <w:ind w:left="540" w:right="25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may not be able to obtain an adequate supply of components in a timely manner or on commercially reasonable terms;</w:t>
      </w:r>
    </w:p>
    <w:p>
      <w:pPr>
        <w:spacing w:after="0" w:line="62" w:lineRule="exact"/>
        <w:rPr>
          <w:rFonts w:ascii="Arial" w:cs="Arial" w:eastAsia="Arial" w:hAnsi="Arial"/>
          <w:sz w:val="18"/>
          <w:szCs w:val="18"/>
          <w:color w:val="231F20"/>
        </w:rPr>
      </w:pPr>
    </w:p>
    <w:p>
      <w:pPr>
        <w:ind w:left="540" w:right="9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suppliers, especially new suppliers, may make errors in manufacturing that could negatively affect the efficacy or safety of BAROSTIM NEO or cause delays in shipment;</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may have difficulty locating and qualifying alternative suppliers;</w:t>
      </w:r>
    </w:p>
    <w:p>
      <w:pPr>
        <w:spacing w:after="0" w:line="117" w:lineRule="exact"/>
        <w:rPr>
          <w:rFonts w:ascii="Arial" w:cs="Arial" w:eastAsia="Arial" w:hAnsi="Arial"/>
          <w:sz w:val="18"/>
          <w:szCs w:val="18"/>
          <w:color w:val="231F20"/>
        </w:rPr>
      </w:pPr>
    </w:p>
    <w:p>
      <w:pPr>
        <w:ind w:left="540" w:right="99" w:hanging="139"/>
        <w:spacing w:after="0" w:line="281" w:lineRule="auto"/>
        <w:tabs>
          <w:tab w:leader="none" w:pos="540" w:val="left"/>
        </w:tabs>
        <w:numPr>
          <w:ilvl w:val="0"/>
          <w:numId w:val="20"/>
        </w:numPr>
        <w:rPr>
          <w:rFonts w:ascii="Arial" w:cs="Arial" w:eastAsia="Arial" w:hAnsi="Arial"/>
          <w:sz w:val="17"/>
          <w:szCs w:val="17"/>
          <w:color w:val="231F20"/>
        </w:rPr>
      </w:pPr>
      <w:r>
        <w:rPr>
          <w:rFonts w:ascii="Arial" w:cs="Arial" w:eastAsia="Arial" w:hAnsi="Arial"/>
          <w:sz w:val="17"/>
          <w:szCs w:val="17"/>
          <w:color w:val="231F20"/>
        </w:rPr>
        <w:t>switching components or suppliers may require product redesign and possibly submission to the FDA, EEA or other foreign regulatory bodies, which could significantly impede or delay our commercial activities; one or more of our limited source suppliers may be unwilling or unable to supply components of</w:t>
      </w:r>
    </w:p>
    <w:p>
      <w:pPr>
        <w:spacing w:after="0" w:line="1" w:lineRule="exact"/>
        <w:rPr>
          <w:rFonts w:ascii="Arial" w:cs="Arial" w:eastAsia="Arial" w:hAnsi="Arial"/>
          <w:sz w:val="17"/>
          <w:szCs w:val="17"/>
          <w:color w:val="231F20"/>
        </w:rPr>
      </w:pPr>
    </w:p>
    <w:p>
      <w:pPr>
        <w:ind w:left="540"/>
        <w:spacing w:after="0"/>
        <w:rPr>
          <w:rFonts w:ascii="Arial" w:cs="Arial" w:eastAsia="Arial" w:hAnsi="Arial"/>
          <w:sz w:val="17"/>
          <w:szCs w:val="17"/>
          <w:color w:val="231F20"/>
        </w:rPr>
      </w:pPr>
      <w:r>
        <w:rPr>
          <w:rFonts w:ascii="Arial" w:cs="Arial" w:eastAsia="Arial" w:hAnsi="Arial"/>
          <w:sz w:val="18"/>
          <w:szCs w:val="18"/>
          <w:color w:val="231F20"/>
        </w:rPr>
        <w:t>BAROSTIM NEO;</w:t>
      </w:r>
    </w:p>
    <w:p>
      <w:pPr>
        <w:spacing w:after="0" w:line="103" w:lineRule="exact"/>
        <w:rPr>
          <w:rFonts w:ascii="Arial" w:cs="Arial" w:eastAsia="Arial" w:hAnsi="Arial"/>
          <w:sz w:val="17"/>
          <w:szCs w:val="17"/>
          <w:color w:val="231F20"/>
        </w:rPr>
      </w:pPr>
    </w:p>
    <w:p>
      <w:pPr>
        <w:ind w:left="540" w:right="57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other customers may use fair or unfair negotiation tactics and/or pressures to impede our use of the supplier;</w:t>
      </w:r>
    </w:p>
    <w:p>
      <w:pPr>
        <w:spacing w:after="0" w:line="75" w:lineRule="exact"/>
        <w:rPr>
          <w:rFonts w:ascii="Arial" w:cs="Arial" w:eastAsia="Arial" w:hAnsi="Arial"/>
          <w:sz w:val="18"/>
          <w:szCs w:val="18"/>
          <w:color w:val="231F20"/>
        </w:rPr>
      </w:pPr>
    </w:p>
    <w:p>
      <w:pPr>
        <w:ind w:left="540" w:right="45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we do not conduct formal environmental, social or governance due diligence on our supply chain and thus may not be aware if our suppliers pose such risks;</w:t>
      </w:r>
    </w:p>
    <w:p>
      <w:pPr>
        <w:spacing w:after="0" w:line="75" w:lineRule="exact"/>
        <w:rPr>
          <w:rFonts w:ascii="Arial" w:cs="Arial" w:eastAsia="Arial" w:hAnsi="Arial"/>
          <w:sz w:val="18"/>
          <w:szCs w:val="18"/>
          <w:color w:val="231F20"/>
        </w:rPr>
      </w:pPr>
    </w:p>
    <w:p>
      <w:pPr>
        <w:ind w:left="540" w:right="13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occurrence of a fire, natural disaster or other catastrophe impacting one or more of our suppliers may affect their ability to deliver products to us in a timely manner; and</w:t>
      </w:r>
    </w:p>
    <w:p>
      <w:pPr>
        <w:spacing w:after="0" w:line="62"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our suppliers may encounter financial or other business hardships unrelated to our demand, which could inhibit their ability to fulfill our orders and meet our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51" w:lineRule="auto"/>
        <w:rPr>
          <w:sz w:val="20"/>
          <w:szCs w:val="20"/>
          <w:color w:val="auto"/>
        </w:rPr>
      </w:pPr>
      <w:r>
        <w:rPr>
          <w:rFonts w:ascii="Arial" w:cs="Arial" w:eastAsia="Arial" w:hAnsi="Arial"/>
          <w:sz w:val="18"/>
          <w:szCs w:val="18"/>
          <w:color w:val="231F20"/>
        </w:rPr>
        <w:t>Establishing additional or replacement suppliers for the components or processes used in BAROSTIM NEO, if required, could be time-consuming and expensive. If we are able to find a replacement supplier, such replacement supplier would need to be qualified and may require additional regulatory authority approval, which could result in further delay. While we seek to maintain adequate inventory of the limited sourced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 Given our reliance on certain limited source suppliers, we are especially susceptible to supply shortages because we have limited alternate suppliers currently available.</w:t>
      </w:r>
    </w:p>
    <w:p>
      <w:pPr>
        <w:spacing w:after="0" w:line="176"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231F20"/>
        </w:rPr>
        <w:t>Manufacturing risks may adversely affect our ability to manufacture our product and could reduce our gross margin and profitability.</w:t>
      </w:r>
    </w:p>
    <w:p>
      <w:pPr>
        <w:spacing w:after="0" w:line="188"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231F20"/>
        </w:rPr>
        <w:t>Our business strategy depends on our ability to manufacture our current and future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82" w:lineRule="exact"/>
        <w:rPr>
          <w:sz w:val="20"/>
          <w:szCs w:val="20"/>
          <w:color w:val="auto"/>
        </w:rPr>
      </w:pPr>
    </w:p>
    <w:p>
      <w:pPr>
        <w:ind w:left="540" w:right="43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quality or reliability defects in product components that we source from third-party suppliers, including manufacturing compliance with federal and state regulations;</w:t>
      </w:r>
    </w:p>
    <w:p>
      <w:pPr>
        <w:spacing w:after="0" w:line="76" w:lineRule="exact"/>
        <w:rPr>
          <w:rFonts w:ascii="Arial" w:cs="Arial" w:eastAsia="Arial" w:hAnsi="Arial"/>
          <w:sz w:val="18"/>
          <w:szCs w:val="18"/>
          <w:color w:val="231F20"/>
        </w:rPr>
      </w:pPr>
    </w:p>
    <w:p>
      <w:pPr>
        <w:ind w:left="540" w:right="21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inability to secure product components in a timely manner, in sufficient quantities or on commercially reasonable terms;</w:t>
      </w:r>
    </w:p>
    <w:p>
      <w:pPr>
        <w:spacing w:after="0" w:line="62" w:lineRule="exact"/>
        <w:rPr>
          <w:rFonts w:ascii="Arial" w:cs="Arial" w:eastAsia="Arial" w:hAnsi="Arial"/>
          <w:sz w:val="18"/>
          <w:szCs w:val="18"/>
          <w:color w:val="231F20"/>
        </w:rPr>
      </w:pPr>
    </w:p>
    <w:p>
      <w:pPr>
        <w:ind w:left="540" w:hanging="139"/>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failure to increase production of products to meet demand;</w:t>
      </w:r>
    </w:p>
    <w:p>
      <w:pPr>
        <w:spacing w:after="0" w:line="103" w:lineRule="exact"/>
        <w:rPr>
          <w:rFonts w:ascii="Arial" w:cs="Arial" w:eastAsia="Arial" w:hAnsi="Arial"/>
          <w:sz w:val="18"/>
          <w:szCs w:val="18"/>
          <w:color w:val="231F20"/>
        </w:rPr>
      </w:pPr>
    </w:p>
    <w:p>
      <w:pPr>
        <w:ind w:left="540" w:right="419" w:hanging="139"/>
        <w:spacing w:after="0" w:line="261" w:lineRule="auto"/>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our inability to modify production lines to enable us to efficiently produce future products or implement changes in current products in response to regulatory requirements; and</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potential damage to or destruction of our manufacturing equipment or manufacturing facility.</w:t>
      </w:r>
    </w:p>
    <w:p>
      <w:pPr>
        <w:spacing w:after="0" w:line="225" w:lineRule="exact"/>
        <w:rPr>
          <w:sz w:val="20"/>
          <w:szCs w:val="20"/>
          <w:color w:val="auto"/>
        </w:rPr>
      </w:pPr>
    </w:p>
    <w:p>
      <w:pPr>
        <w:ind w:left="60" w:right="139"/>
        <w:spacing w:after="0" w:line="251" w:lineRule="auto"/>
        <w:rPr>
          <w:sz w:val="20"/>
          <w:szCs w:val="20"/>
          <w:color w:val="auto"/>
        </w:rPr>
      </w:pPr>
      <w:r>
        <w:rPr>
          <w:rFonts w:ascii="Arial" w:cs="Arial" w:eastAsia="Arial" w:hAnsi="Arial"/>
          <w:sz w:val="18"/>
          <w:szCs w:val="18"/>
          <w:color w:val="231F20"/>
        </w:rPr>
        <w:t>If demand for BAROSTIM NEO increases, we will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although we expect some of our product candidates in development to share product features and components with BAROSTIM NEO, manufacturing of these product candidates may require the modification of our production lines, the hiring of specialized employees, the identification of new suppliers for specific components, or the development of new manufacturing technologies. It may not be possible for us to manufacture these product candidates at a cost or in quantities sufficient to make these product candidates commercially viable. Any of these factors may affect our ability to manufacture our product and could reduce our gross margin and profitability.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operate at a facility in one location and any disruption at this facility could harm our business.</w:t>
      </w:r>
    </w:p>
    <w:p>
      <w:pPr>
        <w:spacing w:after="0" w:line="193" w:lineRule="exact"/>
        <w:rPr>
          <w:sz w:val="20"/>
          <w:szCs w:val="20"/>
          <w:color w:val="auto"/>
        </w:rPr>
      </w:pPr>
    </w:p>
    <w:p>
      <w:pPr>
        <w:ind w:left="60" w:right="79"/>
        <w:spacing w:after="0" w:line="267" w:lineRule="auto"/>
        <w:rPr>
          <w:sz w:val="20"/>
          <w:szCs w:val="20"/>
          <w:color w:val="auto"/>
        </w:rPr>
      </w:pPr>
      <w:r>
        <w:rPr>
          <w:rFonts w:ascii="Arial" w:cs="Arial" w:eastAsia="Arial" w:hAnsi="Arial"/>
          <w:sz w:val="17"/>
          <w:szCs w:val="17"/>
          <w:color w:val="231F20"/>
        </w:rPr>
        <w:t>Our principal offices and our only manufacturing facility are located in Minneapolis, Minnesota. Substantially all of our operations are conducted at this location, including our manufacturing processes, research, development and engineering activities, customer and technical support and management and administrative functions. In addition, substantially all of our inventory of component supplies and finished goods is held at the manufacturing facility. Vandalism, terrorism or a natural or other disaster, such as a fire or flood, could damage or destroy our manufacturing equipment or our inventory of component supplies or finished goods, cause substantial delays in our operations, result in the loss of key information and cause us to incur additional expenses. Our manufacturing facility in Minneapolis, Minnesota is our only manufacturing facility, and if it is damaged or rendered inoperable or inaccessible due to political, social or economic upheaval or due to natural or other disasters, it would be difficult or impossible for us to manufacture our product for a period of time, which may lead to a loss of customers and significant impairment of our financial condition and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339"/>
        <w:spacing w:after="0" w:line="285" w:lineRule="auto"/>
        <w:rPr>
          <w:sz w:val="20"/>
          <w:szCs w:val="20"/>
          <w:color w:val="auto"/>
        </w:rPr>
      </w:pPr>
      <w:r>
        <w:rPr>
          <w:rFonts w:ascii="Arial" w:cs="Arial" w:eastAsia="Arial" w:hAnsi="Arial"/>
          <w:sz w:val="18"/>
          <w:szCs w:val="18"/>
          <w:color w:val="231F20"/>
        </w:rPr>
        <w:t>We take precautions to safeguard this facility, including acquiring insurance, employing back-up generators, adopting health and safety protocols and utilizing off-site storage of computer data. Our insurance may not cover our losses in any particular case. In addition, regardless of the level of insurance coverage, damage to our facility may harm our business, financial condition and operating results.</w:t>
      </w:r>
    </w:p>
    <w:p>
      <w:pPr>
        <w:spacing w:after="0" w:line="142" w:lineRule="exact"/>
        <w:rPr>
          <w:sz w:val="20"/>
          <w:szCs w:val="20"/>
          <w:color w:val="auto"/>
        </w:rPr>
      </w:pPr>
    </w:p>
    <w:p>
      <w:pPr>
        <w:ind w:left="60" w:right="459"/>
        <w:spacing w:after="0" w:line="301" w:lineRule="auto"/>
        <w:rPr>
          <w:sz w:val="20"/>
          <w:szCs w:val="20"/>
          <w:color w:val="auto"/>
        </w:rPr>
      </w:pPr>
      <w:r>
        <w:rPr>
          <w:rFonts w:ascii="Arial" w:cs="Arial" w:eastAsia="Arial" w:hAnsi="Arial"/>
          <w:sz w:val="17"/>
          <w:szCs w:val="17"/>
          <w:b w:val="1"/>
          <w:bCs w:val="1"/>
          <w:i w:val="1"/>
          <w:iCs w:val="1"/>
          <w:color w:val="231F20"/>
        </w:rPr>
        <w:t>A pandemic, epidemic or outbreak of an infectious disease in the U.S. or worldwide, including the outbreak of the novel strain of coronavirus disease, COVID-19, could adversely affect our business.</w:t>
      </w:r>
    </w:p>
    <w:p>
      <w:pPr>
        <w:spacing w:after="0" w:line="126" w:lineRule="exact"/>
        <w:rPr>
          <w:sz w:val="20"/>
          <w:szCs w:val="20"/>
          <w:color w:val="auto"/>
        </w:rPr>
      </w:pPr>
    </w:p>
    <w:p>
      <w:pPr>
        <w:ind w:left="60" w:right="119"/>
        <w:spacing w:after="0" w:line="300" w:lineRule="auto"/>
        <w:rPr>
          <w:sz w:val="20"/>
          <w:szCs w:val="20"/>
          <w:color w:val="auto"/>
        </w:rPr>
      </w:pPr>
      <w:r>
        <w:rPr>
          <w:rFonts w:ascii="Arial" w:cs="Arial" w:eastAsia="Arial" w:hAnsi="Arial"/>
          <w:sz w:val="17"/>
          <w:szCs w:val="17"/>
          <w:color w:val="231F20"/>
        </w:rPr>
        <w:t>If a pandemic, epidemic or outbreak of an infectious disease occurs in the U.S. or worldwide, our business may be adversely affected. In December 2019, a novel strain of coronavirus, SARS-CoV-2, was identified in Wuhan, China. Since then, SARS-CoV-2, and the resulting disease, COVID-19, has spread to most countries and all 50 states within the U.S. The COVID-19 pandemic has negatively impacted our business, financial condition and results of operations by decreasing and delaying the number of procedures performed using our BAROSTIM NEO, and the pandemic may continue to negatively impact our business, financial condition and results of operations. Similar to the general trend in elective and other surgical procedures, the number of procedures performed using our BAROSTIM NEO decreased significantly when healthcare organizations in the U.S. prioritized the treatment of patients with COVID-19 or altered their operations to prepare for and respond to the pandemic. We believe the COVID-19 pandemic has also negatively impacted the number of HFrEF diagnoses as hospitals focus on COVID-19 and as patients postpone healthcare visits and treatments. Specifically, a significant number of procedures using our products were postponed or cancelled beginning in March 2020.</w:t>
      </w:r>
    </w:p>
    <w:p>
      <w:pPr>
        <w:spacing w:after="0" w:line="159" w:lineRule="exact"/>
        <w:rPr>
          <w:sz w:val="20"/>
          <w:szCs w:val="20"/>
          <w:color w:val="auto"/>
        </w:rPr>
      </w:pPr>
    </w:p>
    <w:p>
      <w:pPr>
        <w:ind w:left="60" w:right="59"/>
        <w:spacing w:after="0" w:line="282" w:lineRule="auto"/>
        <w:rPr>
          <w:sz w:val="20"/>
          <w:szCs w:val="20"/>
          <w:color w:val="auto"/>
        </w:rPr>
      </w:pPr>
      <w:r>
        <w:rPr>
          <w:rFonts w:ascii="Arial" w:cs="Arial" w:eastAsia="Arial" w:hAnsi="Arial"/>
          <w:sz w:val="18"/>
          <w:szCs w:val="18"/>
          <w:color w:val="231F20"/>
        </w:rPr>
        <w:t>Numerous state and local jurisdictions have imposed, and others in the future may impose, “shelter-in-place” orders, quarantines, executive orders and similar government orders and restrictions for their residents to control the spread of COVID-19. Such orders or restrictions have resulted in reduced operations at our headquarters, slowdowns and delays, travel restrictions and cancellation of events and have restricted the ability of our front-line sales representatives to attend procedures in which our products are used, among other effects, thereby negatively impacting our operations. Other disruptions or potential disruptions include restrictions on the ability of our sales representatives and other personnel to travel and access customers for training and case support; inability of our suppliers to manufacture components and parts and to deliver these to us on a timely basis, or at all; disruptions in our production schedule and ability to manufacture and assemble products; inventory shortages or obsolescence; delays in actions of regulatory bodies; delays in clinical trials and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sales organization,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and additional government requirements or other incremental mitigation efforts that may impact our or our suppliers’ capacity to manufacture our products. The extent to which the COVID-19 pandemic impacts our business will depend on future developments, which are highly uncertain and cannot be predicted, including new information which may emerge concerning the severity and spread of COVID-19 and its variants and the durability of immunity offered by vaccines developed to prevent infection, as well as other actions to contain COVID-19 and its variants or treat its impact, among others.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While the potential economic impact brought by and the duration of any pandemic, epidemic or outbreak of an infectious disease, including COVID-19, may be difficult to assess or predict, the widespread COVID-19 pandemic has resulted in, and may in the future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curtail and reduce capital and overall spending. To the extent the COVID-19 pandemic adversely affects our business and financial results, it may also have the effect of heightening many of the other risks described in this “Risk Factors” section.</w:t>
      </w:r>
    </w:p>
    <w:p>
      <w:pPr>
        <w:spacing w:after="0" w:line="174"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231F20"/>
        </w:rPr>
        <w:t>Our international operations subject us to certain operating risks, which could adversely impact our results of operations and financial condition.</w:t>
      </w:r>
    </w:p>
    <w:p>
      <w:pPr>
        <w:spacing w:after="0" w:line="189"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Sales of BAROSTIM NEO outside the U.S. represented a majority of our revenue from sales in the year ended December 31, 2020. In 2012, we began selling BAROSTIM NEO in the EEA directly to hospitals and through distributors. The sale and shipment of BAROSTIM NEO across international borders, as well as the purchase of components from international sources, subjects us to U.S. and foreign governmental trade, import and export, and customs regulations and laws.</w:t>
      </w:r>
    </w:p>
    <w:p>
      <w:pPr>
        <w:spacing w:after="0" w:line="208" w:lineRule="exact"/>
        <w:rPr>
          <w:sz w:val="20"/>
          <w:szCs w:val="20"/>
          <w:color w:val="auto"/>
        </w:rPr>
      </w:pPr>
    </w:p>
    <w:p>
      <w:pPr>
        <w:ind w:left="60" w:right="259"/>
        <w:spacing w:after="0" w:line="268" w:lineRule="auto"/>
        <w:rPr>
          <w:sz w:val="20"/>
          <w:szCs w:val="20"/>
          <w:color w:val="auto"/>
        </w:rPr>
      </w:pPr>
      <w:r>
        <w:rPr>
          <w:rFonts w:ascii="Arial" w:cs="Arial" w:eastAsia="Arial" w:hAnsi="Arial"/>
          <w:sz w:val="18"/>
          <w:szCs w:val="18"/>
          <w:color w:val="231F20"/>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Our international operations expose us and our distributors to risks inherent in operating in foreign jurisdictions.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These risks include, among others:</w:t>
      </w:r>
    </w:p>
    <w:p>
      <w:pPr>
        <w:spacing w:after="0" w:line="225" w:lineRule="exact"/>
        <w:rPr>
          <w:sz w:val="20"/>
          <w:szCs w:val="20"/>
          <w:color w:val="auto"/>
        </w:rPr>
      </w:pPr>
    </w:p>
    <w:p>
      <w:pPr>
        <w:ind w:left="540" w:right="299" w:hanging="139"/>
        <w:spacing w:after="0" w:line="274" w:lineRule="auto"/>
        <w:tabs>
          <w:tab w:leader="none" w:pos="54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difficulties in enforcing our intellectual property rights and in defending against third-party threats and intellectual property enforcement actions against us, our distributors, or any of our third-party suppliers;</w:t>
      </w:r>
    </w:p>
    <w:p>
      <w:pPr>
        <w:spacing w:after="0" w:line="53" w:lineRule="exact"/>
        <w:rPr>
          <w:rFonts w:ascii="Arial" w:cs="Arial" w:eastAsia="Arial" w:hAnsi="Arial"/>
          <w:sz w:val="17"/>
          <w:szCs w:val="17"/>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reduced or varied protection for intellectual property rights in some countries;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potential pricing pressure;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a shortage of high-quality sales representatives and distributors;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competitive disadvantage to competition with established business and customer relationships;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foreign currency exchange rate fluctuations;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imposition of additional U.S. and foreign governmental controls or regulations;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economic instability;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changes in duties and tariffs, license obligations and other non-tariff barriers to trade;</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imposition of restrictions on the activities of foreign agents, representatives and distributors;</w:t>
      </w:r>
    </w:p>
    <w:p>
      <w:pPr>
        <w:spacing w:after="0" w:line="90" w:lineRule="exact"/>
        <w:rPr>
          <w:rFonts w:ascii="Arial" w:cs="Arial" w:eastAsia="Arial" w:hAnsi="Arial"/>
          <w:sz w:val="18"/>
          <w:szCs w:val="18"/>
          <w:color w:val="231F20"/>
        </w:rPr>
      </w:pPr>
    </w:p>
    <w:p>
      <w:pPr>
        <w:ind w:left="540" w:right="199" w:hanging="139"/>
        <w:spacing w:after="0" w:line="246" w:lineRule="auto"/>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scrutiny of U.S. and foreign tax authorities which could result in significant fines, penalties and additional taxes being imposed on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laws and business practices favoring local companies;</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longer payment cycles;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difficulties in maintaining consistency with our internal guidelines;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difficulties in enforcing agreements and collecting receivables through certain foreign legal systems;</w:t>
      </w:r>
    </w:p>
    <w:p>
      <w:pPr>
        <w:sectPr>
          <w:pgSz w:w="11900" w:h="16838" w:orient="portrait"/>
          <w:cols w:equalWidth="0" w:num="1">
            <w:col w:w="9019"/>
          </w:cols>
          <w:pgMar w:left="1440" w:top="517" w:right="144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costly and lengthy new export licensing requirements;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U.S. or international sanctions against a country, company, person or entity; and</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the imposition of new trade restrictions.</w:t>
      </w:r>
    </w:p>
    <w:p>
      <w:pPr>
        <w:spacing w:after="0" w:line="9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231F20"/>
        </w:rPr>
        <w:t>If any of these risks are realized, our sales in non-U.S. jurisdictions may be adversely affected and our results of operations would suffer.</w:t>
      </w:r>
    </w:p>
    <w:p>
      <w:pPr>
        <w:spacing w:after="0" w:line="162" w:lineRule="exact"/>
        <w:rPr>
          <w:sz w:val="20"/>
          <w:szCs w:val="20"/>
          <w:color w:val="auto"/>
        </w:rPr>
      </w:pPr>
    </w:p>
    <w:p>
      <w:pPr>
        <w:jc w:val="both"/>
        <w:ind w:left="60" w:right="219"/>
        <w:spacing w:after="0" w:line="253" w:lineRule="auto"/>
        <w:rPr>
          <w:sz w:val="20"/>
          <w:szCs w:val="20"/>
          <w:color w:val="auto"/>
        </w:rPr>
      </w:pPr>
      <w:r>
        <w:rPr>
          <w:rFonts w:ascii="Arial" w:cs="Arial" w:eastAsia="Arial" w:hAnsi="Arial"/>
          <w:sz w:val="18"/>
          <w:szCs w:val="18"/>
          <w:b w:val="1"/>
          <w:bCs w:val="1"/>
          <w:i w:val="1"/>
          <w:iCs w:val="1"/>
          <w:color w:val="231F20"/>
        </w:rPr>
        <w:t>Consolidation in the healthcare industry or group purchasing organizations could lead to demands for price concessions, which may affect our ability to sell BAROSTIM NEO at prices necessary to support our current business strategies.</w:t>
      </w:r>
    </w:p>
    <w:p>
      <w:pPr>
        <w:spacing w:after="0" w:line="204"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price concessions in the future. Additionally, group purchasing organizations, independent delivery networks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future customers, which may exert further downward pressure on the prices of BAROSTIM NEO.</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If we fail to properly manage our growth effectively, our business could suffer.</w:t>
      </w:r>
    </w:p>
    <w:p>
      <w:pPr>
        <w:spacing w:after="0" w:line="247"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color w:val="231F20"/>
        </w:rPr>
        <w:t>We intend to continue to grow and may experience periods of rapid growth and expansion, which could place a significant additional strain on our limited personnel, information technology systems and other resources. In particular, the hiring of our direct sales force requires significant management, financial and other supporting resources. Any failure by us to manage our growth effectively could have an adverse effect on our ability to achieve our development and commercialization goals.</w:t>
      </w:r>
    </w:p>
    <w:p>
      <w:pPr>
        <w:spacing w:after="0" w:line="208"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To achieve our revenue goals, we must successfully increase manufacturing output to meet expected customer demand. We may experience difficulties with manufacturing yields, quality control, component supply and shortages of qualified personnel, among other problems. Any of these problems could result in delays in product availability and increases in expenses. Any such delay or increased expense could adversely affect our ability to generate our revenue.</w:t>
      </w:r>
    </w:p>
    <w:p>
      <w:pPr>
        <w:spacing w:after="0" w:line="181"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163" w:lineRule="exact"/>
        <w:rPr>
          <w:sz w:val="20"/>
          <w:szCs w:val="20"/>
          <w:color w:val="auto"/>
        </w:rPr>
      </w:pPr>
    </w:p>
    <w:p>
      <w:pPr>
        <w:ind w:left="60" w:right="59"/>
        <w:spacing w:after="0" w:line="268" w:lineRule="auto"/>
        <w:rPr>
          <w:sz w:val="20"/>
          <w:szCs w:val="20"/>
          <w:color w:val="auto"/>
        </w:rPr>
      </w:pPr>
      <w:r>
        <w:rPr>
          <w:rFonts w:ascii="Arial" w:cs="Arial" w:eastAsia="Arial" w:hAnsi="Arial"/>
          <w:sz w:val="18"/>
          <w:szCs w:val="18"/>
          <w:color w:val="231F20"/>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may have an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499"/>
        <w:spacing w:after="0" w:line="253" w:lineRule="auto"/>
        <w:rPr>
          <w:sz w:val="20"/>
          <w:szCs w:val="20"/>
          <w:color w:val="auto"/>
        </w:rPr>
      </w:pPr>
      <w:r>
        <w:rPr>
          <w:rFonts w:ascii="Arial" w:cs="Arial" w:eastAsia="Arial" w:hAnsi="Arial"/>
          <w:sz w:val="18"/>
          <w:szCs w:val="18"/>
          <w:b w:val="1"/>
          <w:bCs w:val="1"/>
          <w:i w:val="1"/>
          <w:iCs w:val="1"/>
          <w:color w:val="231F20"/>
        </w:rPr>
        <w:t>If clinical studies for future indications do not produce results necessary to support regulatory clearance or approval in the U.S. or elsewhere, we will be unable to commercialize our products for these indications.</w:t>
      </w:r>
    </w:p>
    <w:p>
      <w:pPr>
        <w:spacing w:after="0" w:line="177"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We will likely need to conduct additional clinical studies in the future to support approval for new indications. For example, we are currently pursuing a morbidity and mortality indication for patients with HFrEF, which, if successful, could significantly expand our addressable patient population. However, we cannot assure you that the morbidity and mortality data will be sufficient to allow us to achieve FDA approval for expansion of this indication. In addition, if the morbidity and mortality data is perceived to be negative, such data may impact the adoption of BAROSTIM NEO, notwithstanding our existing clinical data and FDA approval. Clinical testing takes many years, is expensive and carries uncertain outcomes. The initiation and completion of any of these studies, including the post-market stage of our BeAT-HF pivotal trial, may be prevented, delayed, or halted for numerous reasons, including, but not limited to, the following:</w:t>
      </w:r>
    </w:p>
    <w:p>
      <w:pPr>
        <w:spacing w:after="0" w:line="209" w:lineRule="exact"/>
        <w:rPr>
          <w:sz w:val="20"/>
          <w:szCs w:val="20"/>
          <w:color w:val="auto"/>
        </w:rPr>
      </w:pPr>
    </w:p>
    <w:p>
      <w:pPr>
        <w:ind w:left="540" w:right="319" w:hanging="139"/>
        <w:spacing w:after="0" w:line="271"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FDA, institutional review boards (“IRBs”), ethics committees, EU competent authorities or other regulatory authorities do not approve a clinical study protocol, force us to modify a previously approved protocol, or place a clinical study on hold;</w:t>
      </w:r>
    </w:p>
    <w:p>
      <w:pPr>
        <w:spacing w:after="0" w:line="54"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do not enroll in, or enroll at a lower rate than we expect, or do not complete a clinical study;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or investigators do not comply with study protocols;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do not return for post-treatment follow-up at the expected rate;</w:t>
      </w:r>
    </w:p>
    <w:p>
      <w:pPr>
        <w:spacing w:after="0" w:line="90" w:lineRule="exact"/>
        <w:rPr>
          <w:rFonts w:ascii="Arial" w:cs="Arial" w:eastAsia="Arial" w:hAnsi="Arial"/>
          <w:sz w:val="18"/>
          <w:szCs w:val="18"/>
          <w:color w:val="231F20"/>
        </w:rPr>
      </w:pPr>
    </w:p>
    <w:p>
      <w:pPr>
        <w:jc w:val="both"/>
        <w:ind w:left="540" w:right="219" w:hanging="139"/>
        <w:spacing w:after="0" w:line="271"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patients experience serious or unexpected adverse side effects for a variety of reasons that may or may not be related to our products such as the advanced stage of co-morbidities that may exist at the time of treatment, causing a clinical study to be put on hold;</w:t>
      </w:r>
    </w:p>
    <w:p>
      <w:pPr>
        <w:spacing w:after="0" w:line="68"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sites participating in an ongoing clinical study withdraw, requiring us to engage new sites;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difficulties or delays associated with establishing additional clinical sites;</w:t>
      </w:r>
    </w:p>
    <w:p>
      <w:pPr>
        <w:spacing w:after="0" w:line="90" w:lineRule="exact"/>
        <w:rPr>
          <w:rFonts w:ascii="Arial" w:cs="Arial" w:eastAsia="Arial" w:hAnsi="Arial"/>
          <w:sz w:val="18"/>
          <w:szCs w:val="18"/>
          <w:color w:val="231F20"/>
        </w:rPr>
      </w:pPr>
    </w:p>
    <w:p>
      <w:pPr>
        <w:ind w:left="540" w:right="79" w:hanging="139"/>
        <w:spacing w:after="0" w:line="269"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third-party clinical investigators decline to participate in our clinical studies, do not perform the clinical studies on the anticipated schedule, or perform in a manner inconsistent with the investigator agreement, clinical study protocol, good clinical practices, other FDA, IRB or ethics committee requirements, and EEA Member State or other foreign regulations governing clinical trials;</w:t>
      </w:r>
    </w:p>
    <w:p>
      <w:pPr>
        <w:spacing w:after="0" w:line="71"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third-party organizations do not perform data collection and analysis in a timely or accurate manner;</w:t>
      </w:r>
    </w:p>
    <w:p>
      <w:pPr>
        <w:spacing w:after="0" w:line="103"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regulatory inspections of our clinical studies or manufacturing facilities require us to undertake corrective action or suspend or terminate our clinical studies;</w:t>
      </w:r>
    </w:p>
    <w:p>
      <w:pPr>
        <w:spacing w:after="0" w:line="48"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changes in federal, state, or foreign governmental statutes, regulations or policies;</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interim results are inconclusive or unfavorable as to immediate and long-term safety or efficacy;</w:t>
      </w:r>
    </w:p>
    <w:p>
      <w:pPr>
        <w:spacing w:after="0" w:line="90"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study design is inadequate to demonstrate safety and efficacy; or</w:t>
      </w:r>
    </w:p>
    <w:p>
      <w:pPr>
        <w:spacing w:after="0" w:line="76" w:lineRule="exact"/>
        <w:rPr>
          <w:rFonts w:ascii="Arial" w:cs="Arial" w:eastAsia="Arial" w:hAnsi="Arial"/>
          <w:sz w:val="18"/>
          <w:szCs w:val="18"/>
          <w:color w:val="231F20"/>
        </w:rPr>
      </w:pPr>
    </w:p>
    <w:p>
      <w:pPr>
        <w:ind w:left="540" w:hanging="139"/>
        <w:spacing w:after="0"/>
        <w:tabs>
          <w:tab w:leader="none" w:pos="5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statistical endpoints are not met.</w:t>
      </w:r>
    </w:p>
    <w:p>
      <w:pPr>
        <w:spacing w:after="0" w:line="104"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Clinical trials can fail at any stage. Our clinical studies, including the post-market stage of our BeAT-HF pivotal trial related to the morbidity and mortality indication for patients with HFrEF, may produce negative or inconclusive results, and we may decide, or regulators may require us, to conduct additional clinical or non-clinical studies in addition to those we have planned. In addition, if the FDA determines for any reason, including safety or their risk-benefit analysis, that the results of the post-market stage of our BeAT-HF pivotal trial or any other future trial are negative, the FDA may decide to modify or revoke our existing approval or such data may impact the adoption of BAROSTIM NEO. Moreover, a negative perception of clinical results for one indication for use could impact the use of BAROSTIM NEO for other FDA approved and clinically supported indications for use.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We could also encounter delays if the FDA concludes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concludes that the financial relationship may have affected interpretation of the study, the integrity of the data generated at the applicable clinical trial site may be questioned and the utility of the clinical trial itself may be jeopardized.</w:t>
      </w:r>
    </w:p>
    <w:p>
      <w:pPr>
        <w:spacing w:after="0" w:line="209" w:lineRule="exact"/>
        <w:rPr>
          <w:sz w:val="20"/>
          <w:szCs w:val="20"/>
          <w:color w:val="auto"/>
        </w:rPr>
      </w:pPr>
    </w:p>
    <w:p>
      <w:pPr>
        <w:ind w:left="60" w:right="199"/>
        <w:spacing w:after="0" w:line="288" w:lineRule="auto"/>
        <w:rPr>
          <w:sz w:val="20"/>
          <w:szCs w:val="20"/>
          <w:color w:val="auto"/>
        </w:rPr>
      </w:pPr>
      <w:r>
        <w:rPr>
          <w:rFonts w:ascii="Arial" w:cs="Arial" w:eastAsia="Arial" w:hAnsi="Arial"/>
          <w:sz w:val="17"/>
          <w:szCs w:val="17"/>
          <w:color w:val="231F20"/>
        </w:rPr>
        <w:t>Even if our products are approved in the U.S. and the EEA, comparable regulatory authorities of additional foreign countries must also approve the manufacturing and marketing of our products in those countries. Approval procedures vary among jurisdictions and can involve requirements and administrative review periods different from, and greater than, those in the U.S. or the EEA, including additional preclinical studies or clinical trials. Any of these occurrences may harm our business, financial condition and prospects significantly.</w:t>
      </w:r>
    </w:p>
    <w:p>
      <w:pPr>
        <w:spacing w:after="0" w:line="169" w:lineRule="exact"/>
        <w:rPr>
          <w:sz w:val="20"/>
          <w:szCs w:val="20"/>
          <w:color w:val="auto"/>
        </w:rPr>
      </w:pPr>
    </w:p>
    <w:p>
      <w:pPr>
        <w:ind w:left="60" w:right="239"/>
        <w:spacing w:after="0" w:line="303" w:lineRule="auto"/>
        <w:rPr>
          <w:sz w:val="20"/>
          <w:szCs w:val="20"/>
          <w:color w:val="auto"/>
        </w:rPr>
      </w:pPr>
      <w:r>
        <w:rPr>
          <w:rFonts w:ascii="Arial" w:cs="Arial" w:eastAsia="Arial" w:hAnsi="Arial"/>
          <w:sz w:val="18"/>
          <w:szCs w:val="18"/>
          <w:b w:val="1"/>
          <w:bCs w:val="1"/>
          <w:i w:val="1"/>
          <w:iCs w:val="1"/>
          <w:color w:val="231F20"/>
        </w:rPr>
        <w:t>We may face product liability claims that could be costly, divert management’s attention and harm our reputation.</w:t>
      </w:r>
    </w:p>
    <w:p>
      <w:pPr>
        <w:spacing w:after="0" w:line="17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Manufacturing and marketing of BAROSTIM NEO and clinical testing of our BAROSTIM Therapy may expose us to product liability claims. Although we have, and intend to maintain, liability insurance, the coverage limits of our insurance policies may not be adequate and one or more successful claims brought against us may have a material adverse effect on our business and results of operations. Further, interpretation of product liability laws may change in the future due to court rulings. It is possible evolving interpretations of product liability laws could further expose us to increased litigation risk in connection with our products. These product liability claims could, among other things, divert management’s attention from our primary business and negatively affect our reputation, continued product sales, and our ability to obtain and maintain regulatory approval for our products.</w:t>
      </w:r>
    </w:p>
    <w:p>
      <w:pPr>
        <w:spacing w:after="0" w:line="174"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b w:val="1"/>
          <w:bCs w:val="1"/>
          <w:i w:val="1"/>
          <w:iCs w:val="1"/>
          <w:color w:val="231F20"/>
        </w:rPr>
        <w:t>We may in the future become involved in lawsuits to protect or enforce our intellectual property, which could be expensive,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21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The market for medical devices is subject to rapid technological change and frequent litigation regarding patent and other intellectual property rights. It is possible that our patents or licenses may not withstand challenges made by others or protect our rights adequately.</w:t>
      </w:r>
    </w:p>
    <w:p>
      <w:pPr>
        <w:spacing w:after="0" w:line="203"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Our success depends in large part on our ability to secure effective patent protection for our products and processes in the U.S. and internationally. We have filed and intend to continue to file patent applications for various aspects of our technology and trademark applications to protect our brand and business. We seek to obtain and maintain patents and other intellectual property rights to restrict the ability of others to market products or services that misappropriate our technology and/or infringe our intellectual property to compete with our products.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However, we face the risks that: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239" w:hanging="127"/>
        <w:spacing w:after="0" w:line="271"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We may fail to secure necessary patents, potentially permitting competitors to market competing products and make, use or sell products that are substantially the same as ours without incurring the sizeable development costs that we have incurred, which would adversely affect our ability to compete.</w:t>
      </w:r>
    </w:p>
    <w:p>
      <w:pPr>
        <w:spacing w:after="0" w:line="95" w:lineRule="exact"/>
        <w:rPr>
          <w:rFonts w:ascii="Arial" w:cs="Arial" w:eastAsia="Arial" w:hAnsi="Arial"/>
          <w:sz w:val="18"/>
          <w:szCs w:val="18"/>
          <w:color w:val="231F20"/>
        </w:rPr>
      </w:pPr>
    </w:p>
    <w:p>
      <w:pPr>
        <w:jc w:val="both"/>
        <w:ind w:left="380" w:right="79" w:hanging="127"/>
        <w:spacing w:after="0" w:line="271"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Our already-granted patents and any future patents may not survive legal challenges to their scope, validity or enforceability, or provide significant protection for us, and they may be re-examined or invalidated, and/or may be found to be unenforceable or not cover competing products.</w:t>
      </w:r>
    </w:p>
    <w:p>
      <w:pPr>
        <w:spacing w:after="0" w:line="95" w:lineRule="exact"/>
        <w:rPr>
          <w:rFonts w:ascii="Arial" w:cs="Arial" w:eastAsia="Arial" w:hAnsi="Arial"/>
          <w:sz w:val="18"/>
          <w:szCs w:val="18"/>
          <w:color w:val="231F20"/>
        </w:rPr>
      </w:pPr>
    </w:p>
    <w:p>
      <w:pPr>
        <w:ind w:left="380" w:right="119" w:hanging="127"/>
        <w:spacing w:after="0" w:line="299" w:lineRule="auto"/>
        <w:tabs>
          <w:tab w:leader="none" w:pos="380" w:val="left"/>
        </w:tabs>
        <w:numPr>
          <w:ilvl w:val="0"/>
          <w:numId w:val="25"/>
        </w:numPr>
        <w:rPr>
          <w:rFonts w:ascii="Arial" w:cs="Arial" w:eastAsia="Arial" w:hAnsi="Arial"/>
          <w:sz w:val="17"/>
          <w:szCs w:val="17"/>
          <w:color w:val="231F20"/>
        </w:rPr>
      </w:pPr>
      <w:r>
        <w:rPr>
          <w:rFonts w:ascii="Arial" w:cs="Arial" w:eastAsia="Arial" w:hAnsi="Arial"/>
          <w:sz w:val="17"/>
          <w:szCs w:val="17"/>
          <w:color w:val="231F20"/>
        </w:rPr>
        <w:t>Though an issued patent is presumed valid and enforceable, it may not be drafted or interpreted sufficiently broadly to prevent others from marketing products and services similar to ours or designing around our patents. For example, third parties may be able to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the freedom to operate unimpeded by the patent rights of others. Third parties may have dominating, blocking or other patents relevant to our technology of which we are not aware. In addition, because patent applications in the U.S.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to issued patents covering such technologies. If another party has filed a U.S. patent application on inventions similar to ours, depending on when the timing of the filing date falls under certain patent laws, we may have to participate in a priority contest (such as an interference proceeding) declared by the U.S. Patent and Trademark Office (the “USPTO”), to determine priority of invention in the U.S. There may be prior public disclosures that could invalidate our inventions or parts of our inventions of which we are not aware. Further, we may not develop additional proprietary technologies and, even if we do, they may not be patentable.</w:t>
      </w:r>
    </w:p>
    <w:p>
      <w:pPr>
        <w:spacing w:after="0" w:line="340" w:lineRule="exact"/>
        <w:rPr>
          <w:rFonts w:ascii="Arial" w:cs="Arial" w:eastAsia="Arial" w:hAnsi="Arial"/>
          <w:sz w:val="17"/>
          <w:szCs w:val="17"/>
          <w:color w:val="231F20"/>
        </w:rPr>
      </w:pPr>
    </w:p>
    <w:p>
      <w:pPr>
        <w:ind w:left="380" w:right="99" w:hanging="127"/>
        <w:spacing w:after="0" w:line="283"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Patent law is constantly evolving, can be highly uncertain and involve complex legal and factual questions for which important principles remain unresolved. In the U.S. and in many foreign jurisdictions, policies regarding the breadth of claims allowed in patents can be inconsistent. We cannot predict future changes in the interpretation of patent laws or changes to patent laws that might be enacted into law by U.S. and foreign legislative bodies. Any changes may materially affect our patents or patent applications, our ability to obtain patents or the patents and patent applications of our licensors. Future protection for our proprietary rights is uncertain because legal means affords only limited protection and may not adequately protect our rights or permit us to gain or keep our competitive advantage, which could adversely affect our financial condition and results of operations.</w:t>
      </w:r>
    </w:p>
    <w:p>
      <w:pPr>
        <w:spacing w:after="0" w:line="98" w:lineRule="exact"/>
        <w:rPr>
          <w:rFonts w:ascii="Arial" w:cs="Arial" w:eastAsia="Arial" w:hAnsi="Arial"/>
          <w:sz w:val="18"/>
          <w:szCs w:val="18"/>
          <w:color w:val="231F20"/>
        </w:rPr>
      </w:pPr>
    </w:p>
    <w:p>
      <w:pPr>
        <w:ind w:left="380" w:right="119" w:hanging="127"/>
        <w:spacing w:after="0" w:line="267" w:lineRule="auto"/>
        <w:tabs>
          <w:tab w:leader="none" w:pos="38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Monitoring unauthorized uses of our intellectual property is difficult and costly. From time to time, we seek to analyze our competitors’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products. In addition, we may need to defend our patents from third-party challenges, or we may need to initiate infringement claims or litigation. In an infringement proceeding, a court may decide that the patent we seek to enforce is invalid or unenforceable or that the patent in question does not cover the technology at issue. Such an adverse result could place one or</w:t>
      </w:r>
    </w:p>
    <w:p>
      <w:pPr>
        <w:sectPr>
          <w:pgSz w:w="11900" w:h="16838" w:orient="portrait"/>
          <w:cols w:equalWidth="0" w:num="1">
            <w:col w:w="9019"/>
          </w:cols>
          <w:pgMar w:left="1440" w:top="517"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right="259"/>
        <w:spacing w:after="0" w:line="269" w:lineRule="auto"/>
        <w:rPr>
          <w:sz w:val="20"/>
          <w:szCs w:val="20"/>
          <w:color w:val="auto"/>
        </w:rPr>
      </w:pPr>
      <w:r>
        <w:rPr>
          <w:rFonts w:ascii="Arial" w:cs="Arial" w:eastAsia="Arial" w:hAnsi="Arial"/>
          <w:sz w:val="18"/>
          <w:szCs w:val="18"/>
          <w:color w:val="231F20"/>
        </w:rPr>
        <w:t>more of our patents at risk of being invalidated or interpreted narrowly. Our competitors may be able to devote significantly more resources to intellectual property litigation, and may have significantly broader patent portfolios to assert against us. Further, litigation risks exposure of or compromising our confidential information.</w:t>
      </w:r>
    </w:p>
    <w:p>
      <w:pPr>
        <w:spacing w:after="0" w:line="98" w:lineRule="exact"/>
        <w:rPr>
          <w:sz w:val="20"/>
          <w:szCs w:val="20"/>
          <w:color w:val="auto"/>
        </w:rPr>
      </w:pPr>
    </w:p>
    <w:p>
      <w:pPr>
        <w:jc w:val="both"/>
        <w:ind w:left="380" w:right="79" w:hanging="127"/>
        <w:spacing w:after="0" w:line="271" w:lineRule="auto"/>
        <w:tabs>
          <w:tab w:leader="none" w:pos="3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Any litigation or claim can be costly and time consuming and could place a significant strain on our financial resources, divert the attention of management and harm our reputation, which could have an adverse effect on our financial condition and results of operations.</w:t>
      </w:r>
    </w:p>
    <w:p>
      <w:pPr>
        <w:spacing w:after="0" w:line="95" w:lineRule="exact"/>
        <w:rPr>
          <w:rFonts w:ascii="Arial" w:cs="Arial" w:eastAsia="Arial" w:hAnsi="Arial"/>
          <w:sz w:val="18"/>
          <w:szCs w:val="18"/>
          <w:color w:val="231F20"/>
        </w:rPr>
      </w:pPr>
    </w:p>
    <w:p>
      <w:pPr>
        <w:ind w:left="380" w:right="99" w:hanging="127"/>
        <w:spacing w:after="0" w:line="268" w:lineRule="auto"/>
        <w:tabs>
          <w:tab w:leader="none" w:pos="38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We may be forced to enter into cross-license agreements with competitors in order to manufacture, use, sell, import and export products or services that are covered by our competitors’ intellectual property rights. If our intellectual property is required to enter such cross-license agreements, it may compromise the value of our intellectual property due to the fact that our competitors may be able to manufacture, use, sell, import and export our patented technology.</w:t>
      </w:r>
    </w:p>
    <w:p>
      <w:pPr>
        <w:spacing w:after="0" w:line="140" w:lineRule="exact"/>
        <w:rPr>
          <w:sz w:val="20"/>
          <w:szCs w:val="20"/>
          <w:color w:val="auto"/>
        </w:rPr>
      </w:pPr>
    </w:p>
    <w:p>
      <w:pPr>
        <w:ind w:left="60" w:right="1199"/>
        <w:spacing w:after="0" w:line="277" w:lineRule="auto"/>
        <w:rPr>
          <w:sz w:val="20"/>
          <w:szCs w:val="20"/>
          <w:color w:val="auto"/>
        </w:rPr>
      </w:pPr>
      <w:r>
        <w:rPr>
          <w:rFonts w:ascii="Arial" w:cs="Arial" w:eastAsia="Arial" w:hAnsi="Arial"/>
          <w:sz w:val="18"/>
          <w:szCs w:val="18"/>
          <w:color w:val="231F20"/>
        </w:rPr>
        <w:t>For additional information regarding risks related to our intellectual property, see “Risks Related to Intellectual Property.”</w:t>
      </w:r>
    </w:p>
    <w:p>
      <w:pPr>
        <w:spacing w:after="0" w:line="16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color w:val="231F20"/>
        </w:rPr>
        <w:t>If we fail to retain our key executives or recruit and hire new employees, our operations and financial results may be adversely affected while we attract other highly qualified personnel.</w:t>
      </w:r>
    </w:p>
    <w:p>
      <w:pPr>
        <w:spacing w:after="0" w:line="189"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In particular, we are highly dependent upon our management team, especially our President and Chief Executive Officer and the rest of our senior management. The replacement of any of our key personnel likely would involve significant time and costs, may significantly delay or prevent the achievement of our business objectives and may harm our business. In addition, we do not carry any “key person” insurance policies that could offset potential loss of service under applicable circumstances.</w:t>
      </w:r>
    </w:p>
    <w:p>
      <w:pPr>
        <w:spacing w:after="0" w:line="210"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addition, many of our employees have become or will soon become vested in a substantial amount of stock or number of stock options. Our employees may be more likely to leave us if the shares they own or the shares underlying their vested options have significantly appreciated in value relative to the original purchase prices of the shares or the exercise prices of the options, or if the exercise prices of the options that they hold are significantly below the market price of our common stock. Further, our employees’ ability to exercise those options and sell their stock in a public market after the expiration of applicable lock-up agreements may result in a higher-than-normal turnover rate.</w:t>
      </w:r>
    </w:p>
    <w:p>
      <w:pPr>
        <w:spacing w:after="0" w:line="205"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Our future success also depends on our ability to retain executive officers and other key employees and attract new key employees. Many executive officers and employees in the medical device industry are subject to strict non-compete or confidentiality agreements with their employers.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Horizon loan agreement contains restrictions that limit our flexibility in operating our business.</w:t>
      </w:r>
    </w:p>
    <w:p>
      <w:pPr>
        <w:spacing w:after="0" w:line="26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231F20"/>
        </w:rPr>
        <w:t>In September 2019, we entered into the Horizon loan agreement, under which we borrowed $20 million, which is the maximum borrowing under the Horizon loan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20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31F20"/>
        </w:rPr>
        <w:t>The Horizon loan agreement also contains various covenants that limit our ability to engage in specified types of transactions and take certain actions. Subject to limited exceptions, these covenants limit our ability to, among other things:</w:t>
      </w:r>
    </w:p>
    <w:p>
      <w:pPr>
        <w:spacing w:after="0" w:line="190" w:lineRule="exact"/>
        <w:rPr>
          <w:sz w:val="20"/>
          <w:szCs w:val="20"/>
          <w:color w:val="auto"/>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convey, sell, lease, or otherwise dispose of our assets;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create, incur, assume or permit to exist additional indebtedness or liens;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pay dividends on, repurchase or make distributions with respect to our capital stock;</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make specified investments (including loans and advances);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merge, consolidate or liquidate;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enter into certain transactions with our affiliates.</w:t>
      </w:r>
    </w:p>
    <w:p>
      <w:pPr>
        <w:spacing w:after="0" w:line="11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the Horizon loan agreement contains certain financial covenants, including a minimum U.S. revenue requirement of approximately $5.9 million during the year ended December 31, 2021, approximately $14.6 million during the year ended December 31, 2022 and $5.0 million during each calendar quarter thereafter, as well as certain negative covenants, including a requirement that we not receive a final disapproval letter from the FDA for use of BAROSTIM NEO in certain other HF patients upon our request for additional labeling based upon the results of the post-market stage of our BeAT-HF pivotal trial. The covenants in the Horizon loan agreement may limit our ability to take certain actions and, in the event that we breach one or more covenants, our lender may choose to declare an event of default and require that we immediately repay all amounts outstanding, terminate the commitment to extend further credit and foreclose on the collateral granted to it to secure such indebtedness. The borrowings under the Horizon loan agreement are collateralized by substantially all of our assets, including our intellectual property portfolio.</w:t>
      </w:r>
    </w:p>
    <w:p>
      <w:pPr>
        <w:spacing w:after="0" w:line="159"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b w:val="1"/>
          <w:bCs w:val="1"/>
          <w:i w:val="1"/>
          <w:iCs w:val="1"/>
          <w:color w:val="231F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203" w:lineRule="exact"/>
        <w:rPr>
          <w:sz w:val="20"/>
          <w:szCs w:val="20"/>
          <w:color w:val="auto"/>
        </w:rPr>
      </w:pPr>
    </w:p>
    <w:p>
      <w:pPr>
        <w:ind w:left="60" w:right="159"/>
        <w:spacing w:after="0" w:line="251" w:lineRule="auto"/>
        <w:rPr>
          <w:sz w:val="20"/>
          <w:szCs w:val="20"/>
          <w:color w:val="auto"/>
        </w:rPr>
      </w:pPr>
      <w:r>
        <w:rPr>
          <w:rFonts w:ascii="Arial" w:cs="Arial" w:eastAsia="Arial" w:hAnsi="Arial"/>
          <w:sz w:val="18"/>
          <w:szCs w:val="18"/>
          <w:color w:val="231F20"/>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have taken to prevent breakdowns in our information technology and telephone systems, if our systems suffer severe damage, disruption or shutdown and we are unable to effectively resolve the issues in a timely manner, our business and operating results may suffer.</w:t>
      </w:r>
    </w:p>
    <w:p>
      <w:pPr>
        <w:sectPr>
          <w:pgSz w:w="11900" w:h="16838" w:orient="portrait"/>
          <w:cols w:equalWidth="0" w:num="1">
            <w:col w:w="9019"/>
          </w:cols>
          <w:pgMar w:left="1440" w:top="517" w:right="1440"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b w:val="1"/>
          <w:bCs w:val="1"/>
          <w:i w:val="1"/>
          <w:iCs w:val="1"/>
          <w:color w:val="231F20"/>
        </w:rPr>
        <w:t>If important assumptions about the potential market for our product are inaccurate, or if we have failed to understand what people with HF are seeking in a treatment, we may not be able to increase our revenue or achieve profitability.</w:t>
      </w:r>
    </w:p>
    <w:p>
      <w:pPr>
        <w:spacing w:after="0" w:line="203" w:lineRule="exact"/>
        <w:rPr>
          <w:sz w:val="20"/>
          <w:szCs w:val="20"/>
          <w:color w:val="auto"/>
        </w:rPr>
      </w:pPr>
    </w:p>
    <w:p>
      <w:pPr>
        <w:ind w:left="60" w:right="159"/>
        <w:spacing w:after="0" w:line="251" w:lineRule="auto"/>
        <w:rPr>
          <w:sz w:val="20"/>
          <w:szCs w:val="20"/>
          <w:color w:val="auto"/>
        </w:rPr>
      </w:pPr>
      <w:r>
        <w:rPr>
          <w:rFonts w:ascii="Arial" w:cs="Arial" w:eastAsia="Arial" w:hAnsi="Arial"/>
          <w:sz w:val="18"/>
          <w:szCs w:val="18"/>
          <w:color w:val="231F20"/>
        </w:rPr>
        <w:t>Our business strategy was developed based on a number of important assumptions about the HF market in general, any one or more of which may prove to be inaccurate. For example, we believe that the benefits of BAROSTIM NEO as compared to other common HF devices will continue to drive growth in the market for BAROSTIM NEO. Despite our review of studies reporting on the trends of HF incidence in the U.S., the actual incidence of HF, and the actual demand for our product or competitive products, could differ materially from our expectations. In addition, our strategy of focusing exclusively on patients with HFrEF who are looking for an improvement in the symptoms associated with HFrEF may limit our ability to increase sales or achieve profitability, especially if there are any significant clinical breakthroughs or product or drug introductions that significantly delay or reduce the need for heart disease therapy. Moreover, a percentage of our indicated patients may be ineligible to undergo a BAROSTIM NEO procedure if they have certain co-morbidities or other disqualifying factors as determined by their physicians.</w:t>
      </w:r>
    </w:p>
    <w:p>
      <w:pPr>
        <w:spacing w:after="0" w:line="211" w:lineRule="exact"/>
        <w:rPr>
          <w:sz w:val="20"/>
          <w:szCs w:val="20"/>
          <w:color w:val="auto"/>
        </w:rPr>
      </w:pPr>
    </w:p>
    <w:p>
      <w:pPr>
        <w:ind w:left="60" w:right="59"/>
        <w:spacing w:after="0" w:line="251" w:lineRule="auto"/>
        <w:rPr>
          <w:sz w:val="20"/>
          <w:szCs w:val="20"/>
          <w:color w:val="auto"/>
        </w:rPr>
      </w:pPr>
      <w:r>
        <w:rPr>
          <w:rFonts w:ascii="Arial" w:cs="Arial" w:eastAsia="Arial" w:hAnsi="Arial"/>
          <w:sz w:val="18"/>
          <w:szCs w:val="18"/>
          <w:color w:val="231F20"/>
        </w:rPr>
        <w:t>Our estimates of the annual total addressable market for BAROSTIM NEO are based on a number of internal and third-party estimates, including, without limitation, the number of patients with HFrEF and the assumed prices at which we can sell our device.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BAROSTIM NEO may prove to be incorrect. If the actual number of patients who would benefit from our product, the price at which we can sell our product, or the annual total addressable market for our product is smaller than we have estimated, it may impair our sales growth and have an adverse impact on our business.</w:t>
      </w:r>
    </w:p>
    <w:p>
      <w:pPr>
        <w:spacing w:after="0" w:line="176"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88"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For example, the global financial crisis caused extreme volatility and disruptions in the capital and credit markets and, more recently, the global COVID-19 pandemic caused, and is continuing to cause, disruptions in the capital and credit markets, severe supply shortages and reduced hospital and clinical visits, including due to temporary shutdowns under federal, state and local mandates. A severe or prolonged economic downturn, such as the global financial crisis and COVID-19 pandemic, has resulted in and could in the future result in a variety of risks to our business, including weakened demand for BAROSTIM NEO, a delayed time to meet clinical endpoints and our ability to raise additional capital when needed on acceptable terms, if at all. A weak or declining economy has strained and could in the future strain our manufacturers or suppliers, resulting in supply disruption, or causing our customers to delay making payments for our services. Certain of the foregoing could have harmed and could in the future harm our business and we cannot anticipate all of the ways in which the economic climate and financial market conditions may further affect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231F20"/>
        </w:rPr>
        <w:t>We may enter into strategic collaborations, in-licensing arrangements or alliances with third parties that may not result in the development of commercially viable products or the generation of significant future revenue.</w:t>
      </w:r>
    </w:p>
    <w:p>
      <w:pPr>
        <w:spacing w:after="0" w:line="204"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In the ordinary course of our business, we may enter into strategic collaborations, in-licensing arrangements or alliances to develop product candidates and to pursue new markets. Proposing, negotiating and implementing strategic collaborations, in-licensing arrangements or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208"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231F20"/>
        </w:rPr>
        <w:t>We may seek to grow our business through acquisitions of complementary products or technologies, and the failure to manage acquisitions, or the failure to integrate them with our existing business, could impair our ability to execute our business strategies.</w:t>
      </w:r>
    </w:p>
    <w:p>
      <w:pPr>
        <w:spacing w:after="0" w:line="204"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231F20"/>
        </w:rPr>
        <w:t>From time to time, we may consider opportunities to acquire other products or technologies that may enhance our BAROSTIM platform technology, expand the breadth of our markets or customer base, or advance our business strategies. Potential acquisitions involve numerous risks, including, among others:</w:t>
      </w:r>
    </w:p>
    <w:p>
      <w:pPr>
        <w:spacing w:after="0" w:line="190" w:lineRule="exact"/>
        <w:rPr>
          <w:sz w:val="20"/>
          <w:szCs w:val="20"/>
          <w:color w:val="auto"/>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problems assimilating the acquired products or technologies;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issues maintaining uniform standards, procedures, controls and policies;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unanticipated costs associated with acquisitions;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diversion of management’s attention from our existing business;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risks associated with entering new markets in which we have limited or no experience;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increased legal and accounting costs relating to the acquisitions or compliance with regulatory matters.</w:t>
      </w:r>
    </w:p>
    <w:p>
      <w:pPr>
        <w:spacing w:after="0" w:line="158"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inability to integrate any acquired products or technologies effectively could impair our ability to execute our business strategies. In addition, any amortization or charges resulting from the costs of acquisitions could increase our expenses.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intellectual property</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time consuming, and ultimately unsuccessful, and could result in the diversion of significant resources, and hinder our ability to commercialize our existing or future products.</w:t>
      </w:r>
    </w:p>
    <w:p>
      <w:pPr>
        <w:spacing w:after="0" w:line="209"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device industry. Whether merited or not, it is possible that third parties controlling U.S. and foreign patents allege such patents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or export our products. These competitors may have one or more patents for which they can threaten or initiate patent infringement actions against us or any of our third-party suppliers. Further, if such patents are successfully asserted against us, this may result in an adverse impact on our business, including injunctions, damages or attorneys’ fees. From time to time and in the ordinary course of business, we may develop noninfringement or invalidity positions with respect to third-party patents, which may or may not be ultimately adjudicated as successful by a judge or jury if such patents were asserted against us.</w:t>
      </w:r>
    </w:p>
    <w:p>
      <w:pPr>
        <w:spacing w:after="0" w:line="213" w:lineRule="exact"/>
        <w:rPr>
          <w:sz w:val="20"/>
          <w:szCs w:val="20"/>
          <w:color w:val="auto"/>
        </w:rPr>
      </w:pPr>
    </w:p>
    <w:p>
      <w:pPr>
        <w:ind w:left="60" w:right="159"/>
        <w:spacing w:after="0" w:line="303" w:lineRule="auto"/>
        <w:rPr>
          <w:sz w:val="20"/>
          <w:szCs w:val="20"/>
          <w:color w:val="auto"/>
        </w:rPr>
      </w:pPr>
      <w:r>
        <w:rPr>
          <w:rFonts w:ascii="Arial" w:cs="Arial" w:eastAsia="Arial" w:hAnsi="Arial"/>
          <w:sz w:val="17"/>
          <w:szCs w:val="17"/>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93" w:lineRule="exact"/>
        <w:rPr>
          <w:sz w:val="20"/>
          <w:szCs w:val="20"/>
          <w:color w:val="auto"/>
        </w:rPr>
      </w:pPr>
    </w:p>
    <w:p>
      <w:pPr>
        <w:ind w:left="60" w:right="319"/>
        <w:spacing w:after="0" w:line="287"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require us to do one or more of the following:</w:t>
      </w:r>
    </w:p>
    <w:p>
      <w:pPr>
        <w:spacing w:after="0" w:line="189" w:lineRule="exact"/>
        <w:rPr>
          <w:sz w:val="20"/>
          <w:szCs w:val="20"/>
          <w:color w:val="auto"/>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8"/>
          <w:szCs w:val="18"/>
          <w:color w:val="231F20"/>
        </w:rPr>
      </w:pPr>
    </w:p>
    <w:p>
      <w:pPr>
        <w:ind w:left="540" w:right="679" w:hanging="139"/>
        <w:spacing w:after="0" w:line="287"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80" w:lineRule="exact"/>
        <w:rPr>
          <w:rFonts w:ascii="Arial" w:cs="Arial" w:eastAsia="Arial" w:hAnsi="Arial"/>
          <w:sz w:val="18"/>
          <w:szCs w:val="18"/>
          <w:color w:val="231F20"/>
        </w:rPr>
      </w:pPr>
    </w:p>
    <w:p>
      <w:pPr>
        <w:ind w:left="540" w:hanging="139"/>
        <w:spacing w:after="0"/>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8"/>
          <w:szCs w:val="18"/>
          <w:color w:val="231F20"/>
        </w:rPr>
      </w:pPr>
    </w:p>
    <w:p>
      <w:pPr>
        <w:ind w:left="540" w:right="31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88" w:lineRule="exact"/>
        <w:rPr>
          <w:rFonts w:ascii="Arial" w:cs="Arial" w:eastAsia="Arial" w:hAnsi="Arial"/>
          <w:sz w:val="18"/>
          <w:szCs w:val="18"/>
          <w:color w:val="231F20"/>
        </w:rPr>
      </w:pPr>
    </w:p>
    <w:p>
      <w:pPr>
        <w:ind w:left="540" w:right="23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88" w:lineRule="exact"/>
        <w:rPr>
          <w:rFonts w:ascii="Arial" w:cs="Arial" w:eastAsia="Arial" w:hAnsi="Arial"/>
          <w:sz w:val="18"/>
          <w:szCs w:val="18"/>
          <w:color w:val="231F20"/>
        </w:rPr>
      </w:pPr>
    </w:p>
    <w:p>
      <w:pPr>
        <w:ind w:left="540" w:right="539" w:hanging="139"/>
        <w:spacing w:after="0" w:line="293" w:lineRule="auto"/>
        <w:tabs>
          <w:tab w:leader="none" w:pos="54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15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find non-infringing substitute products, which could be costly and create significant delay due to the need for FDA regulatory clearance;</w:t>
      </w:r>
    </w:p>
    <w:p>
      <w:pPr>
        <w:spacing w:after="0" w:line="89" w:lineRule="exact"/>
        <w:rPr>
          <w:rFonts w:ascii="Arial" w:cs="Arial" w:eastAsia="Arial" w:hAnsi="Arial"/>
          <w:sz w:val="18"/>
          <w:szCs w:val="18"/>
          <w:color w:val="231F20"/>
        </w:rPr>
      </w:pPr>
    </w:p>
    <w:p>
      <w:pPr>
        <w:ind w:left="540" w:right="19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or</w:t>
      </w:r>
    </w:p>
    <w:p>
      <w:pPr>
        <w:spacing w:after="0" w:line="89" w:lineRule="exact"/>
        <w:rPr>
          <w:rFonts w:ascii="Arial" w:cs="Arial" w:eastAsia="Arial" w:hAnsi="Arial"/>
          <w:sz w:val="18"/>
          <w:szCs w:val="18"/>
          <w:color w:val="231F20"/>
        </w:rPr>
      </w:pPr>
    </w:p>
    <w:p>
      <w:pPr>
        <w:ind w:left="540" w:right="399" w:hanging="139"/>
        <w:spacing w:after="0" w:line="277" w:lineRule="auto"/>
        <w:tabs>
          <w:tab w:leader="none" w:pos="54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redesign those products or processes that infringe any third-party intellectual property, which could be costly, disruptive or infeasible.</w:t>
      </w:r>
    </w:p>
    <w:p>
      <w:pPr>
        <w:spacing w:after="0" w:line="89" w:lineRule="exact"/>
        <w:rPr>
          <w:sz w:val="20"/>
          <w:szCs w:val="20"/>
          <w:color w:val="auto"/>
        </w:rPr>
      </w:pPr>
    </w:p>
    <w:p>
      <w:pPr>
        <w:ind w:left="60" w:right="219"/>
        <w:spacing w:after="0" w:line="268" w:lineRule="auto"/>
        <w:rPr>
          <w:sz w:val="20"/>
          <w:szCs w:val="20"/>
          <w:color w:val="auto"/>
        </w:rPr>
      </w:pPr>
      <w:r>
        <w:rPr>
          <w:rFonts w:ascii="Arial" w:cs="Arial" w:eastAsia="Arial" w:hAnsi="Arial"/>
          <w:sz w:val="18"/>
          <w:szCs w:val="18"/>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w:t>
      </w:r>
    </w:p>
    <w:p>
      <w:pPr>
        <w:spacing w:after="0" w:line="20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231F20"/>
        </w:rPr>
        <w:t>Finally, any uncertainties resulting from the initiation and continuation of any litigation could have a material adverse effect on our ability to raise the funds necessary to continue our operations.</w:t>
      </w:r>
    </w:p>
    <w:p>
      <w:pPr>
        <w:spacing w:after="0" w:line="197" w:lineRule="exact"/>
        <w:rPr>
          <w:sz w:val="20"/>
          <w:szCs w:val="20"/>
          <w:color w:val="auto"/>
        </w:rPr>
      </w:pPr>
    </w:p>
    <w:p>
      <w:pPr>
        <w:ind w:left="60" w:right="179"/>
        <w:spacing w:after="0" w:line="268"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our industry grows, the possibility of intellectual property infringement claims against us increases.</w:t>
      </w:r>
    </w:p>
    <w:p>
      <w:pPr>
        <w:spacing w:after="0" w:line="205"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209"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Similarly, interference or derivation proceedings provoked by third parties or brought by the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231F20"/>
        </w:rPr>
        <w:t>Changes in patent law could diminish the value of patents in general, thereby impairing our ability to protect our existing and future products.</w:t>
      </w:r>
    </w:p>
    <w:p>
      <w:pPr>
        <w:spacing w:after="0" w:line="189" w:lineRule="exact"/>
        <w:rPr>
          <w:sz w:val="20"/>
          <w:szCs w:val="20"/>
          <w:color w:val="auto"/>
        </w:rPr>
      </w:pPr>
    </w:p>
    <w:p>
      <w:pPr>
        <w:ind w:left="60" w:right="79"/>
        <w:spacing w:after="0" w:line="283" w:lineRule="auto"/>
        <w:rPr>
          <w:sz w:val="20"/>
          <w:szCs w:val="20"/>
          <w:color w:val="auto"/>
        </w:rPr>
      </w:pPr>
      <w:r>
        <w:rPr>
          <w:rFonts w:ascii="Arial" w:cs="Arial" w:eastAsia="Arial" w:hAnsi="Arial"/>
          <w:sz w:val="17"/>
          <w:szCs w:val="17"/>
          <w:color w:val="231F20"/>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2" w:lineRule="exact"/>
        <w:rPr>
          <w:sz w:val="20"/>
          <w:szCs w:val="20"/>
          <w:color w:val="auto"/>
        </w:rPr>
      </w:pPr>
    </w:p>
    <w:p>
      <w:pPr>
        <w:ind w:left="60" w:right="639"/>
        <w:spacing w:after="0" w:line="324" w:lineRule="auto"/>
        <w:rPr>
          <w:sz w:val="20"/>
          <w:szCs w:val="20"/>
          <w:color w:val="auto"/>
        </w:rPr>
      </w:pPr>
      <w:r>
        <w:rPr>
          <w:rFonts w:ascii="Arial" w:cs="Arial" w:eastAsia="Arial" w:hAnsi="Arial"/>
          <w:sz w:val="17"/>
          <w:szCs w:val="17"/>
          <w:color w:val="231F20"/>
        </w:rPr>
        <w:t>In addition, patent reform legislation may pass in the future that could lead to additional uncertainties and increased costs surrounding the prosecution, enforcement and defense of our patents and applications.</w:t>
      </w:r>
    </w:p>
    <w:p>
      <w:pPr>
        <w:spacing w:after="0" w:line="174" w:lineRule="exact"/>
        <w:rPr>
          <w:sz w:val="20"/>
          <w:szCs w:val="20"/>
          <w:color w:val="auto"/>
        </w:rPr>
      </w:pPr>
    </w:p>
    <w:p>
      <w:pPr>
        <w:ind w:left="60" w:right="239"/>
        <w:spacing w:after="0" w:line="285" w:lineRule="auto"/>
        <w:rPr>
          <w:sz w:val="20"/>
          <w:szCs w:val="20"/>
          <w:color w:val="auto"/>
        </w:rPr>
      </w:pPr>
      <w:r>
        <w:rPr>
          <w:rFonts w:ascii="Arial" w:cs="Arial" w:eastAsia="Arial" w:hAnsi="Arial"/>
          <w:sz w:val="18"/>
          <w:szCs w:val="18"/>
          <w:color w:val="231F20"/>
        </w:rPr>
        <w:t>Furthermore, the U.S. and foreign courts are continually interpreting various aspects of patent law. We cannot predict with any reasonable certainty how the evolution of the interpretation of these laws will affect our business. However, it is possible that changes may materially affect our patents or patent applications and our ability to obtain additional patent protection in the future.</w:t>
      </w:r>
    </w:p>
    <w:p>
      <w:pPr>
        <w:spacing w:after="0" w:line="169"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7" w:lineRule="exact"/>
        <w:rPr>
          <w:sz w:val="20"/>
          <w:szCs w:val="20"/>
          <w:color w:val="auto"/>
        </w:rPr>
      </w:pPr>
    </w:p>
    <w:p>
      <w:pPr>
        <w:ind w:left="60" w:right="119"/>
        <w:spacing w:after="0" w:line="282" w:lineRule="auto"/>
        <w:rPr>
          <w:sz w:val="20"/>
          <w:szCs w:val="20"/>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274" w:lineRule="exact"/>
        <w:rPr>
          <w:sz w:val="20"/>
          <w:szCs w:val="20"/>
          <w:color w:val="auto"/>
        </w:rPr>
      </w:pPr>
    </w:p>
    <w:p>
      <w:pPr>
        <w:ind w:left="60" w:right="99"/>
        <w:spacing w:after="0" w:line="283"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207" w:lineRule="exact"/>
        <w:rPr>
          <w:sz w:val="20"/>
          <w:szCs w:val="20"/>
          <w:color w:val="auto"/>
        </w:rPr>
      </w:pPr>
    </w:p>
    <w:p>
      <w:pPr>
        <w:ind w:left="60" w:right="79"/>
        <w:spacing w:after="0" w:line="283" w:lineRule="auto"/>
        <w:rPr>
          <w:sz w:val="20"/>
          <w:szCs w:val="20"/>
          <w:color w:val="auto"/>
        </w:rPr>
      </w:pPr>
      <w:r>
        <w:rPr>
          <w:rFonts w:ascii="Arial" w:cs="Arial" w:eastAsia="Arial" w:hAnsi="Arial"/>
          <w:sz w:val="18"/>
          <w:szCs w:val="18"/>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72"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non-disclosure or confidentiality agreements with our competitors.</w:t>
      </w:r>
    </w:p>
    <w:p>
      <w:pPr>
        <w:spacing w:after="0" w:line="204"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or confidentiality agreement, or that we or these individuals have, inadvertently or otherwise, used or disclosed the alleged trade secrets or other proprietary information of a former employer or competitor, resulting in litigation. Even if we are successful in defending against these claims, the litigation could be costly and a distraction to management. If we are unsuccessful in defending against these claims,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would have a material adverse effect on our business, and may prevent us from selling our products or from practicing our processes. In addition, we may lose valuable intellectual property rights.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89"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registered trademarks similar and identical to our trademarks in foreign jurisdictions, and may in the future file for registration of such trademarks. If they succeed in registering or developing common law rights in such trademarks, and if we were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187" w:lineRule="exact"/>
        <w:rPr>
          <w:sz w:val="20"/>
          <w:szCs w:val="20"/>
          <w:color w:val="auto"/>
        </w:rPr>
      </w:pPr>
    </w:p>
    <w:p>
      <w:pPr>
        <w:ind w:left="60" w:right="779"/>
        <w:spacing w:after="0" w:line="303" w:lineRule="auto"/>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r>
        <w:rPr>
          <w:rFonts w:ascii="Arial" w:cs="Arial" w:eastAsia="Arial" w:hAnsi="Arial"/>
          <w:sz w:val="18"/>
          <w:szCs w:val="18"/>
          <w:i w:val="1"/>
          <w:iCs w:val="1"/>
          <w:color w:val="231F20"/>
        </w:rPr>
        <w:t>.</w:t>
      </w:r>
    </w:p>
    <w:p>
      <w:pPr>
        <w:spacing w:after="0" w:line="174"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and our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sufficient.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reluctant or unwilling to enforce trade secret protection.</w:t>
      </w:r>
    </w:p>
    <w:p>
      <w:pPr>
        <w:spacing w:after="0" w:line="207"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Further,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with whom they share it, from using that technology or information to compete with us and our competitive position could be adversely affected. If our intellectual property is not adequately protected to protect our market against competitors’ products and methods, our competitive position and business could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financial and operating results</w:t>
      </w:r>
    </w:p>
    <w:p>
      <w:pPr>
        <w:spacing w:after="0" w:line="198" w:lineRule="exact"/>
        <w:rPr>
          <w:sz w:val="20"/>
          <w:szCs w:val="20"/>
          <w:color w:val="auto"/>
        </w:rPr>
      </w:pPr>
    </w:p>
    <w:p>
      <w:pPr>
        <w:ind w:left="60" w:right="359"/>
        <w:spacing w:after="0" w:line="256" w:lineRule="auto"/>
        <w:rPr>
          <w:sz w:val="20"/>
          <w:szCs w:val="20"/>
          <w:color w:val="auto"/>
        </w:rPr>
      </w:pPr>
      <w:r>
        <w:rPr>
          <w:rFonts w:ascii="Arial" w:cs="Arial" w:eastAsia="Arial" w:hAnsi="Arial"/>
          <w:sz w:val="18"/>
          <w:szCs w:val="18"/>
          <w:b w:val="1"/>
          <w:bCs w:val="1"/>
          <w:i w:val="1"/>
          <w:iCs w:val="1"/>
          <w:color w:val="231F20"/>
        </w:rPr>
        <w:t>We may be required to obtain additional funds in the future, and these funds may not be available on acceptable terms or at all.</w:t>
      </w:r>
    </w:p>
    <w:p>
      <w:pPr>
        <w:spacing w:after="0" w:line="201" w:lineRule="exact"/>
        <w:rPr>
          <w:sz w:val="20"/>
          <w:szCs w:val="20"/>
          <w:color w:val="auto"/>
        </w:rPr>
      </w:pPr>
    </w:p>
    <w:p>
      <w:pPr>
        <w:ind w:left="60" w:right="139"/>
        <w:spacing w:after="0" w:line="266" w:lineRule="auto"/>
        <w:rPr>
          <w:sz w:val="20"/>
          <w:szCs w:val="20"/>
          <w:color w:val="auto"/>
        </w:rPr>
      </w:pPr>
      <w:r>
        <w:rPr>
          <w:rFonts w:ascii="Arial" w:cs="Arial" w:eastAsia="Arial" w:hAnsi="Arial"/>
          <w:sz w:val="18"/>
          <w:szCs w:val="18"/>
          <w:color w:val="231F20"/>
        </w:rPr>
        <w:t>Our operations have consumed substantial amounts of cash since inception, and we anticipate our expenses will increase as we build a commercial sales force in the U.S., investigate the potential use of BAROSTIM NEO for the treatment of other HF conditions, continue to grow our business, and transition to operating as a public company. We believe that our growth will depend, in part, on our ability to fund our commercialization and R&amp;D efforts. We believe that the net proceeds from the IPO, together with our existing cash, cash equivalents, short-term investments and revenue will be sufficient to meet our capital requirements and fund our operations for at least 12 months. However, we have based these estimates on assumptions that may prove to be incorrect, and we could spend our available financial resources much faster than we currently expect. As a result, we may need to seek additional funds in the future. If we are unable to raise funds on favorable terms, or at all, we may not be able to support our commercialization efforts or increase our research and development activities and the growth of our business may be negatively impacted. As a result, we may be unable to compete effectively. For the nine months ended September 30, 2021 and 2020, net cash used in operating activities was $20.7 million and $12.0 million, respectively. Our cash requirements in the future may be significantly different from our current estimates and depend on many factors, including, among others:</w:t>
      </w:r>
    </w:p>
    <w:p>
      <w:pPr>
        <w:spacing w:after="0" w:line="204" w:lineRule="exact"/>
        <w:rPr>
          <w:sz w:val="20"/>
          <w:szCs w:val="20"/>
          <w:color w:val="auto"/>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scope and timing of our investment in our U.S. commercial infrastructure and sales force;</w:t>
      </w:r>
    </w:p>
    <w:p>
      <w:pPr>
        <w:spacing w:after="0" w:line="117" w:lineRule="exact"/>
        <w:rPr>
          <w:rFonts w:ascii="Arial" w:cs="Arial" w:eastAsia="Arial" w:hAnsi="Arial"/>
          <w:sz w:val="18"/>
          <w:szCs w:val="18"/>
          <w:color w:val="231F20"/>
        </w:rPr>
      </w:pPr>
    </w:p>
    <w:p>
      <w:pPr>
        <w:ind w:left="540" w:right="979" w:hanging="139"/>
        <w:spacing w:after="0" w:line="277"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costs of commercialization activities including product sales, marketing, manufacturing and distribution and hiring a direct sales and marketing team in the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degree and rate of market acceptance of BAROSTIM NEO;</w:t>
      </w:r>
    </w:p>
    <w:p>
      <w:pPr>
        <w:spacing w:after="0" w:line="103" w:lineRule="exact"/>
        <w:rPr>
          <w:rFonts w:ascii="Arial" w:cs="Arial" w:eastAsia="Arial" w:hAnsi="Arial"/>
          <w:sz w:val="18"/>
          <w:szCs w:val="18"/>
          <w:color w:val="231F20"/>
        </w:rPr>
      </w:pPr>
    </w:p>
    <w:p>
      <w:pPr>
        <w:ind w:left="540" w:right="579" w:hanging="139"/>
        <w:spacing w:after="0" w:line="246"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R&amp;D activities we intend to undertake in order to pursue product enhancements and expand HF indications;</w:t>
      </w:r>
    </w:p>
    <w:p>
      <w:pPr>
        <w:spacing w:after="0" w:line="102" w:lineRule="exact"/>
        <w:rPr>
          <w:rFonts w:ascii="Arial" w:cs="Arial" w:eastAsia="Arial" w:hAnsi="Arial"/>
          <w:sz w:val="18"/>
          <w:szCs w:val="18"/>
          <w:color w:val="231F20"/>
        </w:rPr>
      </w:pPr>
    </w:p>
    <w:p>
      <w:pPr>
        <w:ind w:left="540" w:right="219" w:hanging="139"/>
        <w:spacing w:after="0" w:line="277" w:lineRule="auto"/>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need to implement additional infrastructure and internal systems;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1"/>
        </w:numPr>
        <w:rPr>
          <w:rFonts w:ascii="Arial" w:cs="Arial" w:eastAsia="Arial" w:hAnsi="Arial"/>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sz w:val="20"/>
          <w:szCs w:val="20"/>
          <w:color w:val="auto"/>
        </w:rPr>
      </w:pPr>
    </w:p>
    <w:p>
      <w:pPr>
        <w:jc w:val="both"/>
        <w:ind w:left="60" w:right="399"/>
        <w:spacing w:after="0" w:line="271" w:lineRule="auto"/>
        <w:rPr>
          <w:sz w:val="20"/>
          <w:szCs w:val="20"/>
          <w:color w:val="auto"/>
        </w:rPr>
      </w:pPr>
      <w:r>
        <w:rPr>
          <w:rFonts w:ascii="Arial" w:cs="Arial" w:eastAsia="Arial" w:hAnsi="Arial"/>
          <w:sz w:val="18"/>
          <w:szCs w:val="18"/>
          <w:color w:val="231F20"/>
        </w:rPr>
        <w:t>To finance certain of these activities, we may seek funds through borrowings or through additional rounds of financing, including private or public equity or debt offerings and collaborative arrangements with corporate partners. We may be unable to raise funds on favorable terms, or at all.</w:t>
      </w:r>
    </w:p>
    <w:p>
      <w:pPr>
        <w:spacing w:after="0" w:line="203"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The sale of additional equity or convertible debt securities could result in additional dilution to our stockholders. If we borrow additional funds or issue debt securities, these securities could have rights superior to holders of our common stock and could contain covenants that will restrict our operations, including limitations on our ability to incur liens or additional debt, pay dividends, repurchase our common stock, make certain investments and engage in certain merger, consolidation or asset sale transactions. We might have to obtain funds through arrangements with collaborative partners or others that may require us to relinquish rights to our technologies, product candidates or products that we otherwise would not relinquish. If we do not obtain additional resources, our ability to capitalize on business opportunities will be limited, we may be unable to compete effectively and the growth of our business will be adversely affected.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259"/>
        <w:spacing w:after="0" w:line="256" w:lineRule="auto"/>
        <w:rPr>
          <w:sz w:val="20"/>
          <w:szCs w:val="20"/>
          <w:color w:val="auto"/>
        </w:rPr>
      </w:pPr>
      <w:r>
        <w:rPr>
          <w:rFonts w:ascii="Arial" w:cs="Arial" w:eastAsia="Arial" w:hAnsi="Arial"/>
          <w:sz w:val="18"/>
          <w:szCs w:val="18"/>
          <w:b w:val="1"/>
          <w:bCs w:val="1"/>
          <w:i w:val="1"/>
          <w:iCs w:val="1"/>
          <w:color w:val="231F20"/>
        </w:rPr>
        <w:t>Our operating results may vary significantly annually or from quarter to quarter, which may negatively impact our stock price in the future.</w:t>
      </w:r>
    </w:p>
    <w:p>
      <w:pPr>
        <w:spacing w:after="0" w:line="20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231F20"/>
        </w:rPr>
        <w:t>Our revenue and results of operations may fluctuate annually or from quarter to quarter due to, among others, the following reasons:</w:t>
      </w:r>
    </w:p>
    <w:p>
      <w:pPr>
        <w:spacing w:after="0" w:line="184" w:lineRule="exact"/>
        <w:rPr>
          <w:sz w:val="20"/>
          <w:szCs w:val="20"/>
          <w:color w:val="auto"/>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physician and payor acceptance of BAROSTIM NEO and our BAROSTIM Therapy;</w:t>
      </w:r>
    </w:p>
    <w:p>
      <w:pPr>
        <w:spacing w:after="0" w:line="103" w:lineRule="exact"/>
        <w:rPr>
          <w:rFonts w:ascii="Arial" w:cs="Arial" w:eastAsia="Arial" w:hAnsi="Arial"/>
          <w:sz w:val="18"/>
          <w:szCs w:val="18"/>
          <w:color w:val="231F20"/>
        </w:rPr>
      </w:pPr>
    </w:p>
    <w:p>
      <w:pPr>
        <w:ind w:left="540" w:right="599" w:hanging="139"/>
        <w:spacing w:after="0" w:line="246"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timing, expense and results of research and development activities, clinical trials and regulatory approvals;</w:t>
      </w:r>
    </w:p>
    <w:p>
      <w:pPr>
        <w:spacing w:after="0" w:line="102" w:lineRule="exact"/>
        <w:rPr>
          <w:rFonts w:ascii="Arial" w:cs="Arial" w:eastAsia="Arial" w:hAnsi="Arial"/>
          <w:sz w:val="18"/>
          <w:szCs w:val="18"/>
          <w:color w:val="231F20"/>
        </w:rPr>
      </w:pPr>
    </w:p>
    <w:p>
      <w:pPr>
        <w:ind w:left="540" w:right="1579" w:hanging="139"/>
        <w:spacing w:after="0" w:line="277" w:lineRule="auto"/>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fluctuations in our expenses associated with expanding our commercial operations and operating as a public company;</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introduction of new products and technologies by our competitors;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productivity of our sales representatives;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supplier, manufacturing or quality problems with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timing of stocking orders from our distributors;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changes in our pricing policies or in the pricing policies of our competitors or suppliers;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changes in coverage amounts or government and third-party payors’ reimbursement policies.</w:t>
      </w:r>
    </w:p>
    <w:p>
      <w:pPr>
        <w:spacing w:after="0" w:line="18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231F20"/>
        </w:rPr>
        <w:t>Because of these and other factors, it is possible that our operating results will not meet investor expectations or those of public market analysts.</w:t>
      </w:r>
    </w:p>
    <w:p>
      <w:pPr>
        <w:spacing w:after="0" w:line="197"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231F20"/>
        </w:rPr>
        <w:t>Any unanticipated change in revenues or operating results is likely to cause our stock price to fluctuate. New information may cause investors and analysts to revalue our business, which could also cause a fluctuation in our stock price.</w:t>
      </w:r>
    </w:p>
    <w:p>
      <w:pPr>
        <w:spacing w:after="0" w:line="181" w:lineRule="exact"/>
        <w:rPr>
          <w:sz w:val="20"/>
          <w:szCs w:val="20"/>
          <w:color w:val="auto"/>
        </w:rPr>
      </w:pPr>
    </w:p>
    <w:p>
      <w:pPr>
        <w:ind w:left="60" w:right="219"/>
        <w:spacing w:after="0" w:line="303" w:lineRule="auto"/>
        <w:rPr>
          <w:sz w:val="20"/>
          <w:szCs w:val="20"/>
          <w:color w:val="auto"/>
        </w:rPr>
      </w:pPr>
      <w:r>
        <w:rPr>
          <w:rFonts w:ascii="Arial" w:cs="Arial" w:eastAsia="Arial" w:hAnsi="Arial"/>
          <w:sz w:val="18"/>
          <w:szCs w:val="18"/>
          <w:b w:val="1"/>
          <w:bCs w:val="1"/>
          <w:i w:val="1"/>
          <w:iCs w:val="1"/>
          <w:color w:val="231F20"/>
        </w:rPr>
        <w:t>We are required to maintain high levels of inventory, which could consume a significant amount of our resources, reduce our cash flows and lead to inventory impairment charges.</w:t>
      </w:r>
    </w:p>
    <w:p>
      <w:pPr>
        <w:spacing w:after="0" w:line="174" w:lineRule="exact"/>
        <w:rPr>
          <w:sz w:val="20"/>
          <w:szCs w:val="20"/>
          <w:color w:val="auto"/>
        </w:rPr>
      </w:pPr>
    </w:p>
    <w:p>
      <w:pPr>
        <w:ind w:left="60" w:right="179"/>
        <w:spacing w:after="0" w:line="287" w:lineRule="auto"/>
        <w:rPr>
          <w:sz w:val="20"/>
          <w:szCs w:val="20"/>
          <w:color w:val="auto"/>
        </w:rPr>
      </w:pPr>
      <w:r>
        <w:rPr>
          <w:rFonts w:ascii="Arial" w:cs="Arial" w:eastAsia="Arial" w:hAnsi="Arial"/>
          <w:sz w:val="17"/>
          <w:szCs w:val="17"/>
          <w:color w:val="231F20"/>
        </w:rPr>
        <w:t>Our product consists of a substantial number of individual components. In order to market and sell BAROSTIM NEO effectively, we often must maintain high levels of inventory. The manufacturing process requires lengthy lead times, during which components of our products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for our component parts exposes us to greater lead times.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359"/>
        <w:spacing w:after="0" w:line="303" w:lineRule="auto"/>
        <w:rPr>
          <w:sz w:val="20"/>
          <w:szCs w:val="20"/>
          <w:color w:val="auto"/>
        </w:rPr>
      </w:pPr>
      <w:r>
        <w:rPr>
          <w:rFonts w:ascii="Arial" w:cs="Arial" w:eastAsia="Arial" w:hAnsi="Arial"/>
          <w:sz w:val="18"/>
          <w:szCs w:val="18"/>
          <w:b w:val="1"/>
          <w:bCs w:val="1"/>
          <w:i w:val="1"/>
          <w:iCs w:val="1"/>
          <w:color w:val="231F20"/>
        </w:rPr>
        <w:t>The seasonality of our business creates variance in our quarterly revenue, which makes it difficult to compare or forecast our financial results.</w:t>
      </w:r>
    </w:p>
    <w:p>
      <w:pPr>
        <w:spacing w:after="0" w:line="174"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We expect that any revenue we generate could fluctuate from quarter to quarter as a result of timing and seasonality. We anticipate mild seasonality based on national holiday patterns specific to certain nations. These seasonal variations are difficult to predict accurately, may vary amongst different markets, and at times may be entirely unpredictable. In addition to the above factors, in the U.S. it is possible that we may experience seasonality based on patients’ annual deductibility limits under their health insurance coverage. While historically seasonality has been minimal, we anticipate increased seasonality due to our increased focus on sales within the U.S. These seasonal variations are difficult to predict accurately, may vary amongst different markets and at times may be entirely unpredictable, which introduces additional risk into our business as we rely upon forecasts of customer demand to build inventory in advance of anticipated sales. In addition, we believe our limited history commercializing our products has, in part, made our seasonal patterns more difficult to discern and therefore predict.</w:t>
      </w:r>
    </w:p>
    <w:p>
      <w:pPr>
        <w:spacing w:after="0" w:line="186" w:lineRule="exact"/>
        <w:rPr>
          <w:sz w:val="20"/>
          <w:szCs w:val="20"/>
          <w:color w:val="auto"/>
        </w:rPr>
      </w:pPr>
    </w:p>
    <w:p>
      <w:pPr>
        <w:ind w:left="60" w:right="859"/>
        <w:spacing w:after="0" w:line="303" w:lineRule="auto"/>
        <w:rPr>
          <w:sz w:val="20"/>
          <w:szCs w:val="20"/>
          <w:color w:val="auto"/>
        </w:rPr>
      </w:pPr>
      <w:r>
        <w:rPr>
          <w:rFonts w:ascii="Arial" w:cs="Arial" w:eastAsia="Arial" w:hAnsi="Arial"/>
          <w:sz w:val="18"/>
          <w:szCs w:val="18"/>
          <w:b w:val="1"/>
          <w:bCs w:val="1"/>
          <w:i w:val="1"/>
          <w:iCs w:val="1"/>
          <w:color w:val="231F20"/>
        </w:rPr>
        <w:t>We are subject to risks associated with currency fluctuations, and changes in foreign currency exchange rates could impact our results of operations.</w:t>
      </w:r>
    </w:p>
    <w:p>
      <w:pPr>
        <w:spacing w:after="0" w:line="174"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A portion of our current business is located outside the U.S. and, as a result, we generate revenue and incur expenses denominated in currencies other than the U.S. dollar, a majority of which is denominated in Euros. In 2019 and 2020, a majority of our total revenue was denominated in foreign currencies. As a result, changes in the exchange rates between such foreign currencies, particularly the Euro and the U.S. dollar, could materially impact our reported results of operations and distort period to period comparisons. Fluctuations in foreign currency exchange rates also impact the reporting of our receivables and payables in non-U.S. currencies.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 In the future, we may engage in exchange rate hedging activities in an effort to mitigate the impact of exchange rate fluctuations. If our hedging activities are not effective, changes in currency exchange rates may have a more significant impact on our results of operations.</w:t>
      </w:r>
    </w:p>
    <w:p>
      <w:pPr>
        <w:spacing w:after="0" w:line="185" w:lineRule="exact"/>
        <w:rPr>
          <w:sz w:val="20"/>
          <w:szCs w:val="20"/>
          <w:color w:val="auto"/>
        </w:rPr>
      </w:pPr>
    </w:p>
    <w:p>
      <w:pPr>
        <w:ind w:left="60" w:right="79"/>
        <w:spacing w:after="0" w:line="284" w:lineRule="auto"/>
        <w:rPr>
          <w:sz w:val="20"/>
          <w:szCs w:val="20"/>
          <w:color w:val="auto"/>
        </w:rPr>
      </w:pPr>
      <w:r>
        <w:rPr>
          <w:rFonts w:ascii="Arial" w:cs="Arial" w:eastAsia="Arial" w:hAnsi="Arial"/>
          <w:sz w:val="18"/>
          <w:szCs w:val="18"/>
          <w:b w:val="1"/>
          <w:bCs w:val="1"/>
          <w:i w:val="1"/>
          <w:iCs w:val="1"/>
          <w:color w:val="231F20"/>
        </w:rPr>
        <w:t>Our ability to use our net operating losses and tax credits to offset future taxable income and taxes may be subject to certain limitations, and we may not be able to utilize a significant portion of our net operating loss and tax credit carryforwards prior to their expiration.</w:t>
      </w:r>
    </w:p>
    <w:p>
      <w:pPr>
        <w:spacing w:after="0" w:line="192" w:lineRule="exact"/>
        <w:rPr>
          <w:sz w:val="20"/>
          <w:szCs w:val="20"/>
          <w:color w:val="auto"/>
        </w:rPr>
      </w:pPr>
    </w:p>
    <w:p>
      <w:pPr>
        <w:ind w:left="60" w:right="99"/>
        <w:spacing w:after="0" w:line="284" w:lineRule="auto"/>
        <w:rPr>
          <w:sz w:val="20"/>
          <w:szCs w:val="20"/>
          <w:color w:val="auto"/>
        </w:rPr>
      </w:pPr>
      <w:r>
        <w:rPr>
          <w:rFonts w:ascii="Arial" w:cs="Arial" w:eastAsia="Arial" w:hAnsi="Arial"/>
          <w:sz w:val="17"/>
          <w:szCs w:val="17"/>
          <w:color w:val="231F20"/>
        </w:rPr>
        <w:t>We have generated and expect to continue to generate significant federal and state NOLs and tax credit carryforwards. As of December 31, 2020, we had federal and state NOL carryforwards of approximately $296.1 million and $88.0 million, respectively. The federal NOLs begin to expire in 2021 and state NOLs began expiring in 2020. As of December 31, 2020, we had federal and state tax credit carryforwards of approximately $8.6 million and $1.5 million, respectively. The federal and state tax credit carryforwards begin to expire in 2021 and 2028, respectively. These NOL and tax credit carryforwards could expire unused and be unavailable to offset future income tax liabilities. Under the legislation enacted on December 22, 2017 commonly referred to as the “Tax Cuts and Jobs Act” (the “TCJA”), as modified by the Coronavirus Aid, Relief, and Economic Security Act (the “CARES Act”), federal NOLs incurred in taxable years beginning after December 31, 2017 may be carried forward indefinitely, but the deductibility of such federal NOLs incurred in taxable years beginning after December 31, 2020 is limited. It is uncertain how various states will respond to the TCJA and the CARES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In addition, under Sections 382 and 383 of the U.S. Internal Revenue Code of 1986, as amended (the “Code”), a corporation that undergoes an “ownership change” is subject to limitations on its ability to utilize its pre-change NOL and specified other tax credit carryforwards, such as research and development tax credits, to offset future taxable income and taxes. We may have previously experienced, and may in the future experience, one or more “ownership changes” for purposes of the rules under Section 382 and 383 of the Code, including in connection with our IPO. If so, or if we do not generate sufficient taxable income, we may not be able to utilize a material portion of our NOLs and tax credits, even if we achieve profitability. If we are limited in our ability to use our NOLs and tax credits in future years in which we have taxable income, we will pay more taxes than if we were able to fully utilize our NOLs and tax credits. This could materially and adversely affect our results of operations by effectively increasing our future tax obligations.</w:t>
      </w:r>
    </w:p>
    <w:p>
      <w:pPr>
        <w:spacing w:after="0" w:line="186" w:lineRule="exact"/>
        <w:rPr>
          <w:sz w:val="20"/>
          <w:szCs w:val="20"/>
          <w:color w:val="auto"/>
        </w:rPr>
      </w:pPr>
    </w:p>
    <w:p>
      <w:pPr>
        <w:ind w:left="60" w:right="439"/>
        <w:spacing w:after="0" w:line="303" w:lineRule="auto"/>
        <w:rPr>
          <w:sz w:val="20"/>
          <w:szCs w:val="20"/>
          <w:color w:val="auto"/>
        </w:rPr>
      </w:pPr>
      <w:r>
        <w:rPr>
          <w:rFonts w:ascii="Arial" w:cs="Arial" w:eastAsia="Arial" w:hAnsi="Arial"/>
          <w:sz w:val="18"/>
          <w:szCs w:val="18"/>
          <w:b w:val="1"/>
          <w:bCs w:val="1"/>
          <w:i w:val="1"/>
          <w:iCs w:val="1"/>
          <w:color w:val="231F20"/>
        </w:rPr>
        <w:t>We are subject to complex tax rules, and any audits, investigations or tax proceedings could have a material adverse effect on our business, results of operations and financial condition.</w:t>
      </w:r>
    </w:p>
    <w:p>
      <w:pPr>
        <w:spacing w:after="0" w:line="174"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We are subject to income and/or non-income taxes in the U.S., Switzerland, Italy, Germany, France and the Netherlands, as well as the tax laws and regulations related to such matters. Tax accounting and compliance often involves complex issues, and judgment and interpretation is required in determining our provision for income taxes and other tax liabilities as well as the application of tax laws and regulations. In that respect, many jurisdictions have detailed transfer pricing rules, which require that all transactions with related parties be priced using arm’s length pricing principles within the meaning of such rules. The application of such transfer pricing rules, as well as of withholding taxes, goods and services taxes, sales taxes and other taxes is not always clear and we may be subject to tax audits relating to such rules or taxes.</w:t>
      </w:r>
    </w:p>
    <w:p>
      <w:pPr>
        <w:spacing w:after="0" w:line="210"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We believe that our tax positions are reasonable, and our tax provisions and reserves are adequate to cover any potential liability. However, various items cannot be accurately forecasted and future events may be treated as discrete to the period in which they occur. In addition, the Internal Revenue Service or other taxing authorities may disagree with our positions. If the Internal Revenue Service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operations and future cash flow.</w:t>
      </w:r>
    </w:p>
    <w:p>
      <w:pPr>
        <w:spacing w:after="0" w:line="183" w:lineRule="exact"/>
        <w:rPr>
          <w:sz w:val="20"/>
          <w:szCs w:val="20"/>
          <w:color w:val="auto"/>
        </w:rPr>
      </w:pPr>
    </w:p>
    <w:p>
      <w:pPr>
        <w:ind w:left="60" w:right="539"/>
        <w:spacing w:after="0" w:line="303" w:lineRule="auto"/>
        <w:rPr>
          <w:sz w:val="20"/>
          <w:szCs w:val="20"/>
          <w:color w:val="auto"/>
        </w:rPr>
      </w:pPr>
      <w:r>
        <w:rPr>
          <w:rFonts w:ascii="Arial" w:cs="Arial" w:eastAsia="Arial" w:hAnsi="Arial"/>
          <w:sz w:val="18"/>
          <w:szCs w:val="18"/>
          <w:b w:val="1"/>
          <w:bCs w:val="1"/>
          <w:i w:val="1"/>
          <w:iCs w:val="1"/>
          <w:color w:val="231F20"/>
        </w:rPr>
        <w:t>Changes in U.S. and non-U.S. tax laws could adversely affect our financial condition and results of operations.</w:t>
      </w:r>
    </w:p>
    <w:p>
      <w:pPr>
        <w:spacing w:after="0" w:line="174"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The rules dealing with U.S. and non-U.S. tax matters are constantly under review by persons involved in the legislative, judicial, administrative, regulatory and related governmental processes and authorities. Changes to tax laws or the interpretation and application thereof (which changes may have retroactive application) could adversely affect us or holders of our common stock. In recent years, many such changes have been made and changes are likely to continue to occur in the future. Future changes in U.S. and non-U.S. tax laws could have a material adverse effect on our business, cash flow, financial condition or results of operations. We urge investors to consult with their legal and tax advisors regarding the implications of potential changes in U.S. and non-U.S. tax laws on an investment in our common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not be able to generate sufficient cash to service our Horizon loan agreement.</w:t>
      </w:r>
    </w:p>
    <w:p>
      <w:pPr>
        <w:spacing w:after="0" w:line="261"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As of September 30, 2021, the aggregate principal amount outstanding under our Horizon loan agreement was $20.0 million. Our ability to make scheduled payments or to refinance our debt obligations depends on numerous factors, including the amount of our cash reserves and our actual and projected financial and operating performance. These amounts and our performance are subject to numerous risks, including the risks in this section,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be certain that we would be able to take any of these actions, or that these actions would permit us to meet our scheduled debt service obligations. In addition, in the event of our breach of our Horizon loan agreement, we may be required to repay any outstanding amounts earlier than anticipated.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regulation of our industry</w:t>
      </w:r>
    </w:p>
    <w:p>
      <w:pPr>
        <w:spacing w:after="0" w:line="225" w:lineRule="exact"/>
        <w:rPr>
          <w:sz w:val="20"/>
          <w:szCs w:val="20"/>
          <w:color w:val="auto"/>
        </w:rPr>
      </w:pPr>
    </w:p>
    <w:p>
      <w:pPr>
        <w:ind w:left="60" w:right="799"/>
        <w:spacing w:after="0" w:line="303" w:lineRule="auto"/>
        <w:rPr>
          <w:sz w:val="20"/>
          <w:szCs w:val="20"/>
          <w:color w:val="auto"/>
        </w:rPr>
      </w:pPr>
      <w:r>
        <w:rPr>
          <w:rFonts w:ascii="Arial" w:cs="Arial" w:eastAsia="Arial" w:hAnsi="Arial"/>
          <w:sz w:val="18"/>
          <w:szCs w:val="18"/>
          <w:b w:val="1"/>
          <w:bCs w:val="1"/>
          <w:i w:val="1"/>
          <w:iCs w:val="1"/>
          <w:color w:val="231F20"/>
        </w:rPr>
        <w:t>BAROSTIM NEO is subject to extensive governmental regulation, and our failure to comply with applicable requirements could cause our business to suffer.</w:t>
      </w:r>
    </w:p>
    <w:p>
      <w:pPr>
        <w:spacing w:after="0" w:line="174" w:lineRule="exact"/>
        <w:rPr>
          <w:sz w:val="20"/>
          <w:szCs w:val="20"/>
          <w:color w:val="auto"/>
        </w:rPr>
      </w:pPr>
    </w:p>
    <w:p>
      <w:pPr>
        <w:ind w:left="60" w:right="199"/>
        <w:spacing w:after="0" w:line="269" w:lineRule="auto"/>
        <w:rPr>
          <w:sz w:val="20"/>
          <w:szCs w:val="20"/>
          <w:color w:val="auto"/>
        </w:rPr>
      </w:pPr>
      <w:r>
        <w:rPr>
          <w:rFonts w:ascii="Arial" w:cs="Arial" w:eastAsia="Arial" w:hAnsi="Arial"/>
          <w:sz w:val="18"/>
          <w:szCs w:val="18"/>
          <w:color w:val="231F20"/>
        </w:rPr>
        <w:t>The medical device industry is regulated extensively by governmental authorities, principally the FDA and corresponding state and foreign regulatory agencies and authorities, such as the EU legislative bodies and the EEA Member State Competent Authorities. The FDA and other U.S., EEA and foreign governmental agencies and authorities regulate and oversee, among other things, with respect to medical devices:</w:t>
      </w:r>
    </w:p>
    <w:p>
      <w:pPr>
        <w:spacing w:after="0" w:line="193" w:lineRule="exact"/>
        <w:rPr>
          <w:sz w:val="20"/>
          <w:szCs w:val="20"/>
          <w:color w:val="auto"/>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design, development and manufacturing;</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testing, labeling, content and language of instructions for use and storage;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clinical trials;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product safety;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marketing, sales and distribution;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pre-market regulatory clearance and approval;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conformity assessment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record-keeping procedures;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advertising and promotion;</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recalls and other field safety corrective actions;</w:t>
      </w:r>
    </w:p>
    <w:p>
      <w:pPr>
        <w:spacing w:after="0" w:line="117" w:lineRule="exact"/>
        <w:rPr>
          <w:rFonts w:ascii="Arial" w:cs="Arial" w:eastAsia="Arial" w:hAnsi="Arial"/>
          <w:sz w:val="18"/>
          <w:szCs w:val="18"/>
          <w:color w:val="231F20"/>
        </w:rPr>
      </w:pPr>
    </w:p>
    <w:p>
      <w:pPr>
        <w:ind w:left="540" w:right="379" w:hanging="139"/>
        <w:spacing w:after="0" w:line="277" w:lineRule="auto"/>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post-market studies;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3"/>
        </w:numPr>
        <w:rPr>
          <w:rFonts w:ascii="Arial" w:cs="Arial" w:eastAsia="Arial" w:hAnsi="Arial"/>
          <w:sz w:val="18"/>
          <w:szCs w:val="18"/>
          <w:color w:val="231F20"/>
        </w:rPr>
      </w:pPr>
      <w:r>
        <w:rPr>
          <w:rFonts w:ascii="Arial" w:cs="Arial" w:eastAsia="Arial" w:hAnsi="Arial"/>
          <w:sz w:val="18"/>
          <w:szCs w:val="18"/>
          <w:color w:val="231F20"/>
        </w:rPr>
        <w:t>product import and export.</w:t>
      </w:r>
    </w:p>
    <w:p>
      <w:pPr>
        <w:spacing w:after="0" w:line="144"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88" w:lineRule="auto"/>
        <w:rPr>
          <w:sz w:val="20"/>
          <w:szCs w:val="20"/>
          <w:color w:val="auto"/>
        </w:rPr>
      </w:pPr>
      <w:r>
        <w:rPr>
          <w:rFonts w:ascii="Arial" w:cs="Arial" w:eastAsia="Arial" w:hAnsi="Arial"/>
          <w:sz w:val="17"/>
          <w:szCs w:val="17"/>
          <w:color w:val="231F20"/>
        </w:rPr>
        <w:t>Our failure to comply with U.S. federal and state regulations or EEA or other foreign regulations applicable in the countries where we operate could lead to the issuance of warning letters or untitled letters, fines, injunctions, suspensions or loss of regulatory clearance or approvals, recalls or seizures of products, termination of distribution, or civil penalties. In the most extreme cases, criminal sanctions or closure of our manufacturing facilities are possible. If any of these risks materialize, our business would be adversely affected.</w:t>
      </w:r>
    </w:p>
    <w:p>
      <w:pPr>
        <w:spacing w:after="0" w:line="142" w:lineRule="exact"/>
        <w:rPr>
          <w:sz w:val="20"/>
          <w:szCs w:val="20"/>
          <w:color w:val="auto"/>
        </w:rPr>
      </w:pPr>
    </w:p>
    <w:p>
      <w:pPr>
        <w:ind w:left="60" w:right="279"/>
        <w:spacing w:after="0" w:line="285" w:lineRule="auto"/>
        <w:rPr>
          <w:sz w:val="20"/>
          <w:szCs w:val="20"/>
          <w:color w:val="auto"/>
        </w:rPr>
      </w:pPr>
      <w:r>
        <w:rPr>
          <w:rFonts w:ascii="Arial" w:cs="Arial" w:eastAsia="Arial" w:hAnsi="Arial"/>
          <w:sz w:val="17"/>
          <w:szCs w:val="17"/>
          <w:b w:val="1"/>
          <w:bCs w:val="1"/>
          <w:i w:val="1"/>
          <w:iCs w:val="1"/>
          <w:color w:val="231F20"/>
        </w:rPr>
        <w:t>BAROSTIM NEO is also subject to extensive governmental regulation in foreign jurisdictions, such as Europe, and our failure to comply with applicable requirements could cause our business to suffer.</w:t>
      </w:r>
    </w:p>
    <w:p>
      <w:pPr>
        <w:spacing w:after="0" w:line="179"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In the EEA, BAROSTIM NEO must comply with the Essential Requirements laid down in Annex I to the EU Active Implantable Medical Devices Directive. Compliance with these requirements is a prerequisite to be able to affix the CE mark to BAROSTIM NEO, without which they cannot be marketed or sold in the EEA. To demonstrate compliance with the Essential Requirements and obtain the right to affix the CE Mark to BAROSTIM NEO, we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217"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As a general rule, demonstration of conformity of medical devices and their manufacturers with the Essential Requirements must be based on, among other things,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w:t>
      </w:r>
    </w:p>
    <w:p>
      <w:pPr>
        <w:spacing w:after="0" w:line="1" w:lineRule="exact"/>
        <w:rPr>
          <w:sz w:val="20"/>
          <w:szCs w:val="20"/>
          <w:color w:val="auto"/>
        </w:rPr>
      </w:pPr>
    </w:p>
    <w:p>
      <w:pPr>
        <w:ind w:left="60" w:right="259" w:hanging="10"/>
        <w:spacing w:after="0" w:line="268" w:lineRule="auto"/>
        <w:tabs>
          <w:tab w:leader="none" w:pos="330" w:val="left"/>
        </w:tabs>
        <w:numPr>
          <w:ilvl w:val="0"/>
          <w:numId w:val="34"/>
        </w:numPr>
        <w:rPr>
          <w:rFonts w:ascii="Arial" w:cs="Arial" w:eastAsia="Arial" w:hAnsi="Arial"/>
          <w:sz w:val="18"/>
          <w:szCs w:val="18"/>
          <w:color w:val="231F20"/>
        </w:rPr>
      </w:pPr>
      <w:r>
        <w:rPr>
          <w:rFonts w:ascii="Arial" w:cs="Arial" w:eastAsia="Arial" w:hAnsi="Arial"/>
          <w:sz w:val="18"/>
          <w:szCs w:val="18"/>
          <w:color w:val="231F20"/>
        </w:rPr>
        <w:t>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206"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order to continue to sell BAROSTIM NEO in Europe, we must maintain our CE Mark and continue to comply with certain EU Directives.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or BSI), which could impair our ability to market products in the EEA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339"/>
        <w:spacing w:after="0" w:line="238" w:lineRule="auto"/>
        <w:rPr>
          <w:sz w:val="20"/>
          <w:szCs w:val="20"/>
          <w:color w:val="auto"/>
        </w:rPr>
      </w:pPr>
      <w:r>
        <w:rPr>
          <w:rFonts w:ascii="Arial" w:cs="Arial" w:eastAsia="Arial" w:hAnsi="Arial"/>
          <w:sz w:val="18"/>
          <w:szCs w:val="18"/>
          <w:b w:val="1"/>
          <w:bCs w:val="1"/>
          <w:i w:val="1"/>
          <w:iCs w:val="1"/>
          <w:color w:val="231F20"/>
        </w:rPr>
        <w:t>Our business is subject to extensive governmental regulation that could make it more expensive and time consuming for us to bring BAROSTIM NEO to market in the U.S. and introduce new or improved products.</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Our products must comply with regulatory requirements imposed by the FDA in the U.S. and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196" w:lineRule="exact"/>
        <w:rPr>
          <w:sz w:val="20"/>
          <w:szCs w:val="20"/>
          <w:color w:val="auto"/>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the Federal Food, Drug, and Cosmetic Act and the FDA’s implementing regulations (Title 21 CFR);</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EU CE mark requirements;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Medical Device Quality Management System Requirements (ISO 13485:2003);</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Occupational Safety and Health Administration requirements;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5"/>
        </w:numPr>
        <w:rPr>
          <w:rFonts w:ascii="Arial" w:cs="Arial" w:eastAsia="Arial" w:hAnsi="Arial"/>
          <w:sz w:val="18"/>
          <w:szCs w:val="18"/>
          <w:color w:val="231F20"/>
        </w:rPr>
      </w:pPr>
      <w:r>
        <w:rPr>
          <w:rFonts w:ascii="Arial" w:cs="Arial" w:eastAsia="Arial" w:hAnsi="Arial"/>
          <w:sz w:val="18"/>
          <w:szCs w:val="18"/>
          <w:color w:val="231F20"/>
        </w:rPr>
        <w:t>California Department of Health Services requirements.</w:t>
      </w:r>
    </w:p>
    <w:p>
      <w:pPr>
        <w:spacing w:after="0" w:line="144"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231F20"/>
        </w:rPr>
        <w:t>Current or evolving government regulation may impede our ability to conduct clinical studies and to manufacture and sell our existing and future products. Such government regulation also could delay our marketing of new products for a considerable period of time and impose costly procedures on our activities.</w:t>
      </w:r>
    </w:p>
    <w:p>
      <w:pPr>
        <w:spacing w:after="0" w:line="203"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Our products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products and on our business and financial position. 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161" w:lineRule="exact"/>
        <w:rPr>
          <w:sz w:val="20"/>
          <w:szCs w:val="20"/>
          <w:color w:val="auto"/>
        </w:rPr>
      </w:pPr>
    </w:p>
    <w:p>
      <w:pPr>
        <w:ind w:left="60" w:right="439"/>
        <w:spacing w:after="0" w:line="233" w:lineRule="auto"/>
        <w:rPr>
          <w:sz w:val="20"/>
          <w:szCs w:val="20"/>
          <w:color w:val="auto"/>
        </w:rPr>
      </w:pPr>
      <w:r>
        <w:rPr>
          <w:rFonts w:ascii="Arial" w:cs="Arial" w:eastAsia="Arial" w:hAnsi="Arial"/>
          <w:sz w:val="18"/>
          <w:szCs w:val="18"/>
          <w:b w:val="1"/>
          <w:bCs w:val="1"/>
          <w:i w:val="1"/>
          <w:iCs w:val="1"/>
          <w:color w:val="231F20"/>
        </w:rPr>
        <w:t>The misuse or off-label use of our product may harm our image in the marketplace, result in injuries that lead to product liability suits, which could be costly to our business, or result in costly investigations and sanctions from the FDA and other regulatory bodies if we are deemed to have engaged in inappropriate promotion.</w:t>
      </w:r>
    </w:p>
    <w:p>
      <w:pPr>
        <w:spacing w:after="0" w:line="21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BAROSTIM NEO has been indicated for the improvement of symptoms of HFrEF by the FDA and EEA. We may only promote or market BAROSTIM NEO for its specifically approved indications as described on the approved label. We train our marketing and sales force against promoting our products for uses outside of the approved indications for use, known as “off-label uses.” We cannot, however, prevent a physician from using our product off-label when, in the physician’s independent professional medical judgment, he or she deems appropriate. There may be increased risk of injury to patients if physicians attempt to use our product off-label. Furthermore, the use of our product for indications other than those approved by the applicable regulatory body may not effectively treat such conditions, which could harm our reputation in the marketplace among physicians and patients.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Physicians may also misuse our product or use improper techniques, potentially leading to injury and an increased risk of product liability. If our product is misused or used with improper technique, we may become subject to costly product liability claims or other litigation by our customers or their patients. In addition, if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inappropriate promotion, including promotion of an off-label use, which could result in significant penalties, including, but not limited to, criminal, civil and/or administrative penalties, damages, fines, disgorgement, exclusion from participation in government healthcare programs, and the curtailment of our operations. Any of these events could significantly harm our business and results of operations and cause our stock price to decline.</w:t>
      </w:r>
    </w:p>
    <w:p>
      <w:pPr>
        <w:spacing w:after="0" w:line="207"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Further, the advertising and promotion of our products is subject to EEA Member State laws implementing Directive 93/42/EEC concerning Medical Devices (the “EU Medical Devices Directive”),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16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b w:val="1"/>
          <w:bCs w:val="1"/>
          <w:i w:val="1"/>
          <w:iCs w:val="1"/>
          <w:color w:val="231F20"/>
        </w:rPr>
        <w:t>The discovery of serious safety issues with BAROSTIM NEO, or a recall of BAROSTIM NEO either voluntarily or at the direction of the FDA or another governmental authority, could harm our reputation, business and financial results.</w:t>
      </w:r>
    </w:p>
    <w:p>
      <w:pPr>
        <w:spacing w:after="0" w:line="216"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The FDA, the competent authorities of the EEA and similar foreign governmental authorities have the authority to require the recall of commercialized products in the event of material deficiencies or defects in design or manufacture that could affect patient safety or in the event that a product poses an unacceptable risk to health. In the case of the FDA, the authority to require a recall must be based on an FDA finding that there is a reasonable probability that the device would cause serious adverse health consequences or death. We may also choose to conduct a product notification or recall to inform physicians of changes to instructions for use, or if a deficiency in a device is found or suspected. A government-mandated recall or voluntary recall by us or one of our distributors could occur as a result of an unacceptable risk to health, component failures, malfunctions, manufacturing errors, design or labeling defects, packaging defects or failures to comply with applicable regulations. Product defects or other errors may occur in the future. Recalls, which include certain notifications and corrections as well as removals, of BAROSTIM NEO could divert managerial and financial resources and could have an adverse effect on our financial condition, harm our reputation, and reduce our ability to achieve expected revenue.</w:t>
      </w:r>
    </w:p>
    <w:p>
      <w:pPr>
        <w:spacing w:after="0" w:line="206"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the manufacturing of our products is subject to extensive post-market regulation by the FDA and foreign regulatory authorities, and any failure by us or our contract manufacturers or suppliers to comply with regulatory requirements could result in recalls, facility closures and other penalties. We and our suppliers and contract manufacturers are subject to the FDA’s Quality System Regulation, and comparable foreign regulations which govern the methods used in, and the facilities and controls used for, the design, manufacture, quality assurance, labeling, packaging, sterilization, storage, shipping and servicing of medical devices. These regulations are enforced through periodic inspections of manufacturing facilities. Any manufacturing issues at our or our suppliers’ or contract manufacturers’ facilities, including failure to comply with regulatory requirements, may result in warning or untitled letters, manufacturing restrictions, voluntary or mandatory recalls or corrections, fines, withdrawals of regulatory clearances or approvals, product seizures,</w:t>
      </w:r>
    </w:p>
    <w:p>
      <w:pPr>
        <w:sectPr>
          <w:pgSz w:w="11900" w:h="16838" w:orient="portrait"/>
          <w:cols w:equalWidth="0" w:num="1">
            <w:col w:w="9019"/>
          </w:cols>
          <w:pgMar w:left="1440" w:top="517"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231F20"/>
        </w:rPr>
        <w:t>injunctions or the imposition of civil or criminal penalties, which would adversely affect our business results and prospects.</w:t>
      </w:r>
    </w:p>
    <w:p>
      <w:pPr>
        <w:spacing w:after="0" w:line="197"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Depending on the corrective action we take to redress a product’s deficiencies or defects, the FDA may require, or we may decide, that we will need to obtain new approvals for the device before we may market or distribute the corrected device. Seeking such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6"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61" w:lineRule="exact"/>
        <w:rPr>
          <w:sz w:val="20"/>
          <w:szCs w:val="20"/>
          <w:color w:val="auto"/>
        </w:rPr>
      </w:pPr>
    </w:p>
    <w:p>
      <w:pPr>
        <w:ind w:left="60" w:right="179"/>
        <w:spacing w:after="0" w:line="233" w:lineRule="auto"/>
        <w:rPr>
          <w:sz w:val="20"/>
          <w:szCs w:val="20"/>
          <w:color w:val="auto"/>
        </w:rPr>
      </w:pPr>
      <w:r>
        <w:rPr>
          <w:rFonts w:ascii="Arial" w:cs="Arial" w:eastAsia="Arial" w:hAnsi="Arial"/>
          <w:sz w:val="18"/>
          <w:szCs w:val="18"/>
          <w:b w:val="1"/>
          <w:bCs w:val="1"/>
          <w:i w:val="1"/>
          <w:iCs w:val="1"/>
          <w:color w:val="231F20"/>
        </w:rPr>
        <w:t>Our products may cause or contribute to adverse medical events or be subject to failures or malfunctions that we are required to report to the FDA and European regulators, and if we fail to do so, we would be subject to sanctions that could harm our reputation, business, financial condition and results of operations.</w:t>
      </w:r>
    </w:p>
    <w:p>
      <w:pPr>
        <w:spacing w:after="0" w:line="217"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Under the FDA medical device reporting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EU Medical Devices Directive (Directive 93/42/EEC),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European regulators could take action, including warning letters, untitled letters, administrative actions, criminal prosecution, imposition of civil monetary penalties, revocation of our device approval, seizure of our products or delay in clearance or approval of future products.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99"/>
        <w:spacing w:after="0" w:line="230" w:lineRule="auto"/>
        <w:rPr>
          <w:sz w:val="20"/>
          <w:szCs w:val="20"/>
          <w:color w:val="auto"/>
        </w:rPr>
      </w:pPr>
      <w:r>
        <w:rPr>
          <w:rFonts w:ascii="Arial" w:cs="Arial" w:eastAsia="Arial" w:hAnsi="Arial"/>
          <w:sz w:val="18"/>
          <w:szCs w:val="18"/>
          <w:b w:val="1"/>
          <w:bCs w:val="1"/>
          <w:i w:val="1"/>
          <w:iCs w:val="1"/>
          <w:color w:val="231F20"/>
        </w:rPr>
        <w:t>We are subject to certain federal, state and foreign fraud and abuse laws, health information privacy and security laws and transparency laws and regulations, which, if violated, could subject us to substantial penalties. Additionally, any challenge to or investigation into our practices under these laws and regulations could cause adverse publicity and be costly to respond to, and thus could harm our business.</w:t>
      </w:r>
    </w:p>
    <w:p>
      <w:pPr>
        <w:spacing w:after="0" w:line="218"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In the U.S., the laws that may affect our ability to operate include, but are not limited to:</w:t>
      </w:r>
    </w:p>
    <w:p>
      <w:pPr>
        <w:spacing w:after="0" w:line="206" w:lineRule="exact"/>
        <w:rPr>
          <w:sz w:val="20"/>
          <w:szCs w:val="20"/>
          <w:color w:val="auto"/>
        </w:rPr>
      </w:pPr>
    </w:p>
    <w:p>
      <w:pPr>
        <w:ind w:left="380" w:right="13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federal civil and criminal false claims laws and civil monetary penalty laws, including civil whistleblower or qui tam actions, that prohibit,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98" w:lineRule="exact"/>
        <w:rPr>
          <w:rFonts w:ascii="Arial" w:cs="Arial" w:eastAsia="Arial" w:hAnsi="Arial"/>
          <w:sz w:val="18"/>
          <w:szCs w:val="18"/>
          <w:color w:val="231F20"/>
        </w:rPr>
      </w:pPr>
    </w:p>
    <w:p>
      <w:pPr>
        <w:ind w:left="380" w:right="299" w:hanging="127"/>
        <w:spacing w:after="0" w:line="269"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98" w:lineRule="exact"/>
        <w:rPr>
          <w:rFonts w:ascii="Arial" w:cs="Arial" w:eastAsia="Arial" w:hAnsi="Arial"/>
          <w:sz w:val="18"/>
          <w:szCs w:val="18"/>
          <w:color w:val="231F20"/>
        </w:rPr>
      </w:pPr>
    </w:p>
    <w:p>
      <w:pPr>
        <w:ind w:left="380" w:right="239" w:hanging="127"/>
        <w:spacing w:after="0" w:line="269"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the federal Health Insurance Portability and Accountability Act of 1996 (“HIPAA”), which created federal criminal laws that prohibit executing a scheme to defraud any healthcare benefit program or making false statements relating to healthcare matters. Similar to the Anti-Kickback Statute, a person or entity does not need to have actual knowledge of these statutes or specific intent to violate them;</w:t>
      </w:r>
    </w:p>
    <w:p>
      <w:pPr>
        <w:spacing w:after="0" w:line="98" w:lineRule="exact"/>
        <w:rPr>
          <w:rFonts w:ascii="Arial" w:cs="Arial" w:eastAsia="Arial" w:hAnsi="Arial"/>
          <w:sz w:val="18"/>
          <w:szCs w:val="18"/>
          <w:color w:val="231F20"/>
        </w:rPr>
      </w:pPr>
    </w:p>
    <w:p>
      <w:pPr>
        <w:ind w:left="380" w:right="119" w:hanging="127"/>
        <w:spacing w:after="0" w:line="268" w:lineRule="auto"/>
        <w:tabs>
          <w:tab w:leader="none" w:pos="38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HIPAA, as amended by the Health Information Technology for Economic and Clinical Health Act of 2009,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96" w:lineRule="exact"/>
        <w:rPr>
          <w:rFonts w:ascii="Arial" w:cs="Arial" w:eastAsia="Arial" w:hAnsi="Arial"/>
          <w:sz w:val="18"/>
          <w:szCs w:val="18"/>
          <w:color w:val="231F20"/>
        </w:rPr>
      </w:pPr>
    </w:p>
    <w:p>
      <w:pPr>
        <w:jc w:val="both"/>
        <w:ind w:left="380" w:right="559" w:hanging="127"/>
        <w:spacing w:after="0" w:line="281" w:lineRule="auto"/>
        <w:tabs>
          <w:tab w:leader="none" w:pos="380" w:val="left"/>
        </w:tabs>
        <w:numPr>
          <w:ilvl w:val="0"/>
          <w:numId w:val="36"/>
        </w:numPr>
        <w:rPr>
          <w:rFonts w:ascii="Arial" w:cs="Arial" w:eastAsia="Arial" w:hAnsi="Arial"/>
          <w:sz w:val="17"/>
          <w:szCs w:val="17"/>
          <w:color w:val="231F20"/>
        </w:rPr>
      </w:pPr>
      <w:r>
        <w:rPr>
          <w:rFonts w:ascii="Arial" w:cs="Arial" w:eastAsia="Arial" w:hAnsi="Arial"/>
          <w:sz w:val="17"/>
          <w:szCs w:val="17"/>
          <w:color w:val="231F20"/>
        </w:rPr>
        <w:t>the federal physician sunshine requirements under the Patient Protection and Affordable Care Act as amended by the Health Care and Education Reconciliation Act (collectively, the “ACA”), which require certain manufacturers of drugs, devices, biologics and medical supplies to report annually to the U.S.</w:t>
      </w:r>
    </w:p>
    <w:p>
      <w:pPr>
        <w:spacing w:after="0" w:line="1" w:lineRule="exact"/>
        <w:rPr>
          <w:rFonts w:ascii="Arial" w:cs="Arial" w:eastAsia="Arial" w:hAnsi="Arial"/>
          <w:sz w:val="17"/>
          <w:szCs w:val="17"/>
          <w:color w:val="231F20"/>
        </w:rPr>
      </w:pPr>
    </w:p>
    <w:p>
      <w:pPr>
        <w:ind w:left="380" w:right="139"/>
        <w:spacing w:after="0" w:line="294" w:lineRule="auto"/>
        <w:rPr>
          <w:rFonts w:ascii="Arial" w:cs="Arial" w:eastAsia="Arial" w:hAnsi="Arial"/>
          <w:sz w:val="17"/>
          <w:szCs w:val="17"/>
          <w:color w:val="231F20"/>
        </w:rPr>
      </w:pPr>
      <w:r>
        <w:rPr>
          <w:rFonts w:ascii="Arial" w:cs="Arial" w:eastAsia="Arial" w:hAnsi="Arial"/>
          <w:sz w:val="17"/>
          <w:szCs w:val="17"/>
          <w:color w:val="231F20"/>
        </w:rPr>
        <w:t>Department of Health and Human Services information related to payments and other transfers of value to physicians (defined to include doctors, dentists, optometrists, podiatrists and chiropractors) and teaching hospitals, and ownership and investment interests held by physicians and their immediate family members;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right="79" w:hanging="127"/>
        <w:spacing w:after="0" w:line="236" w:lineRule="auto"/>
        <w:tabs>
          <w:tab w:leader="none" w:pos="380" w:val="left"/>
        </w:tabs>
        <w:numPr>
          <w:ilvl w:val="0"/>
          <w:numId w:val="37"/>
        </w:numPr>
        <w:rPr>
          <w:rFonts w:ascii="Arial" w:cs="Arial" w:eastAsia="Arial" w:hAnsi="Arial"/>
          <w:sz w:val="18"/>
          <w:szCs w:val="18"/>
          <w:color w:val="231F20"/>
        </w:rPr>
      </w:pPr>
      <w:r>
        <w:rPr>
          <w:rFonts w:ascii="Arial" w:cs="Arial" w:eastAsia="Arial" w:hAnsi="Arial"/>
          <w:sz w:val="18"/>
          <w:szCs w:val="18"/>
          <w:color w:val="231F20"/>
        </w:rPr>
        <w:t>state and foreign law equivalents of each of the above federal laws, such as state anti-kickback and false claims laws that may apply to items or services reimbursed by any third-party payor,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w:t>
      </w:r>
    </w:p>
    <w:p>
      <w:pPr>
        <w:spacing w:after="0" w:line="139" w:lineRule="exact"/>
        <w:rPr>
          <w:sz w:val="20"/>
          <w:szCs w:val="20"/>
          <w:color w:val="auto"/>
        </w:rPr>
      </w:pPr>
    </w:p>
    <w:p>
      <w:pPr>
        <w:ind w:left="60" w:right="159"/>
        <w:spacing w:after="0" w:line="268" w:lineRule="auto"/>
        <w:rPr>
          <w:sz w:val="20"/>
          <w:szCs w:val="20"/>
          <w:color w:val="auto"/>
        </w:rPr>
      </w:pPr>
      <w:r>
        <w:rPr>
          <w:rFonts w:ascii="Arial" w:cs="Arial" w:eastAsia="Arial" w:hAnsi="Arial"/>
          <w:sz w:val="18"/>
          <w:szCs w:val="18"/>
          <w:color w:val="231F20"/>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206" w:lineRule="exact"/>
        <w:rPr>
          <w:sz w:val="20"/>
          <w:szCs w:val="20"/>
          <w:color w:val="auto"/>
        </w:rPr>
      </w:pPr>
    </w:p>
    <w:p>
      <w:pPr>
        <w:ind w:left="60" w:right="59"/>
        <w:spacing w:after="0" w:line="266" w:lineRule="auto"/>
        <w:rPr>
          <w:sz w:val="20"/>
          <w:szCs w:val="20"/>
          <w:color w:val="auto"/>
        </w:rPr>
      </w:pPr>
      <w:r>
        <w:rPr>
          <w:rFonts w:ascii="Arial" w:cs="Arial" w:eastAsia="Arial" w:hAnsi="Arial"/>
          <w:sz w:val="18"/>
          <w:szCs w:val="18"/>
          <w:color w:val="231F20"/>
        </w:rPr>
        <w:t>The scope and enforcement of each of these laws is uncertain and subject to rapid change in the current environment of healthcare reform, especially in light of the lack of applicable precedent and regulations. Federal and state enforcement bodies continue to increase their scrutiny of interactions between healthcare companies and healthcare providers. The Office of the Inspector General of the Department of Health and Human Services also has issued compliance program guidance for pharmaceutical manufacturers which is routinely applied to medical device companies. All of this has led to a number of investigations, prosecutions, convictions and settlements in the healthcare industry, including for medical device companies. Responding to investigations can be time and resource 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 If our operations are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Healthcare legislative reform measures may have a material adverse effect on us.</w:t>
      </w:r>
    </w:p>
    <w:p>
      <w:pPr>
        <w:spacing w:after="0" w:line="247" w:lineRule="exact"/>
        <w:rPr>
          <w:sz w:val="20"/>
          <w:szCs w:val="20"/>
          <w:color w:val="auto"/>
        </w:rPr>
      </w:pPr>
    </w:p>
    <w:p>
      <w:pPr>
        <w:ind w:left="60" w:right="79"/>
        <w:spacing w:after="0" w:line="268" w:lineRule="auto"/>
        <w:rPr>
          <w:sz w:val="20"/>
          <w:szCs w:val="20"/>
          <w:color w:val="auto"/>
        </w:rPr>
      </w:pPr>
      <w:r>
        <w:rPr>
          <w:rFonts w:ascii="Arial" w:cs="Arial" w:eastAsia="Arial" w:hAnsi="Arial"/>
          <w:sz w:val="18"/>
          <w:szCs w:val="18"/>
          <w:color w:val="231F20"/>
        </w:rPr>
        <w:t>In March 2010, the ACA was signed into law, which incorporates, among other things, comparative effectiveness research, an independent payment advisory board and payment system reforms, including shared savings pilots and other provisions, may significantly affect the payment for, and the availability of, healthcare services and result in fundamental changes to federal healthcare reimbursement programs, any of which may materially affect numerous aspects of our business.</w:t>
      </w:r>
    </w:p>
    <w:p>
      <w:pPr>
        <w:spacing w:after="0" w:line="208"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Additionally, on April 5, 2017, the European Parliament passed the Medical Devices Regulation (Regulation 2017/745),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the EEA member state laws implementing them), in all EEA member states and are intended to eliminate current differences in the regulation of medical devices among the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Medical Devices Regulation became applicable in May 2020 and, among other things:</w:t>
      </w:r>
    </w:p>
    <w:p>
      <w:pPr>
        <w:spacing w:after="0" w:line="212" w:lineRule="exact"/>
        <w:rPr>
          <w:sz w:val="20"/>
          <w:szCs w:val="20"/>
          <w:color w:val="auto"/>
        </w:rPr>
      </w:pPr>
    </w:p>
    <w:p>
      <w:pPr>
        <w:ind w:left="540" w:right="679" w:hanging="139"/>
        <w:spacing w:after="0" w:line="246"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strengthened the rules on placing devices on the market and reinforced surveillance once they are available;</w:t>
      </w:r>
    </w:p>
    <w:p>
      <w:pPr>
        <w:spacing w:after="0" w:line="102" w:lineRule="exact"/>
        <w:rPr>
          <w:rFonts w:ascii="Arial" w:cs="Arial" w:eastAsia="Arial" w:hAnsi="Arial"/>
          <w:sz w:val="18"/>
          <w:szCs w:val="18"/>
          <w:color w:val="231F20"/>
        </w:rPr>
      </w:pPr>
    </w:p>
    <w:p>
      <w:pPr>
        <w:ind w:left="540" w:right="95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established explicit provisions on manufacturers’ responsibilities for the follow-up of the quality, performance and safety of devices placed on the market;</w:t>
      </w:r>
    </w:p>
    <w:p>
      <w:pPr>
        <w:spacing w:after="0" w:line="89" w:lineRule="exact"/>
        <w:rPr>
          <w:rFonts w:ascii="Arial" w:cs="Arial" w:eastAsia="Arial" w:hAnsi="Arial"/>
          <w:sz w:val="18"/>
          <w:szCs w:val="18"/>
          <w:color w:val="231F20"/>
        </w:rPr>
      </w:pPr>
    </w:p>
    <w:p>
      <w:pPr>
        <w:ind w:left="540" w:right="67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improved the traceability of medical devices throughout the supply chain to the end-user or patient through a unique identification number;</w:t>
      </w:r>
    </w:p>
    <w:p>
      <w:pPr>
        <w:spacing w:after="0" w:line="89" w:lineRule="exact"/>
        <w:rPr>
          <w:rFonts w:ascii="Arial" w:cs="Arial" w:eastAsia="Arial" w:hAnsi="Arial"/>
          <w:sz w:val="18"/>
          <w:szCs w:val="18"/>
          <w:color w:val="231F20"/>
        </w:rPr>
      </w:pPr>
    </w:p>
    <w:p>
      <w:pPr>
        <w:ind w:left="540" w:right="7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89" w:lineRule="exact"/>
        <w:rPr>
          <w:rFonts w:ascii="Arial" w:cs="Arial" w:eastAsia="Arial" w:hAnsi="Arial"/>
          <w:sz w:val="18"/>
          <w:szCs w:val="18"/>
          <w:color w:val="231F20"/>
        </w:rPr>
      </w:pPr>
    </w:p>
    <w:p>
      <w:pPr>
        <w:ind w:left="540" w:right="219" w:hanging="139"/>
        <w:spacing w:after="0" w:line="277" w:lineRule="auto"/>
        <w:tabs>
          <w:tab w:leader="none" w:pos="54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strengthened rules for the assessment of certain high-risk devices, such as implants, which may have to undergo an additional check by experts before they are placed on the market.</w:t>
      </w:r>
    </w:p>
    <w:p>
      <w:pPr>
        <w:spacing w:after="0" w:line="11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231F20"/>
        </w:rPr>
        <w:t>This regulation has not yet had a material effect on the way we conduct our business in the EEA. However, it is possible the regulation will change in the future and we cannot be certain that future changes will not have an adverse effect on our business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231F20"/>
        </w:rPr>
        <w:t>Risks related to our common stock</w:t>
      </w:r>
    </w:p>
    <w:p>
      <w:pPr>
        <w:spacing w:after="0" w:line="21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231F20"/>
        </w:rPr>
        <w:t>We are incurring and will incur significantly increased costs as a result of being a public company, and our management is required to devote substantial time to compliance with our public company responsibilities, which may adversely affect our business, financial condition and results of operations.</w:t>
      </w:r>
    </w:p>
    <w:p>
      <w:pPr>
        <w:spacing w:after="0" w:line="187"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that we did not incur as a private company. For example, we are now subject to the reporting requirements of the Exchange Act and must comply with the applicable requirements of the Sarbanes-Oxley Act of 2002 (the “Sarbanes-Oxley Act”), and the Dodd-Frank Wall Street Reform and Consumer Protection Act, as well as rules and regulations subsequently implemented by the SEC and The Nasdaq Stock Market LLC (“Nasdaq”), including the establishment and maintenance of effective disclosure and financial controls and changes in corporate governance practices. Compliance with these requirements has and will continue to increase our legal and financial compliance costs and make some activities more time consuming and costly, which may adversely affect our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In addition, our management and other personnel must now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 of the Sarbanes-Oxley Act, which will increase when we are no longer an emerging growth company, as defined by the JOBS Act, and are not a non-accelerated filer. We have hired, and will need to continue to hire additional accounting and financial staff with appropriate public company experience and technical accounting knowledge and have established an internal audit function. We cannot predict or estimate the amount of additional costs we may incur as a result of becoming a public company or the timing of such costs. Additional compensation costs and any future equity awards will increase our compensation expense, which would increase our general and administrative expense and could adversely affect our profitability. As a public company, it is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17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We expect that the price of our common stock will fluctuate substantially, and you may not be able to resell shares of our common stock at or above the price you paid.</w:t>
      </w:r>
    </w:p>
    <w:p>
      <w:pPr>
        <w:spacing w:after="0" w:line="189" w:lineRule="exact"/>
        <w:rPr>
          <w:sz w:val="20"/>
          <w:szCs w:val="20"/>
          <w:color w:val="auto"/>
        </w:rPr>
      </w:pPr>
    </w:p>
    <w:p>
      <w:pPr>
        <w:jc w:val="both"/>
        <w:ind w:left="60" w:right="339"/>
        <w:spacing w:after="0" w:line="271" w:lineRule="auto"/>
        <w:rPr>
          <w:sz w:val="20"/>
          <w:szCs w:val="20"/>
          <w:color w:val="auto"/>
        </w:rPr>
      </w:pPr>
      <w:r>
        <w:rPr>
          <w:rFonts w:ascii="Arial" w:cs="Arial" w:eastAsia="Arial" w:hAnsi="Arial"/>
          <w:sz w:val="18"/>
          <w:szCs w:val="18"/>
          <w:color w:val="231F20"/>
        </w:rPr>
        <w:t>The market price of our common stock has been and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540" w:right="55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results from, or any delays in, clinical trial programs relating to our product candidates, including the ongoing and future U.S. clinical trials for BAROSTIM NEO;</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announcements of new products by us or our competitors;</w:t>
      </w:r>
    </w:p>
    <w:p>
      <w:pPr>
        <w:spacing w:after="0" w:line="117" w:lineRule="exact"/>
        <w:rPr>
          <w:rFonts w:ascii="Arial" w:cs="Arial" w:eastAsia="Arial" w:hAnsi="Arial"/>
          <w:sz w:val="18"/>
          <w:szCs w:val="18"/>
          <w:color w:val="231F20"/>
        </w:rPr>
      </w:pPr>
    </w:p>
    <w:p>
      <w:pPr>
        <w:ind w:left="540" w:right="51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adverse actions taken by regulatory agencies with respect to our clinical trials, manufacturing supply chain or sales and marketing activities;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our operating results;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or developments in laws or regulations applicable to our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any adverse changes in our relationship with any manufacturers or suppliers;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success of our efforts to acquire or develop additional products;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any intellectual property infringement actions in which we may become involved;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announcements concerning our competitors or the medical device industry in general;</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achievement of expected product sales and profitability;</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manufacture, supply or distribution shortages;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actual or anticipated fluctuations in our operating results;</w:t>
      </w:r>
    </w:p>
    <w:p>
      <w:pPr>
        <w:spacing w:after="0" w:line="117" w:lineRule="exact"/>
        <w:rPr>
          <w:rFonts w:ascii="Arial" w:cs="Arial" w:eastAsia="Arial" w:hAnsi="Arial"/>
          <w:sz w:val="18"/>
          <w:szCs w:val="18"/>
          <w:color w:val="231F20"/>
        </w:rPr>
      </w:pPr>
    </w:p>
    <w:p>
      <w:pPr>
        <w:ind w:left="540" w:right="479" w:hanging="139"/>
        <w:spacing w:after="0" w:line="277" w:lineRule="auto"/>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FDA or other U.S. or foreign regulatory actions affecting us or our industry or other healthcare reform measures in the U.S.;</w:t>
      </w:r>
    </w:p>
    <w:p>
      <w:pPr>
        <w:spacing w:after="0" w:line="75"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changes in financial estimates or recommendations by securities analysts;</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trading volume of our common stock;</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sales of our common stock by us, our executive officers and directors or our stockholders in the future;</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general economic and market conditions and overall fluctuations in the U.S. equity markets; and</w:t>
      </w:r>
    </w:p>
    <w:p>
      <w:pPr>
        <w:spacing w:after="0" w:line="103" w:lineRule="exact"/>
        <w:rPr>
          <w:rFonts w:ascii="Arial" w:cs="Arial" w:eastAsia="Arial" w:hAnsi="Arial"/>
          <w:sz w:val="18"/>
          <w:szCs w:val="18"/>
          <w:color w:val="231F20"/>
        </w:rPr>
      </w:pPr>
    </w:p>
    <w:p>
      <w:pPr>
        <w:ind w:left="540" w:hanging="139"/>
        <w:spacing w:after="0"/>
        <w:tabs>
          <w:tab w:leader="none" w:pos="540" w:val="left"/>
        </w:tabs>
        <w:numPr>
          <w:ilvl w:val="0"/>
          <w:numId w:val="39"/>
        </w:numPr>
        <w:rPr>
          <w:rFonts w:ascii="Arial" w:cs="Arial" w:eastAsia="Arial" w:hAnsi="Arial"/>
          <w:sz w:val="18"/>
          <w:szCs w:val="18"/>
          <w:color w:val="231F20"/>
        </w:rPr>
      </w:pPr>
      <w:r>
        <w:rPr>
          <w:rFonts w:ascii="Arial" w:cs="Arial" w:eastAsia="Arial" w:hAnsi="Arial"/>
          <w:sz w:val="18"/>
          <w:szCs w:val="18"/>
          <w:color w:val="231F20"/>
        </w:rPr>
        <w:t>the loss of any of our key scientific or management personnel.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In addition, the stock markets in general, and the markets for medical device stocks in particular, have experienced volatility that may have been unrelated to the operating performance of the issuer. These broad market fluctuations may adversely affect the trading price or liquidity of our common stock. In the past, when the market price of a stock has been volatile or decreases significantly,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7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231F20"/>
        </w:rPr>
        <w:t>We have broad discretion to determine how to use the funds raised in the IPO and may use them in ways that may not enhance our operating results or the price of our common stock.</w:t>
      </w:r>
    </w:p>
    <w:p>
      <w:pPr>
        <w:spacing w:after="0" w:line="189" w:lineRule="exact"/>
        <w:rPr>
          <w:sz w:val="20"/>
          <w:szCs w:val="20"/>
          <w:color w:val="auto"/>
        </w:rPr>
      </w:pPr>
    </w:p>
    <w:p>
      <w:pPr>
        <w:ind w:left="60" w:right="99"/>
        <w:spacing w:after="0" w:line="268" w:lineRule="auto"/>
        <w:rPr>
          <w:sz w:val="20"/>
          <w:szCs w:val="20"/>
          <w:color w:val="auto"/>
        </w:rPr>
      </w:pPr>
      <w:r>
        <w:rPr>
          <w:rFonts w:ascii="Arial" w:cs="Arial" w:eastAsia="Arial" w:hAnsi="Arial"/>
          <w:sz w:val="18"/>
          <w:szCs w:val="18"/>
          <w:color w:val="231F20"/>
        </w:rPr>
        <w:t>Our management has broad discretion over the use of proceeds from the IPO, and we could spend them in ways our stockholders may not agree with or that do not yield a favorable return, if at all. We currently expect to use the net proceeds from the IPO to continue funding the expansion of our direct sales force and commercial organization related to BAROSTIM NEO in the U.S., research and development activities related to BAROSTIM Therapy and working capital and general corporate purposes. If we do not invest or apply the proceeds of the IPO in ways that improve our operating results, we may fail to achieve expected financial results, which could cause our stock price to decline.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An active trading market for our shares of common stock may not be sustained.</w:t>
      </w:r>
    </w:p>
    <w:p>
      <w:pPr>
        <w:spacing w:after="0" w:line="247" w:lineRule="exact"/>
        <w:rPr>
          <w:sz w:val="20"/>
          <w:szCs w:val="20"/>
          <w:color w:val="auto"/>
        </w:rPr>
      </w:pPr>
    </w:p>
    <w:p>
      <w:pPr>
        <w:ind w:left="60" w:right="119"/>
        <w:spacing w:after="0" w:line="267" w:lineRule="auto"/>
        <w:rPr>
          <w:sz w:val="20"/>
          <w:szCs w:val="20"/>
          <w:color w:val="auto"/>
        </w:rPr>
      </w:pPr>
      <w:r>
        <w:rPr>
          <w:rFonts w:ascii="Arial" w:cs="Arial" w:eastAsia="Arial" w:hAnsi="Arial"/>
          <w:sz w:val="18"/>
          <w:szCs w:val="18"/>
          <w:color w:val="231F20"/>
        </w:rPr>
        <w:t>Our common stock began trading on June 30, 2021 and has a limited trading history upon which to assess whether an active public market for our shares may be sustained. The lack of an active market may impair the value of your shares or your ability to sell your shares at the time you wish to sell them or at a price that you consider reasonable. An inactive market may also impair our ability to raise capital by selling shares and may impair our ability to acquire other businesses or technologies or in-license new product candidates using our shares as consideration. Furthermore, there can be no guarantee that we will continue to satisfy the continued listing standards of Nasdaq. If we fail to satisfy these listing standards, we could be de-listed, which would have a negative effect on the price of our common stock.</w:t>
      </w:r>
    </w:p>
    <w:p>
      <w:pPr>
        <w:spacing w:after="0" w:line="17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i w:val="1"/>
          <w:iCs w:val="1"/>
          <w:color w:val="231F20"/>
        </w:rPr>
        <w:t>Securities analysts may not publish favorable research or reports about our business or may publish no information at all, which could cause our stock price and trading volume to decline.</w:t>
      </w:r>
    </w:p>
    <w:p>
      <w:pPr>
        <w:spacing w:after="0" w:line="189"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If no or few securities or industry analysts cover us, the trading price for our stock would be negatively impacted. If any of the analysts who cover us issues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204"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decline or be more volatile. We may take advantage of these reporting exemptions until we are no longer an emerging growth company. We will remain an emerging growth company until the earliest of (1) the last day of the fiscal year (a) following the fifth anniversary of the completion of the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2"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financial statements may not be directly comparable to other public companies.</w:t>
      </w:r>
    </w:p>
    <w:p>
      <w:pPr>
        <w:spacing w:after="0" w:line="204" w:lineRule="exact"/>
        <w:rPr>
          <w:sz w:val="20"/>
          <w:szCs w:val="20"/>
          <w:color w:val="auto"/>
        </w:rPr>
      </w:pPr>
    </w:p>
    <w:p>
      <w:pPr>
        <w:ind w:left="60" w:right="199"/>
        <w:spacing w:after="0" w:line="267" w:lineRule="auto"/>
        <w:rPr>
          <w:sz w:val="20"/>
          <w:szCs w:val="20"/>
          <w:color w:val="auto"/>
        </w:rPr>
      </w:pPr>
      <w:r>
        <w:rPr>
          <w:rFonts w:ascii="Arial" w:cs="Arial" w:eastAsia="Arial" w:hAnsi="Arial"/>
          <w:sz w:val="18"/>
          <w:szCs w:val="18"/>
          <w:color w:val="231F20"/>
        </w:rPr>
        <w:t>Pursuant to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financial statements and the reported results of operations contained therein may not be directly comparable to those of other public companies.</w:t>
      </w:r>
    </w:p>
    <w:p>
      <w:pPr>
        <w:spacing w:after="0" w:line="17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231F20"/>
        </w:rPr>
        <w:t>If we are unable to maintain effective internal control over financial reporting in the future, investors may lose confidence in the accuracy and completeness of our financial reports and the market price of our common stock could be adversely affected.</w:t>
      </w:r>
    </w:p>
    <w:p>
      <w:pPr>
        <w:spacing w:after="0" w:line="204"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color w:val="231F20"/>
        </w:rPr>
        <w:t>To comply with the requirements of being a public company, we are undertaking and expect to continue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have developed and expect to continue to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Section 404 of the Sarbanes-Oxley Act requires that we evaluate and determine the effectiveness of our internal control over financial reporting and, beginning with our second annual report following the IPO, which will be for our fiscal year ending December 31, 2022, provide a management report on internal control over financial reporting. The Sarbanes-Oxley Act also requires that our management report on internal control over financial reporting be attested to by our independent registered public accounting firm,</w:t>
      </w:r>
    </w:p>
    <w:p>
      <w:pPr>
        <w:sectPr>
          <w:pgSz w:w="11900" w:h="16838" w:orient="portrait"/>
          <w:cols w:equalWidth="0" w:num="1">
            <w:col w:w="9019"/>
          </w:cols>
          <w:pgMar w:left="1440" w:top="517"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199"/>
        <w:spacing w:after="0" w:line="269" w:lineRule="auto"/>
        <w:rPr>
          <w:sz w:val="20"/>
          <w:szCs w:val="20"/>
          <w:color w:val="auto"/>
        </w:rPr>
      </w:pPr>
      <w:r>
        <w:rPr>
          <w:rFonts w:ascii="Arial" w:cs="Arial" w:eastAsia="Arial" w:hAnsi="Arial"/>
          <w:sz w:val="18"/>
          <w:szCs w:val="18"/>
          <w:color w:val="231F20"/>
        </w:rPr>
        <w:t>to the extent we are no longer an “emerging growth company,” as defined by the JOBS Act, and are not a non-accelerated filer. We do not expect to have our independent registered public accounting firm attest to our management report on internal control over financial reporting for so long as we are an emerging growth company.</w:t>
      </w:r>
    </w:p>
    <w:p>
      <w:pPr>
        <w:spacing w:after="0" w:line="206"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231F20"/>
        </w:rPr>
        <w:t>Our current controls and any new controls that we develop may become inadequate and weaknesses in our internal control over financial reporting may be discovered in the future. If we fail to develop and maintain effective internal control over financial reporting, we may not detect errors on a timely basis and our financial statements may be materially misstated. We have designed and implemented and expect to continue to refine the internal control over financial reporting required to comply with this obligation, which process will be time consuming, costly and complicated.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or if our internal control over financial reporting is perceived as inadequate or we are unable to produce timely or accurate financial statements, investors may lose confidence in the accuracy and completeness of our financial reports and the market price of our common stock could decline, and we could become subject to investigations or removal by the stock exchange on which our securities are listed, the SEC, or other regulatory authorities, which could require additional financial and management resources.</w:t>
      </w:r>
    </w:p>
    <w:p>
      <w:pPr>
        <w:spacing w:after="0" w:line="168" w:lineRule="exact"/>
        <w:rPr>
          <w:sz w:val="20"/>
          <w:szCs w:val="20"/>
          <w:color w:val="auto"/>
        </w:rPr>
      </w:pPr>
    </w:p>
    <w:p>
      <w:pPr>
        <w:ind w:left="60" w:right="1379"/>
        <w:spacing w:after="0" w:line="256" w:lineRule="auto"/>
        <w:rPr>
          <w:sz w:val="20"/>
          <w:szCs w:val="20"/>
          <w:color w:val="auto"/>
        </w:rPr>
      </w:pPr>
      <w:r>
        <w:rPr>
          <w:rFonts w:ascii="Arial" w:cs="Arial" w:eastAsia="Arial" w:hAnsi="Arial"/>
          <w:sz w:val="18"/>
          <w:szCs w:val="18"/>
          <w:b w:val="1"/>
          <w:bCs w:val="1"/>
          <w:i w:val="1"/>
          <w:iCs w:val="1"/>
          <w:color w:val="231F20"/>
        </w:rPr>
        <w:t>If we sell shares of our common stock in future financings, stockholders may experience immediate dilution and, as a result, our stock price may decline.</w:t>
      </w:r>
    </w:p>
    <w:p>
      <w:pPr>
        <w:spacing w:after="0" w:line="201" w:lineRule="exact"/>
        <w:rPr>
          <w:sz w:val="20"/>
          <w:szCs w:val="20"/>
          <w:color w:val="auto"/>
        </w:rPr>
      </w:pPr>
    </w:p>
    <w:p>
      <w:pPr>
        <w:ind w:left="60" w:right="199"/>
        <w:spacing w:after="0" w:line="287" w:lineRule="auto"/>
        <w:rPr>
          <w:sz w:val="20"/>
          <w:szCs w:val="20"/>
          <w:color w:val="auto"/>
        </w:rPr>
      </w:pPr>
      <w:r>
        <w:rPr>
          <w:rFonts w:ascii="Arial" w:cs="Arial" w:eastAsia="Arial" w:hAnsi="Arial"/>
          <w:sz w:val="17"/>
          <w:szCs w:val="17"/>
          <w:color w:val="231F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4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b w:val="1"/>
          <w:bCs w:val="1"/>
          <w:i w:val="1"/>
          <w:iCs w:val="1"/>
          <w:color w:val="231F20"/>
        </w:rPr>
        <w:t>A significant portion of our total outstanding shares are restricted from immediate resale but may be sold into the market in the near future. Sales of a substantial number of shares of our common stock in the public market could cause our stock price to fall.</w:t>
      </w:r>
    </w:p>
    <w:p>
      <w:pPr>
        <w:spacing w:after="0" w:line="216"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231F20"/>
        </w:rPr>
        <w:t>Sales of a substantial number of shares of our common stock in the public market could occur at any time. These sales, or the perception in the market that these sales may occur, could result in a decrease in the market price of our common stock.</w:t>
      </w:r>
    </w:p>
    <w:p>
      <w:pPr>
        <w:spacing w:after="0" w:line="20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231F20"/>
        </w:rPr>
        <w:t>Approximately 20.3 million shares of common stock were outstanding immediately following the IPO. Of these shares, approximately 6.7 million shares of our common stock are freely tradable, without restriction.</w:t>
      </w:r>
    </w:p>
    <w:p>
      <w:pPr>
        <w:spacing w:after="0" w:line="197" w:lineRule="exact"/>
        <w:rPr>
          <w:sz w:val="20"/>
          <w:szCs w:val="20"/>
          <w:color w:val="auto"/>
        </w:rPr>
      </w:pPr>
    </w:p>
    <w:p>
      <w:pPr>
        <w:ind w:left="60" w:right="119"/>
        <w:spacing w:after="0" w:line="268" w:lineRule="auto"/>
        <w:rPr>
          <w:sz w:val="20"/>
          <w:szCs w:val="20"/>
          <w:color w:val="auto"/>
        </w:rPr>
      </w:pPr>
      <w:r>
        <w:rPr>
          <w:rFonts w:ascii="Arial" w:cs="Arial" w:eastAsia="Arial" w:hAnsi="Arial"/>
          <w:sz w:val="18"/>
          <w:szCs w:val="18"/>
          <w:color w:val="231F20"/>
        </w:rPr>
        <w:t>The lock-up agreements pertaining to the IPO will expire on December 26, 2021. After the lock-up agreements expire, up to an additional approximately 13.6 million shares of common stock will be eligible for sale in the public market, approximately 9.9 million of which shares are beneficially owned by current directors, executive officers and other affiliates and may be subject to volume limitations under Rule 144 under the Securities Act. The representatives of the underwriters, however, may, in their sole discretion, permit our officers, directors and other stockholders who are subject to lock-up agreements to sell shares prior to the expiration of the lock-up agreements.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399"/>
        <w:spacing w:after="0" w:line="268" w:lineRule="auto"/>
        <w:rPr>
          <w:sz w:val="20"/>
          <w:szCs w:val="20"/>
          <w:color w:val="auto"/>
        </w:rPr>
      </w:pPr>
      <w:r>
        <w:rPr>
          <w:rFonts w:ascii="Arial" w:cs="Arial" w:eastAsia="Arial" w:hAnsi="Arial"/>
          <w:sz w:val="18"/>
          <w:szCs w:val="18"/>
          <w:color w:val="231F20"/>
        </w:rPr>
        <w:t>In addition, as of September 30, 2021, approximately 2.7 million shares of common stock that are subject to outstanding options and approximately 0.7 million shares of common stock that are subject to outstanding warrants are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206"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color w:val="231F20"/>
        </w:rPr>
        <w:t>After the IPO, the holders of approximately 11.9 million shares of our outstanding common stock became entitled to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purchased by affiliates. We have also registered all shares of common stock that we may issue under our equity compensation plans, which shares can be freely sold in the public market, subject to volume limitations applicable to affiliates and the lock-up agreements referred to above.</w:t>
      </w:r>
    </w:p>
    <w:p>
      <w:pPr>
        <w:spacing w:after="0" w:line="16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b w:val="1"/>
          <w:bCs w:val="1"/>
          <w:i w:val="1"/>
          <w:iCs w:val="1"/>
          <w:color w:val="231F20"/>
        </w:rPr>
        <w:t>Our principal stockholders, management and directors (four of whom are affiliated with our principal stockholders) own a significant percentage of our stock and will be able to exert significant control over matters subject to stockholder approval.</w:t>
      </w:r>
    </w:p>
    <w:p>
      <w:pPr>
        <w:spacing w:after="0" w:line="216"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Immediately following the IPO, our executive officers, directors, holders of 5% or more of our capital stock and their respective affiliates beneficially owned approximately 63% of our outstanding voting stock. Four of our non-employee directors are also affiliated with certain of our principal stockholders. Therefore, even after the IPO these stockholders, if they act together, will have the ability to influence us through this ownership position and matters requiring stockholder approval. For example, these stockholders may be able to control elections of directors, amendments of our organizational documents, or approval of any merger, sale of assets, or other major corporate transaction. The interests of these stockholders may not be the same as or may even conflict with your interests. For example, these stockholders could attempt to delay or prevent a change in control of the Company, even if such change in control would benefit our other stockholders, which could deprive our stockholders of an opportunity to receive a premium for their common stock as part of a sale of the Company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57" w:lineRule="exact"/>
        <w:rPr>
          <w:sz w:val="20"/>
          <w:szCs w:val="20"/>
          <w:color w:val="auto"/>
        </w:rPr>
      </w:pPr>
    </w:p>
    <w:p>
      <w:pPr>
        <w:ind w:left="60" w:right="219"/>
        <w:spacing w:after="0" w:line="233" w:lineRule="auto"/>
        <w:rPr>
          <w:sz w:val="20"/>
          <w:szCs w:val="20"/>
          <w:color w:val="auto"/>
        </w:rPr>
      </w:pPr>
      <w:r>
        <w:rPr>
          <w:rFonts w:ascii="Arial" w:cs="Arial" w:eastAsia="Arial" w:hAnsi="Arial"/>
          <w:sz w:val="18"/>
          <w:szCs w:val="18"/>
          <w:b w:val="1"/>
          <w:bCs w:val="1"/>
          <w:i w:val="1"/>
          <w:iCs w:val="1"/>
          <w:color w:val="231F20"/>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217" w:lineRule="exact"/>
        <w:rPr>
          <w:sz w:val="20"/>
          <w:szCs w:val="20"/>
          <w:color w:val="auto"/>
        </w:rPr>
      </w:pPr>
    </w:p>
    <w:p>
      <w:pPr>
        <w:ind w:left="60" w:right="79"/>
        <w:spacing w:after="0" w:line="267" w:lineRule="auto"/>
        <w:rPr>
          <w:sz w:val="20"/>
          <w:szCs w:val="20"/>
          <w:color w:val="auto"/>
        </w:rPr>
      </w:pPr>
      <w:r>
        <w:rPr>
          <w:rFonts w:ascii="Arial" w:cs="Arial" w:eastAsia="Arial" w:hAnsi="Arial"/>
          <w:sz w:val="18"/>
          <w:szCs w:val="18"/>
          <w:color w:val="231F20"/>
        </w:rPr>
        <w:t>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or any action asserting a claim against us that is governed by the internal affairs doctrine. The exclusive forum provision does not apply to suits brought to enforce any liability or duty created by the Exchange Act or any other claim for which the federal courts have exclusive jurisdiction. Our amended and restated certificate of incorporation also provides that the U.S. federal district courts are the exclusive forum for the resolution of any complaint asserting a cause of action against us or any of our directors, officers, employees or agents and arising under the Securities Act. Any person or entity purchasing or otherwise acquiring any interest in shares of our capital stock shall be deemed to have notice of and to have consented to the provisions of our amended and restated certificate of incorporation described above. Under the Securities Act, federal and state courts have</w:t>
      </w:r>
    </w:p>
    <w:p>
      <w:pPr>
        <w:sectPr>
          <w:pgSz w:w="11900" w:h="16838" w:orient="portrait"/>
          <w:cols w:equalWidth="0" w:num="1">
            <w:col w:w="9019"/>
          </w:cols>
          <w:pgMar w:left="1440" w:top="517" w:right="1440"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68" w:lineRule="exact"/>
        <w:rPr>
          <w:sz w:val="20"/>
          <w:szCs w:val="20"/>
          <w:color w:val="auto"/>
        </w:rPr>
      </w:pPr>
    </w:p>
    <w:p>
      <w:pPr>
        <w:ind w:left="60" w:right="859"/>
        <w:spacing w:after="0" w:line="285" w:lineRule="auto"/>
        <w:rPr>
          <w:sz w:val="20"/>
          <w:szCs w:val="20"/>
          <w:color w:val="auto"/>
        </w:rPr>
      </w:pPr>
      <w:r>
        <w:rPr>
          <w:rFonts w:ascii="Arial" w:cs="Arial" w:eastAsia="Arial" w:hAnsi="Arial"/>
          <w:sz w:val="17"/>
          <w:szCs w:val="17"/>
          <w:b w:val="1"/>
          <w:bCs w:val="1"/>
          <w:i w:val="1"/>
          <w:iCs w:val="1"/>
          <w:color w:val="231F20"/>
        </w:rPr>
        <w:t>Anti-takeover provisions included in our amended and restated certificate of incorporation and amended and restated bylaws, as well as under Delaware law, could discourage a takeover.</w:t>
      </w:r>
    </w:p>
    <w:p>
      <w:pPr>
        <w:spacing w:after="0" w:line="179"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Our amended and restated certificate of incorporation and our amended and restated bylaws contain provisions that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or remove members of our Board of Directors. Because our Board of Directors is responsible for appointing the members of our management team, these provisions could in turn affect any attempt by our stockholders to replace or remove current members of our management team. These include the following provisions that:</w:t>
      </w:r>
    </w:p>
    <w:p>
      <w:pPr>
        <w:spacing w:after="0" w:line="208" w:lineRule="exact"/>
        <w:rPr>
          <w:sz w:val="20"/>
          <w:szCs w:val="20"/>
          <w:color w:val="auto"/>
        </w:rPr>
      </w:pPr>
    </w:p>
    <w:p>
      <w:pPr>
        <w:jc w:val="both"/>
        <w:ind w:left="540" w:right="77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permit our Board of Directors to issue shares of preferred stock, with any rights, preferences and privileges as they may designate, without stockholder approval, which could be used to dilute the ownership of a hostile bidder significantly;</w:t>
      </w:r>
    </w:p>
    <w:p>
      <w:pPr>
        <w:spacing w:after="0" w:line="95" w:lineRule="exact"/>
        <w:rPr>
          <w:rFonts w:ascii="Arial" w:cs="Arial" w:eastAsia="Arial" w:hAnsi="Arial"/>
          <w:sz w:val="18"/>
          <w:szCs w:val="18"/>
          <w:color w:val="231F20"/>
        </w:rPr>
      </w:pPr>
    </w:p>
    <w:p>
      <w:pPr>
        <w:ind w:left="540" w:right="23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the authorized number of directors may be changed only by resolution of our Board of Directors and that a director may only be removed with cause by the affirmative vote of the holders of at least a majority of our outstanding voting stock, voting together as a single class;</w:t>
      </w:r>
    </w:p>
    <w:p>
      <w:pPr>
        <w:spacing w:after="0" w:line="95" w:lineRule="exact"/>
        <w:rPr>
          <w:rFonts w:ascii="Arial" w:cs="Arial" w:eastAsia="Arial" w:hAnsi="Arial"/>
          <w:sz w:val="18"/>
          <w:szCs w:val="18"/>
          <w:color w:val="231F20"/>
        </w:rPr>
      </w:pPr>
    </w:p>
    <w:p>
      <w:pPr>
        <w:jc w:val="both"/>
        <w:ind w:left="540" w:right="359" w:hanging="139"/>
        <w:spacing w:after="0" w:line="308" w:lineRule="auto"/>
        <w:tabs>
          <w:tab w:leader="none" w:pos="540" w:val="left"/>
        </w:tabs>
        <w:numPr>
          <w:ilvl w:val="0"/>
          <w:numId w:val="40"/>
        </w:numPr>
        <w:rPr>
          <w:rFonts w:ascii="Arial" w:cs="Arial" w:eastAsia="Arial" w:hAnsi="Arial"/>
          <w:sz w:val="17"/>
          <w:szCs w:val="17"/>
          <w:color w:val="231F20"/>
        </w:rPr>
      </w:pPr>
      <w:r>
        <w:rPr>
          <w:rFonts w:ascii="Arial" w:cs="Arial" w:eastAsia="Arial" w:hAnsi="Arial"/>
          <w:sz w:val="17"/>
          <w:szCs w:val="17"/>
          <w:color w:val="231F20"/>
        </w:rPr>
        <w:t>provide that all vacancies, including newly created directorships, may, except as otherwise required by law, be filled by the affirmative vote of a majority of directors then in office, even if less than a quorum;</w:t>
      </w:r>
    </w:p>
    <w:p>
      <w:pPr>
        <w:spacing w:after="0" w:line="65" w:lineRule="exact"/>
        <w:rPr>
          <w:rFonts w:ascii="Arial" w:cs="Arial" w:eastAsia="Arial" w:hAnsi="Arial"/>
          <w:sz w:val="17"/>
          <w:szCs w:val="17"/>
          <w:color w:val="231F20"/>
        </w:rPr>
      </w:pPr>
    </w:p>
    <w:p>
      <w:pPr>
        <w:ind w:left="540" w:right="99" w:hanging="139"/>
        <w:spacing w:after="0" w:line="271"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our amended and restated bylaws may only be altered, amended or repealed by our stockholders upon the affirmative vote of a two-thirds majority of the voting power of all of our outstanding voting stock, voting together as a single class;</w:t>
      </w:r>
    </w:p>
    <w:p>
      <w:pPr>
        <w:spacing w:after="0" w:line="95" w:lineRule="exact"/>
        <w:rPr>
          <w:rFonts w:ascii="Arial" w:cs="Arial" w:eastAsia="Arial" w:hAnsi="Arial"/>
          <w:sz w:val="18"/>
          <w:szCs w:val="18"/>
          <w:color w:val="231F20"/>
        </w:rPr>
      </w:pPr>
    </w:p>
    <w:p>
      <w:pPr>
        <w:ind w:left="540" w:right="179" w:hanging="139"/>
        <w:spacing w:after="0" w:line="268"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which may discourage or deter a potential acquiror from conducting a solicitation of proxies to elect the acquiror’s own slate of directors or otherwise attempting to obtain control of our company;</w:t>
      </w:r>
    </w:p>
    <w:p>
      <w:pPr>
        <w:spacing w:after="0" w:line="99" w:lineRule="exact"/>
        <w:rPr>
          <w:rFonts w:ascii="Arial" w:cs="Arial" w:eastAsia="Arial" w:hAnsi="Arial"/>
          <w:sz w:val="18"/>
          <w:szCs w:val="18"/>
          <w:color w:val="231F20"/>
        </w:rPr>
      </w:pPr>
    </w:p>
    <w:p>
      <w:pPr>
        <w:ind w:left="540" w:right="379" w:hanging="139"/>
        <w:spacing w:after="0" w:line="277" w:lineRule="auto"/>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prohibit cumulative voting in the election of directors, which limits the ability of minority stockholders to elect director candidates; and</w:t>
      </w:r>
    </w:p>
    <w:p>
      <w:pPr>
        <w:spacing w:after="0" w:line="89" w:lineRule="exact"/>
        <w:rPr>
          <w:rFonts w:ascii="Arial" w:cs="Arial" w:eastAsia="Arial" w:hAnsi="Arial"/>
          <w:sz w:val="18"/>
          <w:szCs w:val="18"/>
          <w:color w:val="231F20"/>
        </w:rPr>
      </w:pPr>
    </w:p>
    <w:p>
      <w:pPr>
        <w:ind w:left="540" w:hanging="139"/>
        <w:spacing w:after="0"/>
        <w:tabs>
          <w:tab w:leader="none" w:pos="54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provide that special meetings of our stockholders may be called only by the Chairman of the board, the</w:t>
      </w:r>
    </w:p>
    <w:p>
      <w:pPr>
        <w:sectPr>
          <w:pgSz w:w="11900" w:h="16838" w:orient="portrait"/>
          <w:cols w:equalWidth="0" w:num="1">
            <w:col w:w="9019"/>
          </w:cols>
          <w:pgMar w:left="1440" w:top="517"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right="259"/>
        <w:spacing w:after="0" w:line="271" w:lineRule="auto"/>
        <w:rPr>
          <w:sz w:val="20"/>
          <w:szCs w:val="20"/>
          <w:color w:val="auto"/>
        </w:rPr>
      </w:pPr>
      <w:r>
        <w:rPr>
          <w:rFonts w:ascii="Arial" w:cs="Arial" w:eastAsia="Arial" w:hAnsi="Arial"/>
          <w:sz w:val="18"/>
          <w:szCs w:val="18"/>
          <w:color w:val="231F20"/>
        </w:rPr>
        <w:t>Chief Executive Officer, or a majority of the Board of Directors then in office, which may delay the ability of our stockholders to force consideration by our company of a take-over proposal or to take certain corporate actions, including the removal of directors.</w:t>
      </w:r>
    </w:p>
    <w:p>
      <w:pPr>
        <w:spacing w:after="0" w:line="95" w:lineRule="exact"/>
        <w:rPr>
          <w:sz w:val="20"/>
          <w:szCs w:val="20"/>
          <w:color w:val="auto"/>
        </w:rPr>
      </w:pPr>
    </w:p>
    <w:p>
      <w:pPr>
        <w:ind w:left="60" w:right="99"/>
        <w:spacing w:after="0" w:line="267" w:lineRule="auto"/>
        <w:rPr>
          <w:sz w:val="20"/>
          <w:szCs w:val="20"/>
          <w:color w:val="auto"/>
        </w:rPr>
      </w:pPr>
      <w:r>
        <w:rPr>
          <w:rFonts w:ascii="Arial" w:cs="Arial" w:eastAsia="Arial" w:hAnsi="Arial"/>
          <w:sz w:val="18"/>
          <w:szCs w:val="18"/>
          <w:color w:val="231F20"/>
        </w:rPr>
        <w:t>In addition, Section 203 of the DGCL, which generally prohibits a Delaware corporation from engaging in any of a broad range of business combinations with an interested stockholder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provision could have the effect of delaying or preventing a change in control of our company, whether or not it is desired by or beneficial to our stockholders. Further, other provisions of Delaware law may also discourage, delay or prevent someone from acquiring us or merging with us.</w:t>
      </w:r>
    </w:p>
    <w:p>
      <w:pPr>
        <w:spacing w:after="0" w:line="161" w:lineRule="exact"/>
        <w:rPr>
          <w:sz w:val="20"/>
          <w:szCs w:val="20"/>
          <w:color w:val="auto"/>
        </w:rPr>
      </w:pPr>
    </w:p>
    <w:p>
      <w:pPr>
        <w:ind w:left="60" w:right="339"/>
        <w:spacing w:after="0" w:line="285" w:lineRule="auto"/>
        <w:rPr>
          <w:sz w:val="20"/>
          <w:szCs w:val="20"/>
          <w:color w:val="auto"/>
        </w:rPr>
      </w:pPr>
      <w:r>
        <w:rPr>
          <w:rFonts w:ascii="Arial" w:cs="Arial" w:eastAsia="Arial" w:hAnsi="Arial"/>
          <w:sz w:val="17"/>
          <w:szCs w:val="17"/>
          <w:b w:val="1"/>
          <w:bCs w:val="1"/>
          <w:color w:val="231F20"/>
        </w:rPr>
        <w:t>We do not currently intend to pay dividends on our common stock, and, consequently, your ability to achieve a return on your investment will depend on appreciation in the price of our common stock.</w:t>
      </w:r>
    </w:p>
    <w:p>
      <w:pPr>
        <w:spacing w:after="0" w:line="165" w:lineRule="exact"/>
        <w:rPr>
          <w:sz w:val="20"/>
          <w:szCs w:val="20"/>
          <w:color w:val="auto"/>
        </w:rPr>
      </w:pPr>
    </w:p>
    <w:p>
      <w:pPr>
        <w:ind w:left="60" w:right="359"/>
        <w:spacing w:after="0" w:line="237" w:lineRule="auto"/>
        <w:rPr>
          <w:sz w:val="20"/>
          <w:szCs w:val="20"/>
          <w:color w:val="auto"/>
        </w:rPr>
      </w:pPr>
      <w:r>
        <w:rPr>
          <w:rFonts w:ascii="Arial" w:cs="Arial" w:eastAsia="Arial" w:hAnsi="Arial"/>
          <w:sz w:val="18"/>
          <w:szCs w:val="18"/>
          <w:color w:val="231F20"/>
        </w:rPr>
        <w:t>We do not currently intend to pay any cash dividends on our common stock for the foreseeable future. We currently intend to invest our future earnings, if any, to fund our growth. Additionally, the terms of our Horizon loan agreement prohibit us from paying cash dividends on our capital stock.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from the IPO</w:t>
      </w:r>
    </w:p>
    <w:p>
      <w:pPr>
        <w:spacing w:after="0" w:line="126"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On July 2, 2021, we completed our IPO and issued 8,050,000 shares of our common stock at a public offering price of $18.00 per share, which includes 1,050,000 shares of common stock issued upon the exercise in full by the underwriters of their option to purchase additional share, for total gross proceeds from the offering, before deducting the underwriting discount and other offering expenses, of approximately $144.9 million. After deducting the underwriting discount of $10.1 million and offering expenses of $1.5 million, we received net proceeds of approximately $133.2 million. No payments for such expenses were made directly or indirectly to</w:t>
      </w:r>
    </w:p>
    <w:p>
      <w:pPr>
        <w:spacing w:after="0" w:line="4" w:lineRule="exact"/>
        <w:rPr>
          <w:sz w:val="20"/>
          <w:szCs w:val="20"/>
          <w:color w:val="auto"/>
        </w:rPr>
      </w:pPr>
    </w:p>
    <w:p>
      <w:pPr>
        <w:ind w:left="60" w:right="79" w:hanging="10"/>
        <w:spacing w:after="0" w:line="237"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 our officers or directors or their associates, (ii) any persons owning 10% or more of any class of our equity securities or (iii) any of our affiliates. J.P. Morgan Securities LLC, Piper Sandler &amp; Co. and William Blair &amp; Company, L.L.C. acted as joint book-running managers of the IPO, and Canaccord Genuity LLC acted as a lead manager for the IPO. Shares of our common stock began trading on the Nasdaq Global Select Market on June 30, 2021. The offer and sale of the shares were registered under the Securities Act on Registration Statement on Form S-1 (File No. 333-256800), which was declared effective on June 29, 2021.</w:t>
      </w:r>
    </w:p>
    <w:p>
      <w:pPr>
        <w:spacing w:after="0" w:line="97"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dated June 29, 2021, filed with the SEC on July 1, 2021 pursuant to Rule 424(b) of the Securities Act.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8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9"/>
          </w:tcPr>
          <w:p>
            <w:pPr>
              <w:ind w:left="268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49"/>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0"/>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7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7920" w:type="dxa"/>
            <w:vAlign w:val="bottom"/>
            <w:tcBorders>
              <w:top w:val="single" w:sz="8" w:color="auto"/>
            </w:tcBorders>
            <w:gridSpan w:val="9"/>
          </w:tcPr>
          <w:p>
            <w:pPr>
              <w:spacing w:after="0"/>
              <w:rPr>
                <w:rFonts w:ascii="Arial" w:cs="Arial" w:eastAsia="Arial" w:hAnsi="Arial"/>
                <w:sz w:val="18"/>
                <w:szCs w:val="18"/>
                <w:color w:val="0000EE"/>
              </w:rPr>
            </w:pPr>
            <w:hyperlink r:id="rId91">
              <w:r>
                <w:rPr>
                  <w:rFonts w:ascii="Arial" w:cs="Arial" w:eastAsia="Arial" w:hAnsi="Arial"/>
                  <w:sz w:val="18"/>
                  <w:szCs w:val="18"/>
                  <w:color w:val="0000EE"/>
                </w:rPr>
                <w:t>Amended and Restated Certificate of Incorporation of CVRx, Inc. (incorporated by reference to</w:t>
              </w:r>
            </w:hyperlink>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Exhibit 3.1 to the Company’s Current Report on Form 8-K filed on July 7, 2021)</w:t>
              </w:r>
            </w:hyperlink>
          </w:p>
        </w:tc>
        <w:tc>
          <w:tcPr>
            <w:tcW w:w="4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500" w:type="dxa"/>
            <w:vAlign w:val="bottom"/>
            <w:tcBorders>
              <w:bottom w:val="single" w:sz="8" w:color="0000EE"/>
            </w:tcBorders>
            <w:gridSpan w:val="4"/>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Amended and Restated By-Laws of CVRx, Inc. (incorporated by reference to Exhibit 3.2 to the</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9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Company’s Current Report on Form 8-K filed on July 7, 2021)</w:t>
              </w:r>
            </w:hyperlink>
          </w:p>
        </w:tc>
        <w:tc>
          <w:tcPr>
            <w:tcW w:w="30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8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Certification of Chief Executive Officer Pursuant to Section 302 of the Sarbanes-Oxley Act of 2002</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7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Certification of Chief Financial Officer Pursuant to Section 302 of the Sarbanes-Oxley Act of 2002</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92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Certification of Chief Executive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Section 906 of the Sarbanes-Oxley 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 of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Section 906 of the Sarbanes-Oxley Act of 2002</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40" w:right="279" w:hanging="983"/>
        <w:spacing w:after="0" w:line="277" w:lineRule="auto"/>
        <w:tabs>
          <w:tab w:leader="none" w:pos="102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143"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2"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5"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8"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8, 2021</w:t>
      </w:r>
    </w:p>
    <w:p>
      <w:pPr>
        <w:spacing w:after="0" w:line="20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43"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212"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Arial" w:cs="Arial" w:eastAsia="Arial" w:hAnsi="Arial"/>
                <w:sz w:val="18"/>
                <w:szCs w:val="18"/>
                <w:color w:val="auto"/>
                <w:w w:val="90"/>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60" w:type="dxa"/>
            <w:vAlign w:val="bottom"/>
          </w:tcPr>
          <w:p>
            <w:pPr>
              <w:ind w:left="516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CVRx, Inc.;</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12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80" w:right="300" w:hanging="648"/>
        <w:spacing w:after="0" w:line="286"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1620" w:right="32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620" w:right="4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620" w:right="180" w:hanging="640"/>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60" w:hanging="640"/>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980" w:right="240" w:hanging="648"/>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620" w:right="120" w:hanging="640"/>
        <w:spacing w:after="0" w:line="263"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620" w:right="200" w:hanging="640"/>
        <w:spacing w:after="0" w:line="277"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2021</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-121920</wp:posOffset>
            </wp:positionV>
            <wp:extent cx="2665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Nadim Yared</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5" w:right="9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the quarterly report of CVRx, Inc. (the “Company”) on Form 10-Q for the period ended September 30, 2021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41" w:lineRule="exact"/>
        <w:rPr>
          <w:sz w:val="20"/>
          <w:szCs w:val="20"/>
          <w:color w:val="auto"/>
        </w:rPr>
      </w:pPr>
    </w:p>
    <w:p>
      <w:pPr>
        <w:ind w:left="1300" w:right="2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62"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08, 2021</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Jared Oasheim</w:t>
            </w:r>
          </w:p>
        </w:tc>
        <w:tc>
          <w:tcPr>
            <w:tcW w:w="0" w:type="dxa"/>
            <w:vAlign w:val="bottom"/>
          </w:tcPr>
          <w:p>
            <w:pPr>
              <w:spacing w:after="0"/>
              <w:rPr>
                <w:sz w:val="1"/>
                <w:szCs w:val="1"/>
                <w:color w:val="auto"/>
              </w:rPr>
            </w:pPr>
          </w:p>
        </w:tc>
      </w:tr>
      <w:tr>
        <w:trPr>
          <w:trHeight w:val="230"/>
        </w:trPr>
        <w:tc>
          <w:tcPr>
            <w:tcW w:w="5600" w:type="dxa"/>
            <w:vAlign w:val="bottom"/>
          </w:tcPr>
          <w:p>
            <w:pPr>
              <w:ind w:left="4960"/>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2"/>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upperLetter"/>
      <w:start w:val="6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3"/>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1" Type="http://schemas.openxmlformats.org/officeDocument/2006/relationships/hyperlink" Target="https://www.sec.gov/Archives/edgar/data/1235912/000110465921089779/tm2121505d1_ex3-1.htm" TargetMode="External"/><Relationship Id="rId92"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2021-11-08T11:30:08Z</dcterms:created>
  <dcterms:modified xsi:type="dcterms:W3CDTF">2021-11-08T11:30:08Z</dcterms:modified>
</cp:coreProperties>
</file>