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246380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7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96520</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109220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28"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(Mark One)</w:t>
      </w:r>
    </w:p>
    <w:p>
      <w:pPr>
        <w:spacing w:after="0" w:line="21" w:lineRule="exact"/>
        <w:rPr>
          <w:sz w:val="24"/>
          <w:szCs w:val="24"/>
          <w:color w:val="auto"/>
        </w:rPr>
      </w:pPr>
    </w:p>
    <w:p>
      <w:pPr>
        <w:ind w:left="1320" w:hanging="642"/>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5" w:lineRule="exact"/>
        <w:rPr>
          <w:rFonts w:ascii="MS PGothic" w:cs="MS PGothic" w:eastAsia="MS PGothic" w:hAnsi="MS PGothic"/>
          <w:sz w:val="16"/>
          <w:szCs w:val="16"/>
          <w:color w:val="auto"/>
        </w:rPr>
      </w:pPr>
    </w:p>
    <w:p>
      <w:pPr>
        <w:ind w:left="362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fiscal year ended December 31, 2022</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50" w:lineRule="exact"/>
        <w:rPr>
          <w:sz w:val="24"/>
          <w:szCs w:val="24"/>
          <w:color w:val="auto"/>
        </w:rPr>
      </w:pPr>
    </w:p>
    <w:p>
      <w:pPr>
        <w:ind w:left="1320" w:hanging="642"/>
        <w:spacing w:after="0"/>
        <w:tabs>
          <w:tab w:leader="none" w:pos="13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1" w:lineRule="exact"/>
        <w:rPr>
          <w:sz w:val="24"/>
          <w:szCs w:val="24"/>
          <w:color w:val="auto"/>
        </w:rPr>
      </w:pPr>
    </w:p>
    <w:p>
      <w:pPr>
        <w:ind w:left="3200"/>
        <w:spacing w:after="0"/>
        <w:tabs>
          <w:tab w:leader="none" w:pos="60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3345180</wp:posOffset>
            </wp:positionH>
            <wp:positionV relativeFrom="paragraph">
              <wp:posOffset>-10160</wp:posOffset>
            </wp:positionV>
            <wp:extent cx="1126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Number: 001-40545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128905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4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CVRx, Inc.</w:t>
      </w: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121920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7"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200" w:type="dxa"/>
            <w:vAlign w:val="bottom"/>
            <w:gridSpan w:val="4"/>
          </w:tcPr>
          <w:p>
            <w:pPr>
              <w:jc w:val="center"/>
              <w:ind w:left="904"/>
              <w:spacing w:after="0"/>
              <w:rPr>
                <w:sz w:val="20"/>
                <w:szCs w:val="20"/>
                <w:color w:val="auto"/>
              </w:rPr>
            </w:pPr>
            <w:r>
              <w:rPr>
                <w:rFonts w:ascii="Arial" w:cs="Arial" w:eastAsia="Arial" w:hAnsi="Arial"/>
                <w:sz w:val="16"/>
                <w:szCs w:val="16"/>
                <w:b w:val="1"/>
                <w:bCs w:val="1"/>
                <w:color w:val="auto"/>
                <w:w w:val="99"/>
              </w:rPr>
              <w:t>Delaware</w:t>
            </w:r>
          </w:p>
        </w:tc>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left="204"/>
              <w:spacing w:after="0"/>
              <w:rPr>
                <w:sz w:val="20"/>
                <w:szCs w:val="20"/>
                <w:color w:val="auto"/>
              </w:rPr>
            </w:pPr>
            <w:r>
              <w:rPr>
                <w:rFonts w:ascii="Arial" w:cs="Arial" w:eastAsia="Arial" w:hAnsi="Arial"/>
                <w:sz w:val="14"/>
                <w:szCs w:val="14"/>
                <w:b w:val="1"/>
                <w:bCs w:val="1"/>
                <w:color w:val="auto"/>
              </w:rPr>
              <w:t>41-1983744</w:t>
            </w:r>
          </w:p>
        </w:tc>
        <w:tc>
          <w:tcPr>
            <w:tcW w:w="1940" w:type="dxa"/>
            <w:vAlign w:val="bottom"/>
          </w:tcPr>
          <w:p>
            <w:pPr>
              <w:spacing w:after="0"/>
              <w:rPr>
                <w:sz w:val="16"/>
                <w:szCs w:val="16"/>
                <w:color w:val="auto"/>
              </w:rPr>
            </w:pPr>
          </w:p>
        </w:tc>
      </w:tr>
      <w:tr>
        <w:trPr>
          <w:trHeight w:val="162"/>
        </w:trPr>
        <w:tc>
          <w:tcPr>
            <w:tcW w:w="4200" w:type="dxa"/>
            <w:vAlign w:val="bottom"/>
            <w:gridSpan w:val="4"/>
          </w:tcPr>
          <w:p>
            <w:pPr>
              <w:jc w:val="center"/>
              <w:ind w:left="904"/>
              <w:spacing w:after="0"/>
              <w:rPr>
                <w:sz w:val="20"/>
                <w:szCs w:val="20"/>
                <w:color w:val="auto"/>
              </w:rPr>
            </w:pPr>
            <w:r>
              <w:rPr>
                <w:rFonts w:ascii="Arial" w:cs="Arial" w:eastAsia="Arial" w:hAnsi="Arial"/>
                <w:sz w:val="14"/>
                <w:szCs w:val="14"/>
                <w:b w:val="1"/>
                <w:bCs w:val="1"/>
                <w:color w:val="auto"/>
              </w:rPr>
              <w:t>(State or other jurisdiction of</w:t>
            </w: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gridSpan w:val="2"/>
          </w:tcPr>
          <w:p>
            <w:pPr>
              <w:jc w:val="center"/>
              <w:ind w:right="160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gridSpan w:val="4"/>
          </w:tcPr>
          <w:p>
            <w:pPr>
              <w:jc w:val="center"/>
              <w:ind w:left="904"/>
              <w:spacing w:after="0"/>
              <w:rPr>
                <w:sz w:val="20"/>
                <w:szCs w:val="20"/>
                <w:color w:val="auto"/>
              </w:rPr>
            </w:pPr>
            <w:r>
              <w:rPr>
                <w:rFonts w:ascii="Arial" w:cs="Arial" w:eastAsia="Arial" w:hAnsi="Arial"/>
                <w:sz w:val="14"/>
                <w:szCs w:val="14"/>
                <w:b w:val="1"/>
                <w:bCs w:val="1"/>
                <w:color w:val="auto"/>
              </w:rPr>
              <w:t>incorporation or organization)</w:t>
            </w:r>
          </w:p>
        </w:tc>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2"/>
          </w:tcPr>
          <w:p>
            <w:pPr>
              <w:jc w:val="center"/>
              <w:ind w:right="1588"/>
              <w:spacing w:after="0"/>
              <w:rPr>
                <w:sz w:val="20"/>
                <w:szCs w:val="20"/>
                <w:color w:val="auto"/>
              </w:rPr>
            </w:pPr>
            <w:r>
              <w:rPr>
                <w:rFonts w:ascii="Arial" w:cs="Arial" w:eastAsia="Arial" w:hAnsi="Arial"/>
                <w:sz w:val="14"/>
                <w:szCs w:val="14"/>
                <w:b w:val="1"/>
                <w:bCs w:val="1"/>
                <w:color w:val="auto"/>
              </w:rPr>
              <w:t>Identification No.)</w:t>
            </w:r>
          </w:p>
        </w:tc>
      </w:tr>
      <w:tr>
        <w:trPr>
          <w:trHeight w:val="250"/>
        </w:trPr>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160" w:type="dxa"/>
            <w:vAlign w:val="bottom"/>
            <w:gridSpan w:val="5"/>
          </w:tcPr>
          <w:p>
            <w:pPr>
              <w:jc w:val="center"/>
              <w:ind w:right="600"/>
              <w:spacing w:after="0"/>
              <w:rPr>
                <w:sz w:val="20"/>
                <w:szCs w:val="20"/>
                <w:color w:val="auto"/>
              </w:rPr>
            </w:pPr>
            <w:r>
              <w:rPr>
                <w:rFonts w:ascii="Arial" w:cs="Arial" w:eastAsia="Arial" w:hAnsi="Arial"/>
                <w:sz w:val="16"/>
                <w:szCs w:val="16"/>
                <w:b w:val="1"/>
                <w:bCs w:val="1"/>
                <w:color w:val="auto"/>
              </w:rPr>
              <w:t>9201 West Broadway Avenue</w:t>
            </w:r>
          </w:p>
        </w:tc>
        <w:tc>
          <w:tcPr>
            <w:tcW w:w="108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189"/>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center"/>
              <w:ind w:right="940"/>
              <w:spacing w:after="0"/>
              <w:rPr>
                <w:sz w:val="20"/>
                <w:szCs w:val="20"/>
                <w:color w:val="auto"/>
              </w:rPr>
            </w:pPr>
            <w:r>
              <w:rPr>
                <w:rFonts w:ascii="Arial" w:cs="Arial" w:eastAsia="Arial" w:hAnsi="Arial"/>
                <w:sz w:val="16"/>
                <w:szCs w:val="16"/>
                <w:b w:val="1"/>
                <w:bCs w:val="1"/>
                <w:color w:val="auto"/>
              </w:rPr>
              <w:t>Suite 650</w:t>
            </w:r>
          </w:p>
        </w:tc>
        <w:tc>
          <w:tcPr>
            <w:tcW w:w="108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4"/>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center"/>
              <w:ind w:right="920"/>
              <w:spacing w:after="0"/>
              <w:rPr>
                <w:sz w:val="20"/>
                <w:szCs w:val="20"/>
                <w:color w:val="auto"/>
              </w:rPr>
            </w:pPr>
            <w:r>
              <w:rPr>
                <w:rFonts w:ascii="Arial" w:cs="Arial" w:eastAsia="Arial" w:hAnsi="Arial"/>
                <w:sz w:val="16"/>
                <w:szCs w:val="16"/>
                <w:b w:val="1"/>
                <w:bCs w:val="1"/>
                <w:color w:val="auto"/>
              </w:rPr>
              <w:t>Minneapolis, MN 55445</w:t>
            </w:r>
          </w:p>
        </w:tc>
        <w:tc>
          <w:tcPr>
            <w:tcW w:w="108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0"/>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rPr>
              <w:t>(Address of principal executive offices) (Zip Code)</w:t>
            </w:r>
          </w:p>
        </w:tc>
        <w:tc>
          <w:tcPr>
            <w:tcW w:w="108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69"/>
        </w:trPr>
        <w:tc>
          <w:tcPr>
            <w:tcW w:w="3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20" w:type="dxa"/>
            <w:vAlign w:val="bottom"/>
          </w:tcPr>
          <w:p>
            <w:pPr>
              <w:jc w:val="center"/>
              <w:ind w:right="239"/>
              <w:spacing w:after="0"/>
              <w:rPr>
                <w:sz w:val="20"/>
                <w:szCs w:val="20"/>
                <w:color w:val="auto"/>
              </w:rPr>
            </w:pPr>
            <w:r>
              <w:rPr>
                <w:rFonts w:ascii="Arial" w:cs="Arial" w:eastAsia="Arial" w:hAnsi="Arial"/>
                <w:sz w:val="16"/>
                <w:szCs w:val="16"/>
                <w:b w:val="1"/>
                <w:bCs w:val="1"/>
                <w:color w:val="auto"/>
              </w:rPr>
              <w:t>(763) 416-2840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90"/>
        </w:trPr>
        <w:tc>
          <w:tcPr>
            <w:tcW w:w="3180" w:type="dxa"/>
            <w:vAlign w:val="bottom"/>
          </w:tcPr>
          <w:p>
            <w:pPr>
              <w:spacing w:after="0"/>
              <w:rPr>
                <w:sz w:val="16"/>
                <w:szCs w:val="16"/>
                <w:color w:val="auto"/>
              </w:rPr>
            </w:pPr>
          </w:p>
        </w:tc>
        <w:tc>
          <w:tcPr>
            <w:tcW w:w="3840" w:type="dxa"/>
            <w:vAlign w:val="bottom"/>
            <w:gridSpan w:val="7"/>
          </w:tcPr>
          <w:p>
            <w:pPr>
              <w:jc w:val="center"/>
              <w:ind w:left="8"/>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08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5"/>
        </w:trPr>
        <w:tc>
          <w:tcPr>
            <w:tcW w:w="3860" w:type="dxa"/>
            <w:vAlign w:val="bottom"/>
            <w:gridSpan w:val="3"/>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64"/>
        </w:trPr>
        <w:tc>
          <w:tcPr>
            <w:tcW w:w="4200" w:type="dxa"/>
            <w:vAlign w:val="bottom"/>
            <w:gridSpan w:val="4"/>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c>
          <w:tcPr>
            <w:tcW w:w="2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78"/>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gridSpan w:val="2"/>
          </w:tcPr>
          <w:p>
            <w:pPr>
              <w:jc w:val="center"/>
              <w:ind w:right="108"/>
              <w:spacing w:after="0"/>
              <w:rPr>
                <w:sz w:val="20"/>
                <w:szCs w:val="20"/>
                <w:color w:val="auto"/>
              </w:rPr>
            </w:pPr>
            <w:r>
              <w:rPr>
                <w:rFonts w:ascii="Arial" w:cs="Arial" w:eastAsia="Arial" w:hAnsi="Arial"/>
                <w:sz w:val="16"/>
                <w:szCs w:val="16"/>
                <w:color w:val="auto"/>
              </w:rPr>
              <w:t>Name of each exchange</w:t>
            </w:r>
          </w:p>
        </w:tc>
      </w:tr>
      <w:tr>
        <w:trPr>
          <w:trHeight w:val="214"/>
        </w:trPr>
        <w:tc>
          <w:tcPr>
            <w:tcW w:w="4200" w:type="dxa"/>
            <w:vAlign w:val="bottom"/>
            <w:gridSpan w:val="4"/>
          </w:tcPr>
          <w:p>
            <w:pPr>
              <w:jc w:val="center"/>
              <w:ind w:right="919"/>
              <w:spacing w:after="0"/>
              <w:rPr>
                <w:sz w:val="20"/>
                <w:szCs w:val="20"/>
                <w:color w:val="auto"/>
              </w:rPr>
            </w:pPr>
            <w:r>
              <w:rPr>
                <w:rFonts w:ascii="Arial" w:cs="Arial" w:eastAsia="Arial" w:hAnsi="Arial"/>
                <w:sz w:val="16"/>
                <w:szCs w:val="16"/>
                <w:color w:val="auto"/>
                <w:w w:val="99"/>
              </w:rPr>
              <w:t>Title of each class</w:t>
            </w:r>
          </w:p>
        </w:tc>
        <w:tc>
          <w:tcPr>
            <w:tcW w:w="2820" w:type="dxa"/>
            <w:vAlign w:val="bottom"/>
            <w:gridSpan w:val="4"/>
          </w:tcPr>
          <w:p>
            <w:pPr>
              <w:jc w:val="center"/>
              <w:ind w:right="1180"/>
              <w:spacing w:after="0"/>
              <w:rPr>
                <w:sz w:val="20"/>
                <w:szCs w:val="20"/>
                <w:color w:val="auto"/>
              </w:rPr>
            </w:pPr>
            <w:r>
              <w:rPr>
                <w:rFonts w:ascii="Arial" w:cs="Arial" w:eastAsia="Arial" w:hAnsi="Arial"/>
                <w:sz w:val="16"/>
                <w:szCs w:val="16"/>
                <w:color w:val="auto"/>
              </w:rPr>
              <w:t>Trading Symbol(s)</w:t>
            </w:r>
          </w:p>
        </w:tc>
        <w:tc>
          <w:tcPr>
            <w:tcW w:w="3020" w:type="dxa"/>
            <w:vAlign w:val="bottom"/>
            <w:gridSpan w:val="2"/>
          </w:tcPr>
          <w:p>
            <w:pPr>
              <w:jc w:val="center"/>
              <w:ind w:right="108"/>
              <w:spacing w:after="0"/>
              <w:rPr>
                <w:sz w:val="20"/>
                <w:szCs w:val="20"/>
                <w:color w:val="auto"/>
              </w:rPr>
            </w:pPr>
            <w:r>
              <w:rPr>
                <w:rFonts w:ascii="Arial" w:cs="Arial" w:eastAsia="Arial" w:hAnsi="Arial"/>
                <w:sz w:val="16"/>
                <w:szCs w:val="16"/>
                <w:color w:val="auto"/>
              </w:rPr>
              <w:t>on which registered</w:t>
            </w:r>
          </w:p>
        </w:tc>
      </w:tr>
      <w:tr>
        <w:trPr>
          <w:trHeight w:val="164"/>
        </w:trPr>
        <w:tc>
          <w:tcPr>
            <w:tcW w:w="318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400" w:type="dxa"/>
            <w:vAlign w:val="bottom"/>
            <w:tcBorders>
              <w:top w:val="single" w:sz="8" w:color="auto"/>
            </w:tcBorders>
            <w:gridSpan w:val="2"/>
          </w:tcPr>
          <w:p>
            <w:pPr>
              <w:jc w:val="center"/>
              <w:ind w:right="780"/>
              <w:spacing w:after="0" w:line="165" w:lineRule="exact"/>
              <w:rPr>
                <w:sz w:val="20"/>
                <w:szCs w:val="20"/>
                <w:color w:val="auto"/>
              </w:rPr>
            </w:pPr>
            <w:r>
              <w:rPr>
                <w:rFonts w:ascii="Arial" w:cs="Arial" w:eastAsia="Arial" w:hAnsi="Arial"/>
                <w:sz w:val="16"/>
                <w:szCs w:val="16"/>
                <w:b w:val="1"/>
                <w:bCs w:val="1"/>
                <w:color w:val="auto"/>
              </w:rPr>
              <w:t>CVRX</w:t>
            </w: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020" w:type="dxa"/>
            <w:vAlign w:val="bottom"/>
            <w:tcBorders>
              <w:top w:val="single" w:sz="8" w:color="auto"/>
            </w:tcBorders>
            <w:gridSpan w:val="2"/>
          </w:tcPr>
          <w:p>
            <w:pPr>
              <w:jc w:val="center"/>
              <w:ind w:right="108"/>
              <w:spacing w:after="0" w:line="165" w:lineRule="exact"/>
              <w:rPr>
                <w:sz w:val="20"/>
                <w:szCs w:val="20"/>
                <w:color w:val="auto"/>
              </w:rPr>
            </w:pPr>
            <w:r>
              <w:rPr>
                <w:rFonts w:ascii="Arial" w:cs="Arial" w:eastAsia="Arial" w:hAnsi="Arial"/>
                <w:sz w:val="16"/>
                <w:szCs w:val="16"/>
                <w:b w:val="1"/>
                <w:bCs w:val="1"/>
                <w:color w:val="auto"/>
              </w:rPr>
              <w:t>The Nasdaq Global Select Market</w:t>
            </w:r>
          </w:p>
        </w:tc>
      </w:tr>
      <w:tr>
        <w:trPr>
          <w:trHeight w:val="215"/>
        </w:trPr>
        <w:tc>
          <w:tcPr>
            <w:tcW w:w="4200" w:type="dxa"/>
            <w:vAlign w:val="bottom"/>
            <w:gridSpan w:val="4"/>
          </w:tcPr>
          <w:p>
            <w:pPr>
              <w:jc w:val="center"/>
              <w:ind w:right="939"/>
              <w:spacing w:after="0"/>
              <w:rPr>
                <w:sz w:val="20"/>
                <w:szCs w:val="20"/>
                <w:color w:val="auto"/>
              </w:rPr>
            </w:pPr>
            <w:r>
              <w:rPr>
                <w:rFonts w:ascii="Arial" w:cs="Arial" w:eastAsia="Arial" w:hAnsi="Arial"/>
                <w:sz w:val="16"/>
                <w:szCs w:val="16"/>
                <w:b w:val="1"/>
                <w:bCs w:val="1"/>
                <w:color w:val="auto"/>
              </w:rPr>
              <w:t>par value $0.01 per share</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05"/>
        </w:trPr>
        <w:tc>
          <w:tcPr>
            <w:tcW w:w="4200" w:type="dxa"/>
            <w:vAlign w:val="bottom"/>
            <w:gridSpan w:val="4"/>
          </w:tcPr>
          <w:p>
            <w:pPr>
              <w:ind w:left="40"/>
              <w:spacing w:after="0"/>
              <w:rPr>
                <w:sz w:val="20"/>
                <w:szCs w:val="20"/>
                <w:color w:val="auto"/>
              </w:rPr>
            </w:pPr>
            <w:r>
              <w:rPr>
                <w:rFonts w:ascii="Arial" w:cs="Arial" w:eastAsia="Arial" w:hAnsi="Arial"/>
                <w:sz w:val="14"/>
                <w:szCs w:val="14"/>
                <w:color w:val="auto"/>
              </w:rPr>
              <w:t>Securities registered pursuant to Section 12(g) of the Act: None</w:t>
            </w: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40"/>
        </w:trPr>
        <w:tc>
          <w:tcPr>
            <w:tcW w:w="8100" w:type="dxa"/>
            <w:vAlign w:val="bottom"/>
            <w:gridSpan w:val="9"/>
          </w:tcPr>
          <w:p>
            <w:pPr>
              <w:ind w:left="4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1940" w:type="dxa"/>
            <w:vAlign w:val="bottom"/>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83"/>
        </w:trPr>
        <w:tc>
          <w:tcPr>
            <w:tcW w:w="8100" w:type="dxa"/>
            <w:vAlign w:val="bottom"/>
            <w:gridSpan w:val="9"/>
          </w:tcPr>
          <w:p>
            <w:pPr>
              <w:ind w:left="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194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95" w:lineRule="exact"/>
        <w:rPr>
          <w:sz w:val="24"/>
          <w:szCs w:val="24"/>
          <w:color w:val="auto"/>
        </w:rPr>
      </w:pPr>
    </w:p>
    <w:p>
      <w:pPr>
        <w:ind w:left="40"/>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ind w:left="40" w:right="380"/>
        <w:spacing w:after="0" w:line="23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0"/>
        <w:spacing w:after="0" w:line="161" w:lineRule="exact"/>
        <w:tabs>
          <w:tab w:leader="none" w:pos="700" w:val="left"/>
          <w:tab w:leader="none" w:pos="10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4"/>
          <w:szCs w:val="14"/>
          <w:color w:val="auto"/>
        </w:rPr>
        <w:t>☐</w:t>
      </w:r>
    </w:p>
    <w:p>
      <w:pPr>
        <w:spacing w:after="0" w:line="126" w:lineRule="exact"/>
        <w:rPr>
          <w:sz w:val="24"/>
          <w:szCs w:val="24"/>
          <w:color w:val="auto"/>
        </w:rPr>
      </w:pPr>
    </w:p>
    <w:p>
      <w:pPr>
        <w:ind w:left="40" w:right="20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80"/>
          </w:cols>
          <w:pgMar w:left="800" w:top="665" w:right="919" w:bottom="1440" w:gutter="0" w:footer="0" w:header="0"/>
        </w:sectPr>
      </w:pPr>
    </w:p>
    <w:p>
      <w:pPr>
        <w:spacing w:after="0" w:line="120"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97" w:lineRule="exact"/>
        <w:rPr>
          <w:sz w:val="24"/>
          <w:szCs w:val="24"/>
          <w:color w:val="auto"/>
        </w:rPr>
      </w:pPr>
    </w:p>
    <w:p>
      <w:pPr>
        <w:sectPr>
          <w:pgSz w:w="11900" w:h="16838" w:orient="portrait"/>
          <w:cols w:equalWidth="0" w:num="4">
            <w:col w:w="1640" w:space="720"/>
            <w:col w:w="420" w:space="720"/>
            <w:col w:w="1920" w:space="720"/>
            <w:col w:w="4040"/>
          </w:cols>
          <w:pgMar w:left="800" w:top="665" w:right="919" w:bottom="1440" w:gutter="0" w:footer="0" w:header="0"/>
          <w:type w:val="continuous"/>
        </w:sectPr>
      </w:pPr>
    </w:p>
    <w:p>
      <w:pPr>
        <w:spacing w:after="0" w:line="51"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jc w:val="center"/>
        <w:ind w:right="300"/>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jc w:val="center"/>
        <w:ind w:right="2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jc w:val="center"/>
        <w:ind w:right="22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54" w:lineRule="exact"/>
        <w:rPr>
          <w:sz w:val="24"/>
          <w:szCs w:val="24"/>
          <w:color w:val="auto"/>
        </w:rPr>
      </w:pPr>
    </w:p>
    <w:p>
      <w:pPr>
        <w:sectPr>
          <w:pgSz w:w="11900" w:h="16838" w:orient="portrait"/>
          <w:cols w:equalWidth="0" w:num="6">
            <w:col w:w="1640" w:space="720"/>
            <w:col w:w="420" w:space="720"/>
            <w:col w:w="1920" w:space="720"/>
            <w:col w:w="360" w:space="720"/>
            <w:col w:w="1760" w:space="720"/>
            <w:col w:w="480"/>
          </w:cols>
          <w:pgMar w:left="800" w:top="665" w:right="919" w:bottom="1440" w:gutter="0" w:footer="0" w:header="0"/>
          <w:type w:val="continuous"/>
        </w:sectPr>
      </w:pPr>
    </w:p>
    <w:p>
      <w:pPr>
        <w:ind w:left="40" w:right="3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5" w:lineRule="exact"/>
        <w:rPr>
          <w:sz w:val="24"/>
          <w:szCs w:val="24"/>
          <w:color w:val="auto"/>
        </w:rPr>
      </w:pPr>
    </w:p>
    <w:p>
      <w:pPr>
        <w:ind w:left="40" w:right="60"/>
        <w:spacing w:after="0" w:line="17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96" w:lineRule="exact"/>
        <w:rPr>
          <w:sz w:val="24"/>
          <w:szCs w:val="24"/>
          <w:color w:val="auto"/>
        </w:rPr>
      </w:pPr>
    </w:p>
    <w:p>
      <w:pPr>
        <w:ind w:left="40" w:right="200"/>
        <w:spacing w:after="0" w:line="17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95" w:lineRule="exact"/>
        <w:rPr>
          <w:sz w:val="24"/>
          <w:szCs w:val="24"/>
          <w:color w:val="auto"/>
        </w:rPr>
      </w:pPr>
    </w:p>
    <w:p>
      <w:pPr>
        <w:ind w:left="40" w:right="60"/>
        <w:spacing w:after="0" w:line="17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oﬃcers during the relevant recovery period pursuant to §240.10D-1(b). </w:t>
      </w:r>
      <w:r>
        <w:rPr>
          <w:rFonts w:ascii="MS PGothic" w:cs="MS PGothic" w:eastAsia="MS PGothic" w:hAnsi="MS PGothic"/>
          <w:sz w:val="14"/>
          <w:szCs w:val="14"/>
          <w:color w:val="auto"/>
        </w:rPr>
        <w:t>☐</w:t>
      </w:r>
    </w:p>
    <w:p>
      <w:pPr>
        <w:spacing w:after="0" w:line="58" w:lineRule="exact"/>
        <w:rPr>
          <w:sz w:val="24"/>
          <w:szCs w:val="24"/>
          <w:color w:val="auto"/>
        </w:rPr>
      </w:pPr>
    </w:p>
    <w:p>
      <w:pPr>
        <w:ind w:left="40"/>
        <w:spacing w:after="0" w:line="161" w:lineRule="exact"/>
        <w:tabs>
          <w:tab w:leader="none" w:pos="6640" w:val="left"/>
          <w:tab w:leader="none" w:pos="72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60" w:lineRule="exact"/>
        <w:rPr>
          <w:sz w:val="24"/>
          <w:szCs w:val="24"/>
          <w:color w:val="auto"/>
        </w:rPr>
      </w:pPr>
    </w:p>
    <w:p>
      <w:pPr>
        <w:ind w:left="40" w:right="140"/>
        <w:spacing w:after="0" w:line="249"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Nasdaq Global Select Market on June 30, 2022, the last business day of the registrant’s most recently completed second fiscal quarter was approximately $72.2 million.</w:t>
      </w:r>
    </w:p>
    <w:p>
      <w:pPr>
        <w:spacing w:after="0" w:line="147" w:lineRule="exact"/>
        <w:rPr>
          <w:sz w:val="24"/>
          <w:szCs w:val="24"/>
          <w:color w:val="auto"/>
        </w:rPr>
      </w:pPr>
    </w:p>
    <w:p>
      <w:pPr>
        <w:ind w:left="40"/>
        <w:spacing w:after="0"/>
        <w:rPr>
          <w:sz w:val="20"/>
          <w:szCs w:val="20"/>
          <w:color w:val="auto"/>
        </w:rPr>
      </w:pPr>
      <w:r>
        <w:rPr>
          <w:rFonts w:ascii="Arial" w:cs="Arial" w:eastAsia="Arial" w:hAnsi="Arial"/>
          <w:sz w:val="14"/>
          <w:szCs w:val="14"/>
          <w:color w:val="auto"/>
        </w:rPr>
        <w:t>As of February 3, 2023, there were 20,690,451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503555</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83185</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126365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80"/>
          </w:cols>
          <w:pgMar w:left="800" w:top="665" w:right="91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 OF CONTENTS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0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60" w:type="dxa"/>
            <w:vAlign w:val="bottom"/>
            <w:gridSpan w:val="27"/>
          </w:tcPr>
          <w:p>
            <w:pPr>
              <w:spacing w:after="0"/>
              <w:rPr>
                <w:sz w:val="20"/>
                <w:szCs w:val="20"/>
                <w:color w:val="auto"/>
              </w:rPr>
            </w:pPr>
            <w:r>
              <w:rPr>
                <w:rFonts w:ascii="Arial" w:cs="Arial" w:eastAsia="Arial" w:hAnsi="Arial"/>
                <w:sz w:val="14"/>
                <w:szCs w:val="14"/>
                <w:color w:val="0000EE"/>
              </w:rPr>
              <w:t>Cautionary Note on Forward-Looking Statements</w:t>
            </w: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30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tcBorders>
              <w:top w:val="single" w:sz="8" w:color="0000EE"/>
            </w:tcBorders>
            <w:gridSpan w:val="18"/>
          </w:tcPr>
          <w:p>
            <w:pPr>
              <w:spacing w:after="0"/>
              <w:rPr>
                <w:sz w:val="20"/>
                <w:szCs w:val="20"/>
                <w:color w:val="auto"/>
              </w:rPr>
            </w:pPr>
            <w:r>
              <w:rPr>
                <w:rFonts w:ascii="Arial" w:cs="Arial" w:eastAsia="Arial" w:hAnsi="Arial"/>
                <w:sz w:val="14"/>
                <w:szCs w:val="14"/>
                <w:color w:val="0000EE"/>
              </w:rPr>
              <w:t>Summary Risk Factors</w:t>
            </w:r>
          </w:p>
        </w:tc>
        <w:tc>
          <w:tcPr>
            <w:tcW w:w="4540" w:type="dxa"/>
            <w:vAlign w:val="bottom"/>
            <w:gridSpan w:val="9"/>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30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4"/>
                <w:szCs w:val="14"/>
                <w:b w:val="1"/>
                <w:bCs w:val="1"/>
                <w:color w:val="0000EE"/>
                <w:w w:val="95"/>
              </w:rPr>
              <w:t>PART I</w:t>
            </w:r>
          </w:p>
        </w:tc>
        <w:tc>
          <w:tcPr>
            <w:tcW w:w="980" w:type="dxa"/>
            <w:vAlign w:val="bottom"/>
            <w:tcBorders>
              <w:top w:val="single" w:sz="8" w:color="0000EE"/>
            </w:tcBorders>
            <w:gridSpan w:val="10"/>
          </w:tcPr>
          <w:p>
            <w:pPr>
              <w:spacing w:after="0"/>
              <w:rPr>
                <w:sz w:val="24"/>
                <w:szCs w:val="24"/>
                <w:color w:val="auto"/>
              </w:rPr>
            </w:pPr>
          </w:p>
        </w:tc>
        <w:tc>
          <w:tcPr>
            <w:tcW w:w="6220" w:type="dxa"/>
            <w:vAlign w:val="bottom"/>
            <w:gridSpan w:val="16"/>
          </w:tcPr>
          <w:p>
            <w:pPr>
              <w:spacing w:after="0"/>
              <w:rPr>
                <w:sz w:val="24"/>
                <w:szCs w:val="24"/>
                <w:color w:val="auto"/>
              </w:rPr>
            </w:pPr>
          </w:p>
        </w:tc>
        <w:tc>
          <w:tcPr>
            <w:tcW w:w="360" w:type="dxa"/>
            <w:vAlign w:val="bottom"/>
          </w:tcPr>
          <w:p>
            <w:pPr>
              <w:spacing w:after="0"/>
              <w:rPr>
                <w:sz w:val="24"/>
                <w:szCs w:val="24"/>
                <w:color w:val="auto"/>
              </w:rPr>
            </w:pPr>
          </w:p>
        </w:tc>
      </w:tr>
      <w:tr>
        <w:trPr>
          <w:trHeight w:val="304"/>
        </w:trPr>
        <w:tc>
          <w:tcPr>
            <w:tcW w:w="46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Item 1.</w:t>
            </w:r>
          </w:p>
        </w:tc>
        <w:tc>
          <w:tcPr>
            <w:tcW w:w="400" w:type="dxa"/>
            <w:vAlign w:val="bottom"/>
            <w:gridSpan w:val="5"/>
          </w:tcPr>
          <w:p>
            <w:pPr>
              <w:spacing w:after="0"/>
              <w:rPr>
                <w:sz w:val="24"/>
                <w:szCs w:val="24"/>
                <w:color w:val="auto"/>
              </w:rPr>
            </w:pPr>
          </w:p>
        </w:tc>
        <w:tc>
          <w:tcPr>
            <w:tcW w:w="58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w w:val="98"/>
              </w:rPr>
              <w:t>Business</w:t>
            </w:r>
          </w:p>
        </w:tc>
        <w:tc>
          <w:tcPr>
            <w:tcW w:w="7080" w:type="dxa"/>
            <w:vAlign w:val="bottom"/>
            <w:gridSpan w:val="2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04"/>
        </w:trPr>
        <w:tc>
          <w:tcPr>
            <w:tcW w:w="54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w w:val="99"/>
              </w:rPr>
              <w:t>Item 1A.</w:t>
            </w:r>
          </w:p>
        </w:tc>
        <w:tc>
          <w:tcPr>
            <w:tcW w:w="320" w:type="dxa"/>
            <w:vAlign w:val="bottom"/>
            <w:gridSpan w:val="2"/>
          </w:tcPr>
          <w:p>
            <w:pPr>
              <w:spacing w:after="0"/>
              <w:rPr>
                <w:sz w:val="24"/>
                <w:szCs w:val="24"/>
                <w:color w:val="auto"/>
              </w:rPr>
            </w:pPr>
          </w:p>
        </w:tc>
        <w:tc>
          <w:tcPr>
            <w:tcW w:w="80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0000EE"/>
              </w:rPr>
              <w:t>Risk Factors</w:t>
            </w:r>
          </w:p>
        </w:tc>
        <w:tc>
          <w:tcPr>
            <w:tcW w:w="6860" w:type="dxa"/>
            <w:vAlign w:val="bottom"/>
            <w:gridSpan w:val="19"/>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304"/>
        </w:trPr>
        <w:tc>
          <w:tcPr>
            <w:tcW w:w="860" w:type="dxa"/>
            <w:vAlign w:val="bottom"/>
            <w:gridSpan w:val="8"/>
          </w:tcPr>
          <w:p>
            <w:pPr>
              <w:spacing w:after="0"/>
              <w:rPr>
                <w:sz w:val="20"/>
                <w:szCs w:val="20"/>
                <w:color w:val="auto"/>
              </w:rPr>
            </w:pPr>
            <w:r>
              <w:rPr>
                <w:rFonts w:ascii="Arial" w:cs="Arial" w:eastAsia="Arial" w:hAnsi="Arial"/>
                <w:sz w:val="14"/>
                <w:szCs w:val="14"/>
                <w:color w:val="0000EE"/>
              </w:rPr>
              <w:t>Item 1B.</w:t>
            </w:r>
          </w:p>
        </w:tc>
        <w:tc>
          <w:tcPr>
            <w:tcW w:w="7660" w:type="dxa"/>
            <w:vAlign w:val="bottom"/>
            <w:gridSpan w:val="27"/>
          </w:tcPr>
          <w:p>
            <w:pPr>
              <w:spacing w:after="0"/>
              <w:rPr>
                <w:sz w:val="20"/>
                <w:szCs w:val="20"/>
                <w:color w:val="auto"/>
              </w:rPr>
            </w:pPr>
            <w:r>
              <w:rPr>
                <w:rFonts w:ascii="Arial" w:cs="Arial" w:eastAsia="Arial" w:hAnsi="Arial"/>
                <w:sz w:val="14"/>
                <w:szCs w:val="14"/>
                <w:color w:val="0000EE"/>
              </w:rPr>
              <w:t>Unresolved Staff Comments</w:t>
            </w:r>
          </w:p>
        </w:tc>
        <w:tc>
          <w:tcPr>
            <w:tcW w:w="36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304"/>
        </w:trPr>
        <w:tc>
          <w:tcPr>
            <w:tcW w:w="520" w:type="dxa"/>
            <w:vAlign w:val="bottom"/>
            <w:tcBorders>
              <w:top w:val="single" w:sz="8" w:color="0000EE"/>
            </w:tcBorders>
            <w:gridSpan w:val="5"/>
          </w:tcPr>
          <w:p>
            <w:pPr>
              <w:spacing w:after="0"/>
              <w:rPr>
                <w:sz w:val="20"/>
                <w:szCs w:val="20"/>
                <w:color w:val="auto"/>
              </w:rPr>
            </w:pPr>
            <w:r>
              <w:rPr>
                <w:rFonts w:ascii="Arial" w:cs="Arial" w:eastAsia="Arial" w:hAnsi="Arial"/>
                <w:sz w:val="14"/>
                <w:szCs w:val="14"/>
                <w:color w:val="0000EE"/>
              </w:rPr>
              <w:t>Item 2.</w:t>
            </w:r>
          </w:p>
        </w:tc>
        <w:tc>
          <w:tcPr>
            <w:tcW w:w="340" w:type="dxa"/>
            <w:vAlign w:val="bottom"/>
            <w:gridSpan w:val="3"/>
          </w:tcPr>
          <w:p>
            <w:pPr>
              <w:spacing w:after="0"/>
              <w:rPr>
                <w:sz w:val="24"/>
                <w:szCs w:val="24"/>
                <w:color w:val="auto"/>
              </w:rPr>
            </w:pPr>
          </w:p>
        </w:tc>
        <w:tc>
          <w:tcPr>
            <w:tcW w:w="1800" w:type="dxa"/>
            <w:vAlign w:val="bottom"/>
            <w:tcBorders>
              <w:top w:val="single" w:sz="8" w:color="0000EE"/>
            </w:tcBorders>
            <w:gridSpan w:val="14"/>
          </w:tcPr>
          <w:p>
            <w:pPr>
              <w:spacing w:after="0"/>
              <w:rPr>
                <w:sz w:val="20"/>
                <w:szCs w:val="20"/>
                <w:color w:val="auto"/>
              </w:rPr>
            </w:pPr>
            <w:r>
              <w:rPr>
                <w:rFonts w:ascii="Arial" w:cs="Arial" w:eastAsia="Arial" w:hAnsi="Arial"/>
                <w:sz w:val="14"/>
                <w:szCs w:val="14"/>
                <w:color w:val="0000EE"/>
              </w:rPr>
              <w:t>Properties</w:t>
            </w:r>
          </w:p>
        </w:tc>
        <w:tc>
          <w:tcPr>
            <w:tcW w:w="5860" w:type="dxa"/>
            <w:vAlign w:val="bottom"/>
            <w:gridSpan w:val="1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860" w:type="dxa"/>
            <w:vAlign w:val="bottom"/>
            <w:gridSpan w:val="8"/>
          </w:tcPr>
          <w:p>
            <w:pPr>
              <w:spacing w:after="0"/>
              <w:rPr>
                <w:sz w:val="20"/>
                <w:szCs w:val="20"/>
                <w:color w:val="auto"/>
              </w:rPr>
            </w:pPr>
            <w:r>
              <w:rPr>
                <w:rFonts w:ascii="Arial" w:cs="Arial" w:eastAsia="Arial" w:hAnsi="Arial"/>
                <w:sz w:val="14"/>
                <w:szCs w:val="14"/>
                <w:color w:val="0000EE"/>
              </w:rPr>
              <w:t>Item 3.</w:t>
            </w:r>
          </w:p>
        </w:tc>
        <w:tc>
          <w:tcPr>
            <w:tcW w:w="7660" w:type="dxa"/>
            <w:vAlign w:val="bottom"/>
            <w:gridSpan w:val="27"/>
          </w:tcPr>
          <w:p>
            <w:pPr>
              <w:spacing w:after="0"/>
              <w:rPr>
                <w:sz w:val="20"/>
                <w:szCs w:val="20"/>
                <w:color w:val="auto"/>
              </w:rPr>
            </w:pPr>
            <w:r>
              <w:rPr>
                <w:rFonts w:ascii="Arial" w:cs="Arial" w:eastAsia="Arial" w:hAnsi="Arial"/>
                <w:sz w:val="14"/>
                <w:szCs w:val="14"/>
                <w:color w:val="0000EE"/>
              </w:rPr>
              <w:t>Legal Proceedings</w:t>
            </w:r>
          </w:p>
        </w:tc>
        <w:tc>
          <w:tcPr>
            <w:tcW w:w="36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860" w:type="dxa"/>
            <w:vAlign w:val="bottom"/>
            <w:gridSpan w:val="8"/>
          </w:tcPr>
          <w:p>
            <w:pPr>
              <w:spacing w:after="0"/>
              <w:rPr>
                <w:sz w:val="20"/>
                <w:szCs w:val="20"/>
                <w:color w:val="auto"/>
              </w:rPr>
            </w:pPr>
            <w:r>
              <w:rPr>
                <w:rFonts w:ascii="Arial" w:cs="Arial" w:eastAsia="Arial" w:hAnsi="Arial"/>
                <w:sz w:val="14"/>
                <w:szCs w:val="14"/>
                <w:color w:val="0000EE"/>
              </w:rPr>
              <w:t>Item 4.</w:t>
            </w:r>
          </w:p>
        </w:tc>
        <w:tc>
          <w:tcPr>
            <w:tcW w:w="7660" w:type="dxa"/>
            <w:vAlign w:val="bottom"/>
            <w:gridSpan w:val="27"/>
          </w:tcPr>
          <w:p>
            <w:pPr>
              <w:spacing w:after="0"/>
              <w:rPr>
                <w:sz w:val="20"/>
                <w:szCs w:val="20"/>
                <w:color w:val="auto"/>
              </w:rPr>
            </w:pPr>
            <w:r>
              <w:rPr>
                <w:rFonts w:ascii="Arial" w:cs="Arial" w:eastAsia="Arial" w:hAnsi="Arial"/>
                <w:sz w:val="14"/>
                <w:szCs w:val="14"/>
                <w:color w:val="0000EE"/>
              </w:rPr>
              <w:t>Mine Safety Disclosures</w:t>
            </w:r>
          </w:p>
        </w:tc>
        <w:tc>
          <w:tcPr>
            <w:tcW w:w="36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304"/>
        </w:trPr>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4"/>
                <w:szCs w:val="14"/>
                <w:b w:val="1"/>
                <w:bCs w:val="1"/>
                <w:color w:val="0000EE"/>
                <w:w w:val="96"/>
              </w:rPr>
              <w:t>PART II</w:t>
            </w:r>
          </w:p>
        </w:tc>
        <w:tc>
          <w:tcPr>
            <w:tcW w:w="1040" w:type="dxa"/>
            <w:vAlign w:val="bottom"/>
            <w:tcBorders>
              <w:top w:val="single" w:sz="8" w:color="0000EE"/>
            </w:tcBorders>
            <w:gridSpan w:val="10"/>
          </w:tcPr>
          <w:p>
            <w:pPr>
              <w:spacing w:after="0"/>
              <w:rPr>
                <w:sz w:val="24"/>
                <w:szCs w:val="24"/>
                <w:color w:val="auto"/>
              </w:rPr>
            </w:pPr>
          </w:p>
        </w:tc>
        <w:tc>
          <w:tcPr>
            <w:tcW w:w="6120" w:type="dxa"/>
            <w:vAlign w:val="bottom"/>
            <w:gridSpan w:val="15"/>
          </w:tcPr>
          <w:p>
            <w:pPr>
              <w:spacing w:after="0"/>
              <w:rPr>
                <w:sz w:val="24"/>
                <w:szCs w:val="24"/>
                <w:color w:val="auto"/>
              </w:rPr>
            </w:pPr>
          </w:p>
        </w:tc>
        <w:tc>
          <w:tcPr>
            <w:tcW w:w="360" w:type="dxa"/>
            <w:vAlign w:val="bottom"/>
          </w:tcPr>
          <w:p>
            <w:pPr>
              <w:spacing w:after="0"/>
              <w:rPr>
                <w:sz w:val="24"/>
                <w:szCs w:val="24"/>
                <w:color w:val="auto"/>
              </w:rPr>
            </w:pPr>
          </w:p>
        </w:tc>
      </w:tr>
      <w:tr>
        <w:trPr>
          <w:trHeight w:val="304"/>
        </w:trPr>
        <w:tc>
          <w:tcPr>
            <w:tcW w:w="860" w:type="dxa"/>
            <w:vAlign w:val="bottom"/>
            <w:gridSpan w:val="8"/>
          </w:tcPr>
          <w:p>
            <w:pPr>
              <w:spacing w:after="0"/>
              <w:rPr>
                <w:sz w:val="20"/>
                <w:szCs w:val="20"/>
                <w:color w:val="auto"/>
              </w:rPr>
            </w:pPr>
            <w:r>
              <w:rPr>
                <w:rFonts w:ascii="Arial" w:cs="Arial" w:eastAsia="Arial" w:hAnsi="Arial"/>
                <w:sz w:val="14"/>
                <w:szCs w:val="14"/>
                <w:color w:val="0000EE"/>
              </w:rPr>
              <w:t>Item 5.</w:t>
            </w:r>
          </w:p>
        </w:tc>
        <w:tc>
          <w:tcPr>
            <w:tcW w:w="7660" w:type="dxa"/>
            <w:vAlign w:val="bottom"/>
            <w:gridSpan w:val="27"/>
          </w:tcPr>
          <w:p>
            <w:pPr>
              <w:spacing w:after="0"/>
              <w:rPr>
                <w:sz w:val="20"/>
                <w:szCs w:val="20"/>
                <w:color w:val="auto"/>
              </w:rPr>
            </w:pPr>
            <w:r>
              <w:rPr>
                <w:rFonts w:ascii="Arial" w:cs="Arial" w:eastAsia="Arial" w:hAnsi="Arial"/>
                <w:sz w:val="14"/>
                <w:szCs w:val="14"/>
                <w:color w:val="0000EE"/>
              </w:rPr>
              <w:t>Market for Registrant’s Common Equity, Related Stockholder Matters and Issuer Purchases of Equity Securities</w:t>
            </w:r>
          </w:p>
        </w:tc>
        <w:tc>
          <w:tcPr>
            <w:tcW w:w="36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4"/>
                <w:szCs w:val="14"/>
                <w:color w:val="0000EE"/>
                <w:w w:val="98"/>
              </w:rPr>
              <w:t>Item 6.</w:t>
            </w:r>
          </w:p>
        </w:tc>
        <w:tc>
          <w:tcPr>
            <w:tcW w:w="420" w:type="dxa"/>
            <w:vAlign w:val="bottom"/>
            <w:gridSpan w:val="6"/>
          </w:tcPr>
          <w:p>
            <w:pPr>
              <w:spacing w:after="0"/>
              <w:rPr>
                <w:sz w:val="24"/>
                <w:szCs w:val="24"/>
                <w:color w:val="auto"/>
              </w:rPr>
            </w:pPr>
          </w:p>
        </w:tc>
        <w:tc>
          <w:tcPr>
            <w:tcW w:w="7660" w:type="dxa"/>
            <w:vAlign w:val="bottom"/>
            <w:gridSpan w:val="27"/>
          </w:tcPr>
          <w:p>
            <w:pPr>
              <w:spacing w:after="0"/>
              <w:rPr>
                <w:sz w:val="20"/>
                <w:szCs w:val="20"/>
                <w:color w:val="auto"/>
              </w:rPr>
            </w:pPr>
            <w:r>
              <w:rPr>
                <w:rFonts w:ascii="Arial" w:cs="Arial" w:eastAsia="Arial" w:hAnsi="Arial"/>
                <w:sz w:val="14"/>
                <w:szCs w:val="14"/>
                <w:color w:val="0000EE"/>
              </w:rPr>
              <w:t>[Reserved]</w:t>
            </w:r>
          </w:p>
        </w:tc>
        <w:tc>
          <w:tcPr>
            <w:tcW w:w="36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4"/>
                <w:szCs w:val="14"/>
                <w:color w:val="0000EE"/>
                <w:w w:val="98"/>
              </w:rPr>
              <w:t>Item 7.</w:t>
            </w:r>
          </w:p>
        </w:tc>
        <w:tc>
          <w:tcPr>
            <w:tcW w:w="420" w:type="dxa"/>
            <w:vAlign w:val="bottom"/>
            <w:gridSpan w:val="6"/>
          </w:tcPr>
          <w:p>
            <w:pPr>
              <w:spacing w:after="0"/>
              <w:rPr>
                <w:sz w:val="24"/>
                <w:szCs w:val="24"/>
                <w:color w:val="auto"/>
              </w:rPr>
            </w:pPr>
          </w:p>
        </w:tc>
        <w:tc>
          <w:tcPr>
            <w:tcW w:w="7660" w:type="dxa"/>
            <w:vAlign w:val="bottom"/>
            <w:gridSpan w:val="27"/>
          </w:tcPr>
          <w:p>
            <w:pPr>
              <w:spacing w:after="0"/>
              <w:rPr>
                <w:sz w:val="20"/>
                <w:szCs w:val="20"/>
                <w:color w:val="auto"/>
              </w:rPr>
            </w:pPr>
            <w:r>
              <w:rPr>
                <w:rFonts w:ascii="Arial" w:cs="Arial" w:eastAsia="Arial" w:hAnsi="Arial"/>
                <w:sz w:val="14"/>
                <w:szCs w:val="14"/>
                <w:color w:val="0000EE"/>
              </w:rPr>
              <w:t>Management’s Discussion and Analysis of Financial Condition and Results of Operations</w:t>
            </w:r>
          </w:p>
        </w:tc>
        <w:tc>
          <w:tcPr>
            <w:tcW w:w="36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860" w:type="dxa"/>
            <w:vAlign w:val="bottom"/>
            <w:gridSpan w:val="8"/>
          </w:tcPr>
          <w:p>
            <w:pPr>
              <w:spacing w:after="0"/>
              <w:rPr>
                <w:sz w:val="20"/>
                <w:szCs w:val="20"/>
                <w:color w:val="auto"/>
              </w:rPr>
            </w:pPr>
            <w:r>
              <w:rPr>
                <w:rFonts w:ascii="Arial" w:cs="Arial" w:eastAsia="Arial" w:hAnsi="Arial"/>
                <w:sz w:val="14"/>
                <w:szCs w:val="14"/>
                <w:color w:val="0000EE"/>
              </w:rPr>
              <w:t>Item 7A.</w:t>
            </w:r>
          </w:p>
        </w:tc>
        <w:tc>
          <w:tcPr>
            <w:tcW w:w="7660" w:type="dxa"/>
            <w:vAlign w:val="bottom"/>
            <w:gridSpan w:val="27"/>
          </w:tcPr>
          <w:p>
            <w:pPr>
              <w:spacing w:after="0"/>
              <w:rPr>
                <w:sz w:val="20"/>
                <w:szCs w:val="20"/>
                <w:color w:val="auto"/>
              </w:rPr>
            </w:pPr>
            <w:r>
              <w:rPr>
                <w:rFonts w:ascii="Arial" w:cs="Arial" w:eastAsia="Arial" w:hAnsi="Arial"/>
                <w:sz w:val="14"/>
                <w:szCs w:val="14"/>
                <w:color w:val="0000EE"/>
              </w:rPr>
              <w:t>Quantitative and Qualitative Disclosures About Market Risk</w:t>
            </w:r>
          </w:p>
        </w:tc>
        <w:tc>
          <w:tcPr>
            <w:tcW w:w="36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304"/>
        </w:trPr>
        <w:tc>
          <w:tcPr>
            <w:tcW w:w="520" w:type="dxa"/>
            <w:vAlign w:val="bottom"/>
            <w:tcBorders>
              <w:top w:val="single" w:sz="8" w:color="0000EE"/>
            </w:tcBorders>
            <w:gridSpan w:val="5"/>
          </w:tcPr>
          <w:p>
            <w:pPr>
              <w:spacing w:after="0"/>
              <w:rPr>
                <w:sz w:val="20"/>
                <w:szCs w:val="20"/>
                <w:color w:val="auto"/>
              </w:rPr>
            </w:pPr>
            <w:r>
              <w:rPr>
                <w:rFonts w:ascii="Arial" w:cs="Arial" w:eastAsia="Arial" w:hAnsi="Arial"/>
                <w:sz w:val="14"/>
                <w:szCs w:val="14"/>
                <w:color w:val="0000EE"/>
              </w:rPr>
              <w:t>Item 8.</w:t>
            </w:r>
          </w:p>
        </w:tc>
        <w:tc>
          <w:tcPr>
            <w:tcW w:w="340" w:type="dxa"/>
            <w:vAlign w:val="bottom"/>
            <w:gridSpan w:val="3"/>
          </w:tcPr>
          <w:p>
            <w:pPr>
              <w:spacing w:after="0"/>
              <w:rPr>
                <w:sz w:val="24"/>
                <w:szCs w:val="24"/>
                <w:color w:val="auto"/>
              </w:rPr>
            </w:pPr>
          </w:p>
        </w:tc>
        <w:tc>
          <w:tcPr>
            <w:tcW w:w="3760" w:type="dxa"/>
            <w:vAlign w:val="bottom"/>
            <w:tcBorders>
              <w:top w:val="single" w:sz="8" w:color="0000EE"/>
            </w:tcBorders>
            <w:gridSpan w:val="20"/>
          </w:tcPr>
          <w:p>
            <w:pPr>
              <w:spacing w:after="0"/>
              <w:rPr>
                <w:sz w:val="20"/>
                <w:szCs w:val="20"/>
                <w:color w:val="auto"/>
              </w:rPr>
            </w:pPr>
            <w:r>
              <w:rPr>
                <w:rFonts w:ascii="Arial" w:cs="Arial" w:eastAsia="Arial" w:hAnsi="Arial"/>
                <w:sz w:val="14"/>
                <w:szCs w:val="14"/>
                <w:color w:val="0000EE"/>
              </w:rPr>
              <w:t>Financial Statements and Supplementary Data</w:t>
            </w:r>
          </w:p>
        </w:tc>
        <w:tc>
          <w:tcPr>
            <w:tcW w:w="3900" w:type="dxa"/>
            <w:vAlign w:val="bottom"/>
            <w:gridSpan w:val="7"/>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860" w:type="dxa"/>
            <w:vAlign w:val="bottom"/>
            <w:gridSpan w:val="8"/>
          </w:tcPr>
          <w:p>
            <w:pPr>
              <w:spacing w:after="0"/>
              <w:rPr>
                <w:sz w:val="20"/>
                <w:szCs w:val="20"/>
                <w:color w:val="auto"/>
              </w:rPr>
            </w:pPr>
            <w:r>
              <w:rPr>
                <w:rFonts w:ascii="Arial" w:cs="Arial" w:eastAsia="Arial" w:hAnsi="Arial"/>
                <w:sz w:val="14"/>
                <w:szCs w:val="14"/>
                <w:color w:val="0000EE"/>
              </w:rPr>
              <w:t>Item 9.</w:t>
            </w:r>
          </w:p>
        </w:tc>
        <w:tc>
          <w:tcPr>
            <w:tcW w:w="7660" w:type="dxa"/>
            <w:vAlign w:val="bottom"/>
            <w:gridSpan w:val="27"/>
          </w:tcPr>
          <w:p>
            <w:pPr>
              <w:spacing w:after="0"/>
              <w:rPr>
                <w:sz w:val="20"/>
                <w:szCs w:val="20"/>
                <w:color w:val="auto"/>
              </w:rPr>
            </w:pPr>
            <w:r>
              <w:rPr>
                <w:rFonts w:ascii="Arial" w:cs="Arial" w:eastAsia="Arial" w:hAnsi="Arial"/>
                <w:sz w:val="14"/>
                <w:szCs w:val="14"/>
                <w:color w:val="0000EE"/>
              </w:rPr>
              <w:t>Changes in and Disagreements with Accountants on Accounting and Financial Disclosure</w:t>
            </w:r>
          </w:p>
        </w:tc>
        <w:tc>
          <w:tcPr>
            <w:tcW w:w="36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540" w:type="dxa"/>
            <w:vAlign w:val="bottom"/>
            <w:gridSpan w:val="6"/>
          </w:tcPr>
          <w:p>
            <w:pPr>
              <w:spacing w:after="0"/>
              <w:rPr>
                <w:sz w:val="20"/>
                <w:szCs w:val="20"/>
                <w:color w:val="auto"/>
              </w:rPr>
            </w:pPr>
            <w:r>
              <w:rPr>
                <w:rFonts w:ascii="Arial" w:cs="Arial" w:eastAsia="Arial" w:hAnsi="Arial"/>
                <w:sz w:val="14"/>
                <w:szCs w:val="14"/>
                <w:color w:val="0000EE"/>
                <w:w w:val="99"/>
              </w:rPr>
              <w:t>Item 9A.</w:t>
            </w:r>
          </w:p>
        </w:tc>
        <w:tc>
          <w:tcPr>
            <w:tcW w:w="320" w:type="dxa"/>
            <w:vAlign w:val="bottom"/>
            <w:gridSpan w:val="2"/>
          </w:tcPr>
          <w:p>
            <w:pPr>
              <w:spacing w:after="0"/>
              <w:rPr>
                <w:sz w:val="24"/>
                <w:szCs w:val="24"/>
                <w:color w:val="auto"/>
              </w:rPr>
            </w:pPr>
          </w:p>
        </w:tc>
        <w:tc>
          <w:tcPr>
            <w:tcW w:w="7660" w:type="dxa"/>
            <w:vAlign w:val="bottom"/>
            <w:gridSpan w:val="27"/>
          </w:tcPr>
          <w:p>
            <w:pPr>
              <w:spacing w:after="0"/>
              <w:rPr>
                <w:sz w:val="20"/>
                <w:szCs w:val="20"/>
                <w:color w:val="auto"/>
              </w:rPr>
            </w:pPr>
            <w:r>
              <w:rPr>
                <w:rFonts w:ascii="Arial" w:cs="Arial" w:eastAsia="Arial" w:hAnsi="Arial"/>
                <w:sz w:val="14"/>
                <w:szCs w:val="14"/>
                <w:color w:val="0000EE"/>
              </w:rPr>
              <w:t>Controls and Procedures</w:t>
            </w:r>
          </w:p>
        </w:tc>
        <w:tc>
          <w:tcPr>
            <w:tcW w:w="36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304"/>
        </w:trPr>
        <w:tc>
          <w:tcPr>
            <w:tcW w:w="54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4"/>
                <w:szCs w:val="14"/>
                <w:color w:val="0000EE"/>
                <w:w w:val="99"/>
              </w:rPr>
              <w:t>Item 9B.</w:t>
            </w:r>
          </w:p>
        </w:tc>
        <w:tc>
          <w:tcPr>
            <w:tcW w:w="320" w:type="dxa"/>
            <w:vAlign w:val="bottom"/>
            <w:gridSpan w:val="2"/>
          </w:tcPr>
          <w:p>
            <w:pPr>
              <w:spacing w:after="0"/>
              <w:rPr>
                <w:sz w:val="24"/>
                <w:szCs w:val="24"/>
                <w:color w:val="auto"/>
              </w:rPr>
            </w:pPr>
          </w:p>
        </w:tc>
        <w:tc>
          <w:tcPr>
            <w:tcW w:w="118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4"/>
                <w:szCs w:val="14"/>
                <w:color w:val="0000EE"/>
              </w:rPr>
              <w:t>Other Information</w:t>
            </w:r>
          </w:p>
        </w:tc>
        <w:tc>
          <w:tcPr>
            <w:tcW w:w="400" w:type="dxa"/>
            <w:vAlign w:val="bottom"/>
            <w:tcBorders>
              <w:top w:val="single" w:sz="8" w:color="0000EE"/>
            </w:tcBorders>
            <w:gridSpan w:val="4"/>
          </w:tcPr>
          <w:p>
            <w:pPr>
              <w:spacing w:after="0"/>
              <w:rPr>
                <w:sz w:val="24"/>
                <w:szCs w:val="24"/>
                <w:color w:val="auto"/>
              </w:rPr>
            </w:pPr>
          </w:p>
        </w:tc>
        <w:tc>
          <w:tcPr>
            <w:tcW w:w="6080" w:type="dxa"/>
            <w:vAlign w:val="bottom"/>
            <w:gridSpan w:val="1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304"/>
        </w:trPr>
        <w:tc>
          <w:tcPr>
            <w:tcW w:w="54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w w:val="98"/>
              </w:rPr>
              <w:t>Item 9C.</w:t>
            </w:r>
          </w:p>
        </w:tc>
        <w:tc>
          <w:tcPr>
            <w:tcW w:w="320" w:type="dxa"/>
            <w:vAlign w:val="bottom"/>
            <w:gridSpan w:val="2"/>
          </w:tcPr>
          <w:p>
            <w:pPr>
              <w:spacing w:after="0"/>
              <w:rPr>
                <w:sz w:val="24"/>
                <w:szCs w:val="24"/>
                <w:color w:val="auto"/>
              </w:rPr>
            </w:pPr>
          </w:p>
        </w:tc>
        <w:tc>
          <w:tcPr>
            <w:tcW w:w="4320" w:type="dxa"/>
            <w:vAlign w:val="bottom"/>
            <w:tcBorders>
              <w:bottom w:val="single" w:sz="8" w:color="0000EE"/>
            </w:tcBorders>
            <w:gridSpan w:val="21"/>
          </w:tcPr>
          <w:p>
            <w:pPr>
              <w:spacing w:after="0"/>
              <w:rPr>
                <w:sz w:val="20"/>
                <w:szCs w:val="20"/>
                <w:color w:val="auto"/>
              </w:rPr>
            </w:pPr>
            <w:r>
              <w:rPr>
                <w:rFonts w:ascii="Arial" w:cs="Arial" w:eastAsia="Arial" w:hAnsi="Arial"/>
                <w:sz w:val="14"/>
                <w:szCs w:val="14"/>
                <w:color w:val="0000EE"/>
              </w:rPr>
              <w:t>Disclosure Regarding Foreign Jurisdictions that Prevent Inspections</w:t>
            </w:r>
          </w:p>
        </w:tc>
        <w:tc>
          <w:tcPr>
            <w:tcW w:w="3340" w:type="dxa"/>
            <w:vAlign w:val="bottom"/>
            <w:gridSpan w:val="6"/>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30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b w:val="1"/>
                <w:bCs w:val="1"/>
                <w:color w:val="0000EE"/>
                <w:w w:val="96"/>
              </w:rPr>
              <w:t>PART III</w:t>
            </w:r>
          </w:p>
        </w:tc>
        <w:tc>
          <w:tcPr>
            <w:tcW w:w="7120" w:type="dxa"/>
            <w:vAlign w:val="bottom"/>
            <w:gridSpan w:val="24"/>
          </w:tcPr>
          <w:p>
            <w:pPr>
              <w:spacing w:after="0"/>
              <w:rPr>
                <w:sz w:val="24"/>
                <w:szCs w:val="24"/>
                <w:color w:val="auto"/>
              </w:rPr>
            </w:pPr>
          </w:p>
        </w:tc>
        <w:tc>
          <w:tcPr>
            <w:tcW w:w="360" w:type="dxa"/>
            <w:vAlign w:val="bottom"/>
          </w:tcPr>
          <w:p>
            <w:pPr>
              <w:spacing w:after="0"/>
              <w:rPr>
                <w:sz w:val="24"/>
                <w:szCs w:val="24"/>
                <w:color w:val="auto"/>
              </w:rPr>
            </w:pPr>
          </w:p>
        </w:tc>
      </w:tr>
      <w:tr>
        <w:trPr>
          <w:trHeight w:val="304"/>
        </w:trPr>
        <w:tc>
          <w:tcPr>
            <w:tcW w:w="860" w:type="dxa"/>
            <w:vAlign w:val="bottom"/>
            <w:gridSpan w:val="8"/>
          </w:tcPr>
          <w:p>
            <w:pPr>
              <w:spacing w:after="0"/>
              <w:rPr>
                <w:sz w:val="20"/>
                <w:szCs w:val="20"/>
                <w:color w:val="auto"/>
              </w:rPr>
            </w:pPr>
            <w:r>
              <w:rPr>
                <w:rFonts w:ascii="Arial" w:cs="Arial" w:eastAsia="Arial" w:hAnsi="Arial"/>
                <w:sz w:val="14"/>
                <w:szCs w:val="14"/>
                <w:color w:val="0000EE"/>
              </w:rPr>
              <w:t>Item 10.</w:t>
            </w:r>
          </w:p>
        </w:tc>
        <w:tc>
          <w:tcPr>
            <w:tcW w:w="7660" w:type="dxa"/>
            <w:vAlign w:val="bottom"/>
            <w:gridSpan w:val="27"/>
          </w:tcPr>
          <w:p>
            <w:pPr>
              <w:spacing w:after="0"/>
              <w:rPr>
                <w:sz w:val="20"/>
                <w:szCs w:val="20"/>
                <w:color w:val="auto"/>
              </w:rPr>
            </w:pPr>
            <w:r>
              <w:rPr>
                <w:rFonts w:ascii="Arial" w:cs="Arial" w:eastAsia="Arial" w:hAnsi="Arial"/>
                <w:sz w:val="14"/>
                <w:szCs w:val="14"/>
                <w:color w:val="0000EE"/>
              </w:rPr>
              <w:t>Directors, Executive Officers and Corporate Governance</w:t>
            </w:r>
          </w:p>
        </w:tc>
        <w:tc>
          <w:tcPr>
            <w:tcW w:w="3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500" w:type="dxa"/>
            <w:vAlign w:val="bottom"/>
            <w:gridSpan w:val="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860" w:type="dxa"/>
            <w:vAlign w:val="bottom"/>
            <w:gridSpan w:val="8"/>
          </w:tcPr>
          <w:p>
            <w:pPr>
              <w:spacing w:after="0"/>
              <w:rPr>
                <w:sz w:val="20"/>
                <w:szCs w:val="20"/>
                <w:color w:val="auto"/>
              </w:rPr>
            </w:pPr>
            <w:r>
              <w:rPr>
                <w:rFonts w:ascii="Arial" w:cs="Arial" w:eastAsia="Arial" w:hAnsi="Arial"/>
                <w:sz w:val="14"/>
                <w:szCs w:val="14"/>
                <w:color w:val="0000EE"/>
              </w:rPr>
              <w:t>Item 11.</w:t>
            </w:r>
          </w:p>
        </w:tc>
        <w:tc>
          <w:tcPr>
            <w:tcW w:w="7660" w:type="dxa"/>
            <w:vAlign w:val="bottom"/>
            <w:gridSpan w:val="27"/>
          </w:tcPr>
          <w:p>
            <w:pPr>
              <w:spacing w:after="0"/>
              <w:rPr>
                <w:sz w:val="20"/>
                <w:szCs w:val="20"/>
                <w:color w:val="auto"/>
              </w:rPr>
            </w:pPr>
            <w:r>
              <w:rPr>
                <w:rFonts w:ascii="Arial" w:cs="Arial" w:eastAsia="Arial" w:hAnsi="Arial"/>
                <w:sz w:val="14"/>
                <w:szCs w:val="14"/>
                <w:color w:val="0000EE"/>
              </w:rPr>
              <w:t>Executive Compensation</w:t>
            </w:r>
          </w:p>
        </w:tc>
        <w:tc>
          <w:tcPr>
            <w:tcW w:w="3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500" w:type="dxa"/>
            <w:vAlign w:val="bottom"/>
            <w:gridSpan w:val="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860" w:type="dxa"/>
            <w:vAlign w:val="bottom"/>
            <w:gridSpan w:val="8"/>
          </w:tcPr>
          <w:p>
            <w:pPr>
              <w:spacing w:after="0"/>
              <w:rPr>
                <w:sz w:val="20"/>
                <w:szCs w:val="20"/>
                <w:color w:val="auto"/>
              </w:rPr>
            </w:pPr>
            <w:r>
              <w:rPr>
                <w:rFonts w:ascii="Arial" w:cs="Arial" w:eastAsia="Arial" w:hAnsi="Arial"/>
                <w:sz w:val="14"/>
                <w:szCs w:val="14"/>
                <w:color w:val="0000EE"/>
              </w:rPr>
              <w:t>Item 12.</w:t>
            </w:r>
          </w:p>
        </w:tc>
        <w:tc>
          <w:tcPr>
            <w:tcW w:w="7660" w:type="dxa"/>
            <w:vAlign w:val="bottom"/>
            <w:gridSpan w:val="27"/>
          </w:tcPr>
          <w:p>
            <w:pPr>
              <w:spacing w:after="0"/>
              <w:rPr>
                <w:sz w:val="20"/>
                <w:szCs w:val="20"/>
                <w:color w:val="auto"/>
              </w:rPr>
            </w:pPr>
            <w:r>
              <w:rPr>
                <w:rFonts w:ascii="Arial" w:cs="Arial" w:eastAsia="Arial" w:hAnsi="Arial"/>
                <w:sz w:val="14"/>
                <w:szCs w:val="14"/>
                <w:color w:val="0000EE"/>
              </w:rPr>
              <w:t>Security Ownership of Certain Beneficial Owners and Management and Related Stockholder Matters</w:t>
            </w:r>
          </w:p>
        </w:tc>
        <w:tc>
          <w:tcPr>
            <w:tcW w:w="3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500" w:type="dxa"/>
            <w:vAlign w:val="bottom"/>
            <w:gridSpan w:val="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860" w:type="dxa"/>
            <w:vAlign w:val="bottom"/>
            <w:gridSpan w:val="8"/>
          </w:tcPr>
          <w:p>
            <w:pPr>
              <w:spacing w:after="0"/>
              <w:rPr>
                <w:sz w:val="20"/>
                <w:szCs w:val="20"/>
                <w:color w:val="auto"/>
              </w:rPr>
            </w:pPr>
            <w:r>
              <w:rPr>
                <w:rFonts w:ascii="Arial" w:cs="Arial" w:eastAsia="Arial" w:hAnsi="Arial"/>
                <w:sz w:val="14"/>
                <w:szCs w:val="14"/>
                <w:color w:val="0000EE"/>
              </w:rPr>
              <w:t>Item 13.</w:t>
            </w:r>
          </w:p>
        </w:tc>
        <w:tc>
          <w:tcPr>
            <w:tcW w:w="7660" w:type="dxa"/>
            <w:vAlign w:val="bottom"/>
            <w:gridSpan w:val="27"/>
          </w:tcPr>
          <w:p>
            <w:pPr>
              <w:spacing w:after="0"/>
              <w:rPr>
                <w:sz w:val="20"/>
                <w:szCs w:val="20"/>
                <w:color w:val="auto"/>
              </w:rPr>
            </w:pPr>
            <w:r>
              <w:rPr>
                <w:rFonts w:ascii="Arial" w:cs="Arial" w:eastAsia="Arial" w:hAnsi="Arial"/>
                <w:sz w:val="14"/>
                <w:szCs w:val="14"/>
                <w:color w:val="0000EE"/>
              </w:rPr>
              <w:t>Certain Relationships and Related Transactions, and Director Independence</w:t>
            </w:r>
          </w:p>
        </w:tc>
        <w:tc>
          <w:tcPr>
            <w:tcW w:w="3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500" w:type="dxa"/>
            <w:vAlign w:val="bottom"/>
            <w:gridSpan w:val="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860" w:type="dxa"/>
            <w:vAlign w:val="bottom"/>
            <w:gridSpan w:val="8"/>
          </w:tcPr>
          <w:p>
            <w:pPr>
              <w:spacing w:after="0"/>
              <w:rPr>
                <w:sz w:val="20"/>
                <w:szCs w:val="20"/>
                <w:color w:val="auto"/>
              </w:rPr>
            </w:pPr>
            <w:r>
              <w:rPr>
                <w:rFonts w:ascii="Arial" w:cs="Arial" w:eastAsia="Arial" w:hAnsi="Arial"/>
                <w:sz w:val="14"/>
                <w:szCs w:val="14"/>
                <w:color w:val="0000EE"/>
              </w:rPr>
              <w:t>Item 14.</w:t>
            </w:r>
          </w:p>
        </w:tc>
        <w:tc>
          <w:tcPr>
            <w:tcW w:w="7660" w:type="dxa"/>
            <w:vAlign w:val="bottom"/>
            <w:gridSpan w:val="27"/>
          </w:tcPr>
          <w:p>
            <w:pPr>
              <w:spacing w:after="0"/>
              <w:rPr>
                <w:sz w:val="20"/>
                <w:szCs w:val="20"/>
                <w:color w:val="auto"/>
              </w:rPr>
            </w:pPr>
            <w:r>
              <w:rPr>
                <w:rFonts w:ascii="Arial" w:cs="Arial" w:eastAsia="Arial" w:hAnsi="Arial"/>
                <w:sz w:val="14"/>
                <w:szCs w:val="14"/>
                <w:color w:val="0000EE"/>
              </w:rPr>
              <w:t>Principal Accountant Fees and Services</w:t>
            </w:r>
          </w:p>
        </w:tc>
        <w:tc>
          <w:tcPr>
            <w:tcW w:w="3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304"/>
        </w:trPr>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4"/>
                <w:szCs w:val="14"/>
                <w:b w:val="1"/>
                <w:bCs w:val="1"/>
                <w:color w:val="0000EE"/>
                <w:w w:val="97"/>
              </w:rPr>
              <w:t>PART IV</w:t>
            </w:r>
          </w:p>
        </w:tc>
        <w:tc>
          <w:tcPr>
            <w:tcW w:w="1980" w:type="dxa"/>
            <w:vAlign w:val="bottom"/>
            <w:tcBorders>
              <w:top w:val="single" w:sz="8" w:color="0000EE"/>
            </w:tcBorders>
            <w:gridSpan w:val="11"/>
          </w:tcPr>
          <w:p>
            <w:pPr>
              <w:spacing w:after="0"/>
              <w:rPr>
                <w:sz w:val="24"/>
                <w:szCs w:val="24"/>
                <w:color w:val="auto"/>
              </w:rPr>
            </w:pPr>
          </w:p>
        </w:tc>
        <w:tc>
          <w:tcPr>
            <w:tcW w:w="512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r>
      <w:tr>
        <w:trPr>
          <w:trHeight w:val="304"/>
        </w:trPr>
        <w:tc>
          <w:tcPr>
            <w:tcW w:w="860" w:type="dxa"/>
            <w:vAlign w:val="bottom"/>
            <w:gridSpan w:val="8"/>
          </w:tcPr>
          <w:p>
            <w:pPr>
              <w:spacing w:after="0"/>
              <w:rPr>
                <w:sz w:val="20"/>
                <w:szCs w:val="20"/>
                <w:color w:val="auto"/>
              </w:rPr>
            </w:pPr>
            <w:r>
              <w:rPr>
                <w:rFonts w:ascii="Arial" w:cs="Arial" w:eastAsia="Arial" w:hAnsi="Arial"/>
                <w:sz w:val="14"/>
                <w:szCs w:val="14"/>
                <w:color w:val="0000EE"/>
              </w:rPr>
              <w:t>Item 15.</w:t>
            </w:r>
          </w:p>
        </w:tc>
        <w:tc>
          <w:tcPr>
            <w:tcW w:w="7660" w:type="dxa"/>
            <w:vAlign w:val="bottom"/>
            <w:gridSpan w:val="27"/>
          </w:tcPr>
          <w:p>
            <w:pPr>
              <w:spacing w:after="0"/>
              <w:rPr>
                <w:sz w:val="20"/>
                <w:szCs w:val="20"/>
                <w:color w:val="auto"/>
              </w:rPr>
            </w:pPr>
            <w:r>
              <w:rPr>
                <w:rFonts w:ascii="Arial" w:cs="Arial" w:eastAsia="Arial" w:hAnsi="Arial"/>
                <w:sz w:val="14"/>
                <w:szCs w:val="14"/>
                <w:color w:val="0000EE"/>
              </w:rPr>
              <w:t>Exhibit and Financial Statement Schedules</w:t>
            </w:r>
          </w:p>
        </w:tc>
        <w:tc>
          <w:tcPr>
            <w:tcW w:w="36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0"/>
        </w:trPr>
        <w:tc>
          <w:tcPr>
            <w:tcW w:w="500" w:type="dxa"/>
            <w:vAlign w:val="bottom"/>
            <w:gridSpan w:val="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10"/>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494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860" w:type="dxa"/>
            <w:vAlign w:val="bottom"/>
            <w:gridSpan w:val="8"/>
          </w:tcPr>
          <w:p>
            <w:pPr>
              <w:spacing w:after="0"/>
              <w:rPr>
                <w:sz w:val="20"/>
                <w:szCs w:val="20"/>
                <w:color w:val="auto"/>
              </w:rPr>
            </w:pPr>
            <w:r>
              <w:rPr>
                <w:rFonts w:ascii="Arial" w:cs="Arial" w:eastAsia="Arial" w:hAnsi="Arial"/>
                <w:sz w:val="14"/>
                <w:szCs w:val="14"/>
                <w:color w:val="0000EE"/>
              </w:rPr>
              <w:t>Item 16.</w:t>
            </w:r>
          </w:p>
        </w:tc>
        <w:tc>
          <w:tcPr>
            <w:tcW w:w="7660" w:type="dxa"/>
            <w:vAlign w:val="bottom"/>
            <w:gridSpan w:val="27"/>
          </w:tcPr>
          <w:p>
            <w:pPr>
              <w:spacing w:after="0"/>
              <w:rPr>
                <w:sz w:val="20"/>
                <w:szCs w:val="20"/>
                <w:color w:val="auto"/>
              </w:rPr>
            </w:pPr>
            <w:r>
              <w:rPr>
                <w:rFonts w:ascii="Arial" w:cs="Arial" w:eastAsia="Arial" w:hAnsi="Arial"/>
                <w:sz w:val="14"/>
                <w:szCs w:val="14"/>
                <w:color w:val="0000EE"/>
              </w:rPr>
              <w:t>Form 10-K Summary</w:t>
            </w:r>
          </w:p>
        </w:tc>
        <w:tc>
          <w:tcPr>
            <w:tcW w:w="36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20"/>
        </w:trPr>
        <w:tc>
          <w:tcPr>
            <w:tcW w:w="500" w:type="dxa"/>
            <w:vAlign w:val="bottom"/>
            <w:gridSpan w:val="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68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0000EE"/>
                <w:w w:val="98"/>
              </w:rPr>
              <w:t>Signatures</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106</w:t>
            </w: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Cautionary Note on Forward-Looking Statements</w:t>
      </w:r>
    </w:p>
    <w:p>
      <w:pPr>
        <w:spacing w:after="0" w:line="220"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This Annual Report on Form 10 -K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are forward-looking statements, including statements regarding our future results of operations and financial position, business strategy, the impact of the global COVID-19 pandemic on our business, financial results and financial position, clinical trial results, prospective products, product approvals, research and development costs, timing and likelihood of success, and the plans and objectives of management for future operations.</w:t>
      </w:r>
    </w:p>
    <w:p>
      <w:pPr>
        <w:spacing w:after="0" w:line="206" w:lineRule="exact"/>
        <w:rPr>
          <w:sz w:val="20"/>
          <w:szCs w:val="20"/>
          <w:color w:val="auto"/>
        </w:rPr>
      </w:pPr>
    </w:p>
    <w:p>
      <w:pPr>
        <w:ind w:left="60" w:right="139"/>
        <w:spacing w:after="0" w:line="251"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Annual Report on Form 10-K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known and unknown risks, uncertainties and assumptions, including, but not limited to, the important factors discussed in Part I, Item 1A. “Risk Factors” in this Annual Report on Form 10-K, which are summarized below. Moreover, we operate in an evolving environment. New risk factors and uncertainties may emerge from time to time, and it is not possible for management to predict all risk factors and uncertainties.</w:t>
      </w:r>
    </w:p>
    <w:p>
      <w:pPr>
        <w:spacing w:after="0" w:line="195"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234" w:lineRule="exact"/>
        <w:rPr>
          <w:sz w:val="20"/>
          <w:szCs w:val="20"/>
          <w:color w:val="auto"/>
        </w:rPr>
      </w:pPr>
    </w:p>
    <w:p>
      <w:pPr>
        <w:jc w:val="both"/>
        <w:ind w:left="60" w:right="179"/>
        <w:spacing w:after="0" w:line="238"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but are not limited to, the following:</w:t>
      </w:r>
    </w:p>
    <w:p>
      <w:pPr>
        <w:spacing w:after="0" w:line="205" w:lineRule="exact"/>
        <w:rPr>
          <w:sz w:val="20"/>
          <w:szCs w:val="20"/>
          <w:color w:val="auto"/>
        </w:rPr>
      </w:pPr>
    </w:p>
    <w:p>
      <w:pPr>
        <w:ind w:left="720" w:right="719" w:hanging="319"/>
        <w:spacing w:after="0" w:line="24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significant losses, which we expect to continue, and we may not be able to achieve or sustain profitability;</w:t>
      </w:r>
    </w:p>
    <w:p>
      <w:pPr>
        <w:spacing w:after="0" w:line="88" w:lineRule="exact"/>
        <w:rPr>
          <w:rFonts w:ascii="Arial" w:cs="Arial" w:eastAsia="Arial" w:hAnsi="Arial"/>
          <w:sz w:val="18"/>
          <w:szCs w:val="18"/>
          <w:color w:val="auto"/>
        </w:rPr>
      </w:pPr>
    </w:p>
    <w:p>
      <w:pPr>
        <w:ind w:left="720" w:right="1059"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principal stockholders, management and directors (three of whom are affiliated with our principal stockholders) own a significant percentage of our stock and will be able to exert significant control over matters subject to stockholder approval;</w:t>
      </w:r>
    </w:p>
    <w:p>
      <w:pPr>
        <w:spacing w:after="0" w:line="94" w:lineRule="exact"/>
        <w:rPr>
          <w:rFonts w:ascii="Arial" w:cs="Arial" w:eastAsia="Arial" w:hAnsi="Arial"/>
          <w:sz w:val="18"/>
          <w:szCs w:val="18"/>
          <w:color w:val="auto"/>
        </w:rPr>
      </w:pPr>
    </w:p>
    <w:p>
      <w:pPr>
        <w:ind w:left="720" w:right="759"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history operating as a commercial company and are highly dependent on a single product, Barostim and the failure to increase market acceptance in the U.S. for Barostim would negatively impact our business, liquidity and results of operations;</w:t>
      </w:r>
    </w:p>
    <w:p>
      <w:pPr>
        <w:spacing w:after="0" w:line="94" w:lineRule="exact"/>
        <w:rPr>
          <w:rFonts w:ascii="Arial" w:cs="Arial" w:eastAsia="Arial" w:hAnsi="Arial"/>
          <w:sz w:val="18"/>
          <w:szCs w:val="18"/>
          <w:color w:val="auto"/>
        </w:rPr>
      </w:pPr>
    </w:p>
    <w:p>
      <w:pPr>
        <w:ind w:left="720" w:right="839"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limited commercial sales experience marketing and selling Barostim, and if we are unable to continue to maintain and grow sales and marketing capabilities, we will be unable to generate sustained and increasing product revenue;</w:t>
      </w:r>
    </w:p>
    <w:p>
      <w:pPr>
        <w:spacing w:after="0" w:line="94"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must demonstrate to physicians and patients the merits of Barostim;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127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third-party payors do not provide adequate coverage and reimbursement for the use of Barostim, our revenue will be negatively impacted;</w:t>
      </w:r>
    </w:p>
    <w:p>
      <w:pPr>
        <w:spacing w:after="0" w:line="88" w:lineRule="exact"/>
        <w:rPr>
          <w:rFonts w:ascii="Arial" w:cs="Arial" w:eastAsia="Arial" w:hAnsi="Arial"/>
          <w:sz w:val="18"/>
          <w:szCs w:val="18"/>
          <w:color w:val="auto"/>
        </w:rPr>
      </w:pPr>
    </w:p>
    <w:p>
      <w:pPr>
        <w:ind w:left="720" w:right="739" w:hanging="319"/>
        <w:spacing w:after="0" w:line="23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industry is highly competitive; if our competitors, many of which are large, well-established companies with substantially greater resources than us and have a long history of competing in the heart failure market, are better able to develop and market products that are safer, more effective, less costly, easier to use or otherwise more attractive than Barostim, our business will be adversely impacted;</w:t>
      </w:r>
    </w:p>
    <w:p>
      <w:pPr>
        <w:spacing w:after="0" w:line="94"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receive access to hospitals, our sales may decrease;</w:t>
      </w:r>
    </w:p>
    <w:p>
      <w:pPr>
        <w:spacing w:after="0" w:line="117" w:lineRule="exact"/>
        <w:rPr>
          <w:rFonts w:ascii="Arial" w:cs="Arial" w:eastAsia="Arial" w:hAnsi="Arial"/>
          <w:sz w:val="18"/>
          <w:szCs w:val="18"/>
          <w:color w:val="auto"/>
        </w:rPr>
      </w:pPr>
    </w:p>
    <w:p>
      <w:pPr>
        <w:ind w:left="720" w:right="519" w:hanging="319"/>
        <w:spacing w:after="0" w:line="23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dependent upon third-party manufacturers and suppliers, and in some cases a limited number of suppliers, making us vulnerable to supply shortages, loss or degradation in performance of the suppliers, price fluctuations and ongoing supply chain disruptions, which could harm our business;</w:t>
      </w:r>
    </w:p>
    <w:p>
      <w:pPr>
        <w:spacing w:after="0" w:line="96" w:lineRule="exact"/>
        <w:rPr>
          <w:rFonts w:ascii="Arial" w:cs="Arial" w:eastAsia="Arial" w:hAnsi="Arial"/>
          <w:sz w:val="18"/>
          <w:szCs w:val="18"/>
          <w:color w:val="auto"/>
        </w:rPr>
      </w:pPr>
    </w:p>
    <w:p>
      <w:pPr>
        <w:ind w:left="720" w:right="57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manufacturing risks may adversely affect our ability to manufacture our product and could reduce our gross margin and profitability;</w:t>
      </w:r>
    </w:p>
    <w:p>
      <w:pPr>
        <w:spacing w:after="0" w:line="88" w:lineRule="exact"/>
        <w:rPr>
          <w:rFonts w:ascii="Arial" w:cs="Arial" w:eastAsia="Arial" w:hAnsi="Arial"/>
          <w:sz w:val="18"/>
          <w:szCs w:val="18"/>
          <w:color w:val="auto"/>
        </w:rPr>
      </w:pPr>
    </w:p>
    <w:p>
      <w:pPr>
        <w:ind w:left="720" w:right="599"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pandemic, epidemic or outbreak of an infectious disease in the U.S. or worldwide, including the outbreak of the novel strain of coronavirus disease, COVID-19, could adversely affect our business;</w:t>
      </w:r>
    </w:p>
    <w:p>
      <w:pPr>
        <w:spacing w:after="0" w:line="94" w:lineRule="exact"/>
        <w:rPr>
          <w:rFonts w:ascii="Arial" w:cs="Arial" w:eastAsia="Arial" w:hAnsi="Arial"/>
          <w:sz w:val="18"/>
          <w:szCs w:val="18"/>
          <w:color w:val="auto"/>
        </w:rPr>
      </w:pPr>
    </w:p>
    <w:p>
      <w:pPr>
        <w:ind w:left="720" w:right="59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face product liability claims that could be costly, divert management’s attention and harm our reputation;</w:t>
      </w:r>
    </w:p>
    <w:p>
      <w:pPr>
        <w:spacing w:after="0" w:line="88" w:lineRule="exact"/>
        <w:rPr>
          <w:rFonts w:ascii="Arial" w:cs="Arial" w:eastAsia="Arial" w:hAnsi="Arial"/>
          <w:sz w:val="18"/>
          <w:szCs w:val="18"/>
          <w:color w:val="auto"/>
        </w:rPr>
      </w:pPr>
    </w:p>
    <w:p>
      <w:pPr>
        <w:ind w:left="720" w:right="599" w:hanging="319"/>
        <w:spacing w:after="0" w:line="23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in the future become involved in lawsuits to protect or enforce our intellectual property or defend ourselves against intellectual property disputes, which could be expensive, time consuming and ultimately unsuccessful, and could result in the diversion of significant resources, thereby hindering our ability to effectively commercialize our existing or future products;</w:t>
      </w:r>
    </w:p>
    <w:p>
      <w:pPr>
        <w:spacing w:after="0" w:line="96" w:lineRule="exact"/>
        <w:rPr>
          <w:rFonts w:ascii="Arial" w:cs="Arial" w:eastAsia="Arial" w:hAnsi="Arial"/>
          <w:sz w:val="18"/>
          <w:szCs w:val="18"/>
          <w:color w:val="auto"/>
        </w:rPr>
      </w:pPr>
    </w:p>
    <w:p>
      <w:pPr>
        <w:ind w:left="720" w:right="679" w:hanging="319"/>
        <w:spacing w:after="0" w:line="274"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retain our key executives or recruit and hire new employees, our operations and financial results may be adversely affected while we attract other highly qualified personnel; and</w:t>
      </w:r>
    </w:p>
    <w:p>
      <w:pPr>
        <w:spacing w:after="0" w:line="66" w:lineRule="exact"/>
        <w:rPr>
          <w:rFonts w:ascii="Arial" w:cs="Arial" w:eastAsia="Arial" w:hAnsi="Arial"/>
          <w:sz w:val="17"/>
          <w:szCs w:val="17"/>
          <w:color w:val="auto"/>
        </w:rPr>
      </w:pPr>
    </w:p>
    <w:p>
      <w:pPr>
        <w:ind w:left="720" w:right="53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continue to obtain long-term clinical data regarding the safety and efficacy of our products, which could impact future adoption and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 Business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CVRx is a commercial-stage medical device company focused on developing, manufacturing and commercializing innovative neuromodulation solutions for patients with cardiovascular diseases. Barostim is the first medical technology approved by the U.S. Food and Drug Administration (the “FDA”) that uses neuromodulation to improve the symptoms of patients with heart failure (“HF”). Barostim is an implantable device that delivers electrical pulses to baroreceptors located in the wall of the carotid artery. Barostim provides Baroreflex Activation Therapy (“BAT,” or “Barostim Therapy”), which in turn triggers an autonomic response to the heart. The therapy is designed to restore balance to the Autonomic Nervous System (“ANS”) and thereby reduce the symptoms of HF. Barostim received the FDA Breakthrough Device designation and is FDA-approved for use in HF patients in the U.S</w:t>
      </w:r>
      <w:r>
        <w:rPr>
          <w:rFonts w:ascii="Arial" w:cs="Arial" w:eastAsia="Arial" w:hAnsi="Arial"/>
          <w:sz w:val="16"/>
          <w:szCs w:val="16"/>
          <w:color w:val="auto"/>
        </w:rPr>
        <w:t>.</w:t>
      </w:r>
      <w:r>
        <w:rPr>
          <w:rFonts w:ascii="Arial" w:cs="Arial" w:eastAsia="Arial" w:hAnsi="Arial"/>
          <w:sz w:val="18"/>
          <w:szCs w:val="18"/>
          <w:color w:val="auto"/>
        </w:rPr>
        <w:t xml:space="preserve"> We estimate that our annual market opportunity for HFrEF is $1.4 billion in the U.S. and $ 1.5 billion in select European Markets (Germany, France, Italy, Spain and the United Kingdom, or “European Five”).</w:t>
      </w:r>
    </w:p>
    <w:p>
      <w:pPr>
        <w:spacing w:after="0" w:line="19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HF is one of the most prevalent and devastating cardiovascular diseases. We estimate that there are approximately 26 million people globally suffering from HF, including approximately 6.2 million people in the U.S. and 8.6 million people in European Five. Every year, 1.3 million and 1.4 million new patients are diagnosed with HF in the U.S. and the European Five, respectively. HF is characterized by the heart’s inability to effectively circulate blood throughout the body resulting in insufficient levels of oxygen and nourishment to various body parts. This impacts a patient’s ability to function and leads to a variety of symptoms such as shortness of breath, extreme fatigue, exercise intolerance, swelling and fluid retention that affects the patient’s quality of life, both physically and emotionally. HF usually develops from an imbalance of the ANS, which is also the primary cause of multiple other cardiovascular diseases, such as hypertension, angina pectoris and arrhythmia. The ANS plays a vital role in the function of the heart and is strongly influenced by baroreceptors located in certain arterial walls.</w:t>
      </w:r>
    </w:p>
    <w:p>
      <w:pPr>
        <w:spacing w:after="0" w:line="19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are currently focused on the treatment of patients with HF with reduced Ejection Fraction (“HFrEF”), which represent approximately 40% of the patients with HF. In HFrEF, the left ventricle loses its ability to contract properly, resulting in insufficient power to pump and push the necessary quantities of blood into circulation. Approximately 75% of HFrEF patients die within five years of being admitted to the hospital for HFrEF. Patients with HFrEF are typically placed on a treatment progression plan during which they are initially given Guideline Directed Medical Therapy (“GDMT”) to help manage symptoms, and then progress to more invasive and costly treatment options involving other implantable devices with the most severe patients often requiring Left Ventricular Assist Devices (“LVADs”) or heart transplants. These other implantable devices mostly target different HFrEF patient populations, may require an invasive procedure that places hardware directly inside the heart, and are not designed to address the imbalance of the ANS that causes the disease. We believe there is a significant need and market opportunity for a safe, effective and minimally invasive device-based treatment option for HFrEF.</w:t>
      </w:r>
    </w:p>
    <w:p>
      <w:pPr>
        <w:spacing w:after="0" w:line="190"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We believe Barostim offers meaningful benefits for patients, physicians and payors that will continue to drive adoption of our therapy. The primary benefits include:</w:t>
      </w:r>
    </w:p>
    <w:p>
      <w:pPr>
        <w:spacing w:after="0" w:line="161" w:lineRule="exact"/>
        <w:rPr>
          <w:sz w:val="20"/>
          <w:szCs w:val="20"/>
          <w:color w:val="auto"/>
        </w:rPr>
      </w:pPr>
    </w:p>
    <w:p>
      <w:pPr>
        <w:ind w:left="180" w:right="119" w:hanging="130"/>
        <w:spacing w:after="0" w:line="275" w:lineRule="auto"/>
        <w:tabs>
          <w:tab w:leader="none" w:pos="180" w:val="left"/>
        </w:tabs>
        <w:numPr>
          <w:ilvl w:val="0"/>
          <w:numId w:val="5"/>
        </w:numPr>
        <w:rPr>
          <w:rFonts w:ascii="Arial" w:cs="Arial" w:eastAsia="Arial" w:hAnsi="Arial"/>
          <w:sz w:val="17"/>
          <w:szCs w:val="17"/>
          <w:color w:val="231F20"/>
        </w:rPr>
      </w:pPr>
      <w:r>
        <w:rPr>
          <w:rFonts w:ascii="Arial" w:cs="Arial" w:eastAsia="Arial" w:hAnsi="Arial"/>
          <w:sz w:val="17"/>
          <w:szCs w:val="17"/>
          <w:b w:val="1"/>
          <w:bCs w:val="1"/>
          <w:color w:val="auto"/>
        </w:rPr>
        <w:t xml:space="preserve">Addresses significant unmet medical need. </w:t>
      </w:r>
      <w:r>
        <w:rPr>
          <w:rFonts w:ascii="Arial" w:cs="Arial" w:eastAsia="Arial" w:hAnsi="Arial"/>
          <w:sz w:val="17"/>
          <w:szCs w:val="17"/>
          <w:color w:val="auto"/>
        </w:rPr>
        <w:t>Barostim addresses a life-threatening disease for patients who</w:t>
      </w:r>
      <w:r>
        <w:rPr>
          <w:rFonts w:ascii="Arial" w:cs="Arial" w:eastAsia="Arial" w:hAnsi="Arial"/>
          <w:sz w:val="17"/>
          <w:szCs w:val="17"/>
          <w:b w:val="1"/>
          <w:bCs w:val="1"/>
          <w:color w:val="auto"/>
        </w:rPr>
        <w:t xml:space="preserve"> </w:t>
      </w:r>
      <w:r>
        <w:rPr>
          <w:rFonts w:ascii="Arial" w:cs="Arial" w:eastAsia="Arial" w:hAnsi="Arial"/>
          <w:sz w:val="17"/>
          <w:szCs w:val="17"/>
          <w:color w:val="auto"/>
        </w:rPr>
        <w:t>failed to receive adequate benefits from existing treatments and who have no alternative treatment options. Based on this, the FDA granted Barostim a Breakthrough Device designation for HFrEF in June 2015.</w:t>
      </w:r>
    </w:p>
    <w:p>
      <w:pPr>
        <w:spacing w:after="0" w:line="151" w:lineRule="exact"/>
        <w:rPr>
          <w:rFonts w:ascii="Arial" w:cs="Arial" w:eastAsia="Arial" w:hAnsi="Arial"/>
          <w:sz w:val="17"/>
          <w:szCs w:val="17"/>
          <w:color w:val="231F20"/>
        </w:rPr>
      </w:pPr>
    </w:p>
    <w:p>
      <w:pPr>
        <w:jc w:val="both"/>
        <w:ind w:left="180" w:right="319" w:hanging="130"/>
        <w:spacing w:after="0" w:line="253" w:lineRule="auto"/>
        <w:tabs>
          <w:tab w:leader="none" w:pos="180" w:val="left"/>
        </w:tabs>
        <w:numPr>
          <w:ilvl w:val="0"/>
          <w:numId w:val="5"/>
        </w:numPr>
        <w:rPr>
          <w:rFonts w:ascii="Arial" w:cs="Arial" w:eastAsia="Arial" w:hAnsi="Arial"/>
          <w:sz w:val="18"/>
          <w:szCs w:val="18"/>
          <w:color w:val="231F20"/>
        </w:rPr>
      </w:pPr>
      <w:r>
        <w:rPr>
          <w:rFonts w:ascii="Arial" w:cs="Arial" w:eastAsia="Arial" w:hAnsi="Arial"/>
          <w:sz w:val="18"/>
          <w:szCs w:val="18"/>
          <w:b w:val="1"/>
          <w:bCs w:val="1"/>
          <w:color w:val="auto"/>
        </w:rPr>
        <w:t xml:space="preserve">Safe and effective treatment. </w:t>
      </w:r>
      <w:r>
        <w:rPr>
          <w:rFonts w:ascii="Arial" w:cs="Arial" w:eastAsia="Arial" w:hAnsi="Arial"/>
          <w:sz w:val="18"/>
          <w:szCs w:val="18"/>
          <w:color w:val="auto"/>
        </w:rPr>
        <w:t>Our BeAT-HF pivotal trial demonstrated compelling safety and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data regarding the clinical benefits of Barostim for HFrEF. These results showed significant improvement in the following patient-centered outcomes: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60" w:right="599" w:hanging="135"/>
        <w:spacing w:after="0" w:line="275" w:lineRule="auto"/>
        <w:tabs>
          <w:tab w:leader="none" w:pos="860" w:val="left"/>
        </w:tabs>
        <w:numPr>
          <w:ilvl w:val="1"/>
          <w:numId w:val="6"/>
        </w:numPr>
        <w:rPr>
          <w:rFonts w:ascii="Arial" w:cs="Arial" w:eastAsia="Arial" w:hAnsi="Arial"/>
          <w:sz w:val="17"/>
          <w:szCs w:val="17"/>
          <w:color w:val="231F20"/>
        </w:rPr>
      </w:pPr>
      <w:r>
        <w:rPr>
          <w:rFonts w:ascii="Arial" w:cs="Arial" w:eastAsia="Arial" w:hAnsi="Arial"/>
          <w:sz w:val="17"/>
          <w:szCs w:val="17"/>
          <w:b w:val="1"/>
          <w:bCs w:val="1"/>
          <w:color w:val="auto"/>
        </w:rPr>
        <w:t xml:space="preserve">Quality of life (measured by Minnesota Living with Heart Failure (“MLWHF”)): </w:t>
      </w:r>
      <w:r>
        <w:rPr>
          <w:rFonts w:ascii="Arial" w:cs="Arial" w:eastAsia="Arial" w:hAnsi="Arial"/>
          <w:sz w:val="17"/>
          <w:szCs w:val="17"/>
          <w:color w:val="auto"/>
        </w:rPr>
        <w:t>Our therapy</w:t>
      </w:r>
      <w:r>
        <w:rPr>
          <w:rFonts w:ascii="Arial" w:cs="Arial" w:eastAsia="Arial" w:hAnsi="Arial"/>
          <w:sz w:val="17"/>
          <w:szCs w:val="17"/>
          <w:b w:val="1"/>
          <w:bCs w:val="1"/>
          <w:color w:val="auto"/>
        </w:rPr>
        <w:t xml:space="preserve"> </w:t>
      </w:r>
      <w:r>
        <w:rPr>
          <w:rFonts w:ascii="Arial" w:cs="Arial" w:eastAsia="Arial" w:hAnsi="Arial"/>
          <w:sz w:val="17"/>
          <w:szCs w:val="17"/>
          <w:color w:val="auto"/>
        </w:rPr>
        <w:t>demonstrated a 14-point improvement in quality of life for patients in the device arm relative to patients in the control arm. A 5-point improvement is considered clinically meaningful.</w:t>
      </w:r>
    </w:p>
    <w:p>
      <w:pPr>
        <w:spacing w:after="0" w:line="151" w:lineRule="exact"/>
        <w:rPr>
          <w:rFonts w:ascii="Arial" w:cs="Arial" w:eastAsia="Arial" w:hAnsi="Arial"/>
          <w:sz w:val="17"/>
          <w:szCs w:val="17"/>
          <w:color w:val="231F20"/>
        </w:rPr>
      </w:pPr>
    </w:p>
    <w:p>
      <w:pPr>
        <w:ind w:left="860" w:right="379" w:hanging="135"/>
        <w:spacing w:after="0" w:line="247" w:lineRule="auto"/>
        <w:tabs>
          <w:tab w:leader="none" w:pos="860" w:val="left"/>
        </w:tabs>
        <w:numPr>
          <w:ilvl w:val="1"/>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Exercise capacity (measured by the standardized 6 Minute Hall Walk (“6MHW”) distance test): </w:t>
      </w:r>
      <w:r>
        <w:rPr>
          <w:rFonts w:ascii="Arial" w:cs="Arial" w:eastAsia="Arial" w:hAnsi="Arial"/>
          <w:sz w:val="18"/>
          <w:szCs w:val="18"/>
          <w:color w:val="auto"/>
        </w:rPr>
        <w:t>Our therapy demonstrated that patients in the device arm were able to improve the distance</w:t>
      </w:r>
      <w:r>
        <w:rPr>
          <w:rFonts w:ascii="Arial" w:cs="Arial" w:eastAsia="Arial" w:hAnsi="Arial"/>
          <w:sz w:val="18"/>
          <w:szCs w:val="18"/>
          <w:b w:val="1"/>
          <w:bCs w:val="1"/>
          <w:color w:val="auto"/>
        </w:rPr>
        <w:t xml:space="preserve"> </w:t>
      </w:r>
      <w:r>
        <w:rPr>
          <w:rFonts w:ascii="Arial" w:cs="Arial" w:eastAsia="Arial" w:hAnsi="Arial"/>
          <w:sz w:val="18"/>
          <w:szCs w:val="18"/>
          <w:color w:val="auto"/>
        </w:rPr>
        <w:t>they walked in a six-minute period by 60 meters more than patients in the control arm. A 25-meter improvement in walking distance is considered clinically meaningful.</w:t>
      </w:r>
    </w:p>
    <w:p>
      <w:pPr>
        <w:spacing w:after="0" w:line="173" w:lineRule="exact"/>
        <w:rPr>
          <w:rFonts w:ascii="Arial" w:cs="Arial" w:eastAsia="Arial" w:hAnsi="Arial"/>
          <w:sz w:val="18"/>
          <w:szCs w:val="18"/>
          <w:color w:val="231F20"/>
        </w:rPr>
      </w:pPr>
    </w:p>
    <w:p>
      <w:pPr>
        <w:jc w:val="both"/>
        <w:ind w:left="860" w:right="319" w:hanging="135"/>
        <w:spacing w:after="0" w:line="247" w:lineRule="auto"/>
        <w:tabs>
          <w:tab w:leader="none" w:pos="860" w:val="left"/>
        </w:tabs>
        <w:numPr>
          <w:ilvl w:val="1"/>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Functional status (determined by New York Heart Association (“NYHA”) classification):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therapy demonstrated that 65% of patients in the device arm improved at least one NYHA class as compared to only 31% in the control arm, with 13% of patients improving two NYHA classes in the device arm as compared to only 2% in the control arm.</w:t>
      </w:r>
    </w:p>
    <w:p>
      <w:pPr>
        <w:spacing w:after="0" w:line="173" w:lineRule="exact"/>
        <w:rPr>
          <w:rFonts w:ascii="Arial" w:cs="Arial" w:eastAsia="Arial" w:hAnsi="Arial"/>
          <w:sz w:val="18"/>
          <w:szCs w:val="18"/>
          <w:color w:val="231F20"/>
        </w:rPr>
      </w:pPr>
    </w:p>
    <w:p>
      <w:pPr>
        <w:jc w:val="both"/>
        <w:ind w:left="180" w:right="79" w:hanging="130"/>
        <w:spacing w:after="0" w:line="253" w:lineRule="auto"/>
        <w:tabs>
          <w:tab w:leader="none" w:pos="180" w:val="left"/>
        </w:tabs>
        <w:numPr>
          <w:ilvl w:val="0"/>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Widely accepted mechanism of action. </w:t>
      </w:r>
      <w:r>
        <w:rPr>
          <w:rFonts w:ascii="Arial" w:cs="Arial" w:eastAsia="Arial" w:hAnsi="Arial"/>
          <w:sz w:val="18"/>
          <w:szCs w:val="18"/>
          <w:color w:val="auto"/>
        </w:rPr>
        <w:t>Our platform technology is based on a widely accepted mechanism</w:t>
      </w:r>
      <w:r>
        <w:rPr>
          <w:rFonts w:ascii="Arial" w:cs="Arial" w:eastAsia="Arial" w:hAnsi="Arial"/>
          <w:sz w:val="18"/>
          <w:szCs w:val="18"/>
          <w:b w:val="1"/>
          <w:bCs w:val="1"/>
          <w:color w:val="auto"/>
        </w:rPr>
        <w:t xml:space="preserve"> </w:t>
      </w:r>
      <w:r>
        <w:rPr>
          <w:rFonts w:ascii="Arial" w:cs="Arial" w:eastAsia="Arial" w:hAnsi="Arial"/>
          <w:sz w:val="18"/>
          <w:szCs w:val="18"/>
          <w:color w:val="auto"/>
        </w:rPr>
        <w:t>of action and is designed to address the imbalance of the ANS, which causes HFrEF and other cardiovascular diseases.</w:t>
      </w:r>
    </w:p>
    <w:p>
      <w:pPr>
        <w:spacing w:after="0" w:line="168" w:lineRule="exact"/>
        <w:rPr>
          <w:rFonts w:ascii="Arial" w:cs="Arial" w:eastAsia="Arial" w:hAnsi="Arial"/>
          <w:sz w:val="18"/>
          <w:szCs w:val="18"/>
          <w:color w:val="231F20"/>
        </w:rPr>
      </w:pPr>
    </w:p>
    <w:p>
      <w:pPr>
        <w:ind w:left="180" w:right="259" w:hanging="130"/>
        <w:spacing w:after="0" w:line="242" w:lineRule="auto"/>
        <w:tabs>
          <w:tab w:leader="none" w:pos="180" w:val="left"/>
        </w:tabs>
        <w:numPr>
          <w:ilvl w:val="0"/>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Strong global clinical evidence. </w:t>
      </w:r>
      <w:r>
        <w:rPr>
          <w:rFonts w:ascii="Arial" w:cs="Arial" w:eastAsia="Arial" w:hAnsi="Arial"/>
          <w:sz w:val="18"/>
          <w:szCs w:val="18"/>
          <w:color w:val="auto"/>
        </w:rPr>
        <w:t>The benefits of treatment with Barostim were shown to be similarly robust</w:t>
      </w:r>
      <w:r>
        <w:rPr>
          <w:rFonts w:ascii="Arial" w:cs="Arial" w:eastAsia="Arial" w:hAnsi="Arial"/>
          <w:sz w:val="18"/>
          <w:szCs w:val="18"/>
          <w:b w:val="1"/>
          <w:bCs w:val="1"/>
          <w:color w:val="auto"/>
        </w:rPr>
        <w:t xml:space="preserve"> </w:t>
      </w:r>
      <w:r>
        <w:rPr>
          <w:rFonts w:ascii="Arial" w:cs="Arial" w:eastAsia="Arial" w:hAnsi="Arial"/>
          <w:sz w:val="18"/>
          <w:szCs w:val="18"/>
          <w:color w:val="auto"/>
        </w:rPr>
        <w:t>and reproducible across all three of our HF clinical studies, including BAT-in-HF (Phase I), HOPE4HF (Phase II) and BeAT-HF (Phase III pivotal trial), evaluating 624 patients in aggregate across the U.S., Germany, Italy, France, Canada and the United Kingdom. Barostim Therapy’s trial results have been published in more than 60 peer-reviewed publications, approximately 20 of which relate to the treatment of HF, including, among others, the Journal of the American College of Cardiology.</w:t>
      </w:r>
    </w:p>
    <w:p>
      <w:pPr>
        <w:spacing w:after="0" w:line="178" w:lineRule="exact"/>
        <w:rPr>
          <w:rFonts w:ascii="Arial" w:cs="Arial" w:eastAsia="Arial" w:hAnsi="Arial"/>
          <w:sz w:val="18"/>
          <w:szCs w:val="18"/>
          <w:color w:val="231F20"/>
        </w:rPr>
      </w:pPr>
    </w:p>
    <w:p>
      <w:pPr>
        <w:ind w:left="180" w:right="139" w:hanging="130"/>
        <w:spacing w:after="0" w:line="242" w:lineRule="auto"/>
        <w:tabs>
          <w:tab w:leader="none" w:pos="180" w:val="left"/>
        </w:tabs>
        <w:numPr>
          <w:ilvl w:val="0"/>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Minimally invasive implant procedure. </w:t>
      </w:r>
      <w:r>
        <w:rPr>
          <w:rFonts w:ascii="Arial" w:cs="Arial" w:eastAsia="Arial" w:hAnsi="Arial"/>
          <w:sz w:val="18"/>
          <w:szCs w:val="18"/>
          <w:color w:val="auto"/>
        </w:rPr>
        <w:t>Barostim’s implantable pulse generator (“IPG”) and stimulation lead</w:t>
      </w:r>
      <w:r>
        <w:rPr>
          <w:rFonts w:ascii="Arial" w:cs="Arial" w:eastAsia="Arial" w:hAnsi="Arial"/>
          <w:sz w:val="18"/>
          <w:szCs w:val="18"/>
          <w:b w:val="1"/>
          <w:bCs w:val="1"/>
          <w:color w:val="auto"/>
        </w:rPr>
        <w:t xml:space="preserve"> </w:t>
      </w:r>
      <w:r>
        <w:rPr>
          <w:rFonts w:ascii="Arial" w:cs="Arial" w:eastAsia="Arial" w:hAnsi="Arial"/>
          <w:sz w:val="18"/>
          <w:szCs w:val="18"/>
          <w:color w:val="auto"/>
        </w:rPr>
        <w:t>are implanted during a minimally invasive procedure typically performed in an outpatient setting that lasts approximately one hour and involves two small skin incisions. Our device does not require hardware to be implanted in the heart or vasculature, which is the case with most other device-based treatments indicated for different HFrEF patient populations. Patients typically recover quickly and are discharged from the hospital within 24 hours of the procedure.</w:t>
      </w:r>
    </w:p>
    <w:p>
      <w:pPr>
        <w:spacing w:after="0" w:line="178" w:lineRule="exact"/>
        <w:rPr>
          <w:rFonts w:ascii="Arial" w:cs="Arial" w:eastAsia="Arial" w:hAnsi="Arial"/>
          <w:sz w:val="18"/>
          <w:szCs w:val="18"/>
          <w:color w:val="231F20"/>
        </w:rPr>
      </w:pPr>
    </w:p>
    <w:p>
      <w:pPr>
        <w:ind w:left="180" w:right="179" w:hanging="130"/>
        <w:spacing w:after="0" w:line="266" w:lineRule="auto"/>
        <w:tabs>
          <w:tab w:leader="none" w:pos="180" w:val="left"/>
        </w:tabs>
        <w:numPr>
          <w:ilvl w:val="0"/>
          <w:numId w:val="6"/>
        </w:numPr>
        <w:rPr>
          <w:rFonts w:ascii="Arial" w:cs="Arial" w:eastAsia="Arial" w:hAnsi="Arial"/>
          <w:sz w:val="17"/>
          <w:szCs w:val="17"/>
          <w:color w:val="231F20"/>
        </w:rPr>
      </w:pPr>
      <w:r>
        <w:rPr>
          <w:rFonts w:ascii="Arial" w:cs="Arial" w:eastAsia="Arial" w:hAnsi="Arial"/>
          <w:sz w:val="17"/>
          <w:szCs w:val="17"/>
          <w:b w:val="1"/>
          <w:bCs w:val="1"/>
          <w:color w:val="auto"/>
        </w:rPr>
        <w:t xml:space="preserve">Potential reduction in total healthcare costs for HFrEF patients. </w:t>
      </w:r>
      <w:r>
        <w:rPr>
          <w:rFonts w:ascii="Arial" w:cs="Arial" w:eastAsia="Arial" w:hAnsi="Arial"/>
          <w:sz w:val="17"/>
          <w:szCs w:val="17"/>
          <w:color w:val="auto"/>
        </w:rPr>
        <w:t>A Company-sponsored and co-authored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cost-impact analysis, which was published in </w:t>
      </w:r>
      <w:r>
        <w:rPr>
          <w:rFonts w:ascii="Arial" w:cs="Arial" w:eastAsia="Arial" w:hAnsi="Arial"/>
          <w:sz w:val="17"/>
          <w:szCs w:val="17"/>
          <w:i w:val="1"/>
          <w:iCs w:val="1"/>
          <w:color w:val="auto"/>
        </w:rPr>
        <w:t>BMC Cardiovascular Disorders</w:t>
      </w:r>
      <w:r>
        <w:rPr>
          <w:rFonts w:ascii="Arial" w:cs="Arial" w:eastAsia="Arial" w:hAnsi="Arial"/>
          <w:sz w:val="17"/>
          <w:szCs w:val="17"/>
          <w:color w:val="auto"/>
        </w:rPr>
        <w:t>, a peer-reviewed manuscript, predicted that BAT plus GDMT would become the lower-cost alternative treatment within three years from implantation, as compared to GDMT alone, resulting in significant cost savings to healthcare systems.</w:t>
      </w:r>
    </w:p>
    <w:p>
      <w:pPr>
        <w:spacing w:after="0" w:line="159" w:lineRule="exact"/>
        <w:rPr>
          <w:rFonts w:ascii="Arial" w:cs="Arial" w:eastAsia="Arial" w:hAnsi="Arial"/>
          <w:sz w:val="17"/>
          <w:szCs w:val="17"/>
          <w:color w:val="231F20"/>
        </w:rPr>
      </w:pPr>
    </w:p>
    <w:p>
      <w:pPr>
        <w:ind w:left="180" w:right="299" w:hanging="130"/>
        <w:spacing w:after="0" w:line="247" w:lineRule="auto"/>
        <w:tabs>
          <w:tab w:leader="none" w:pos="180" w:val="left"/>
        </w:tabs>
        <w:numPr>
          <w:ilvl w:val="0"/>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Inherent patient compliance and durability. </w:t>
      </w:r>
      <w:r>
        <w:rPr>
          <w:rFonts w:ascii="Arial" w:cs="Arial" w:eastAsia="Arial" w:hAnsi="Arial"/>
          <w:sz w:val="18"/>
          <w:szCs w:val="18"/>
          <w:color w:val="auto"/>
        </w:rPr>
        <w:t>Barostim ensures patient compliance, unlike most</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available drug treatments, as it requires no device interaction by the patient. Our device has a battery that does not require recharging, has an average service life of five to six years and is replaced through a short outpatient procedure.</w:t>
      </w:r>
    </w:p>
    <w:p>
      <w:pPr>
        <w:spacing w:after="0" w:line="19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Barostim is a minimally invasive neuromodulation device that consists of two implantable components, an IPG and a stimulation lead and is programmed by a wireless clinician-controlled programmer that communicates with the IPG. The IPG contains the electronics and battery in a hermetic enclosure and controls and delivers the imperceptible and persistent electrical pulses to the carotid baroreceptors through the stimulation lead attached to the exterior wall of the carotid artery. These electrical pulses delivered to the baroreceptors increase signals to the brain to modulate the cardiovascular function, thereby improving symptoms of HFrEF. Our wireless programmer allows physicians to verify and customize the therapy to the patient’s needs by adjusting the intensity and frequency of the electrical pulses.</w:t>
      </w:r>
    </w:p>
    <w:p>
      <w:pPr>
        <w:spacing w:after="0" w:line="194"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have developed a significant clinical data set that demonstrates the safety, effectiveness, patient adherence and durable benefits of Barostim Therapy. Our BeAT-HF pivotal trial, which was a multi-center, prospective, randomized, controlled trial, met the primary safety and effectiveness endpoints and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39"/>
        <w:spacing w:after="0" w:line="261" w:lineRule="auto"/>
        <w:rPr>
          <w:sz w:val="20"/>
          <w:szCs w:val="20"/>
          <w:color w:val="auto"/>
        </w:rPr>
      </w:pPr>
      <w:r>
        <w:rPr>
          <w:rFonts w:ascii="Arial" w:cs="Arial" w:eastAsia="Arial" w:hAnsi="Arial"/>
          <w:sz w:val="17"/>
          <w:szCs w:val="17"/>
          <w:color w:val="auto"/>
        </w:rPr>
        <w:t>demonstrated meaningful improvement in the quality of life, both physically and emotionally, for patients suffering from HFrEF. These results led to FDA Premarket Approval (“PMA”) approval of Barostim in August 2019 on an accelerated basis of only four months from the submission of the clinical trial report.</w:t>
      </w:r>
    </w:p>
    <w:p>
      <w:pPr>
        <w:spacing w:after="0" w:line="172"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BeAT-HF pivotal trial continued enrolling patients in the post-market stage of the trial in order to determine if Barostim demonstrates a statistically significant improvement in morbidity and mortality in patients with HFrEF. We recently reached the required 320th event of the BeAT-HF clinical trial, and we expect to be able to unblind and announce data from this trial in the first quarter of 2023. In addition to the morbidity and mortality endpoint, we have pre-specified a few potentially meaningful secondary and ancillary endpoints and analyses, in all cases designed to support FDA approval for additional claims related to Barostim Therapy, regardless of whether the primary endpoint is met. We believe that any additional claims would have a positive impact on adoption of Barostim. If we receive positive morbidity and mortality data from the post-market stage of the BeAT-HF pivotal trial, we plan to request that the FDA add the claim “Treatment for Heart Failure” to our current indication. We believe this would increase our annual market opportunity in the U.S. by an estimated $2.2 billion, or by 88,000 additional patients.</w:t>
      </w:r>
    </w:p>
    <w:p>
      <w:pPr>
        <w:spacing w:after="0" w:line="191" w:lineRule="exact"/>
        <w:rPr>
          <w:sz w:val="20"/>
          <w:szCs w:val="20"/>
          <w:color w:val="auto"/>
        </w:rPr>
      </w:pPr>
    </w:p>
    <w:p>
      <w:pPr>
        <w:ind w:left="60" w:right="279"/>
        <w:spacing w:after="0"/>
        <w:rPr>
          <w:sz w:val="20"/>
          <w:szCs w:val="20"/>
          <w:color w:val="auto"/>
        </w:rPr>
      </w:pPr>
      <w:r>
        <w:rPr>
          <w:rFonts w:ascii="Arial" w:cs="Arial" w:eastAsia="Arial" w:hAnsi="Arial"/>
          <w:sz w:val="18"/>
          <w:szCs w:val="18"/>
          <w:color w:val="auto"/>
        </w:rPr>
        <w:t>We continue to develop and expand upon our significant body of published clinical evidence that supports the meaningful benefits of Barostim Therapy. We have also established a U.S. patient registry to evaluate and assess real world outcomes from HFrEF patients who have been implanted with Barostim.</w:t>
      </w:r>
    </w:p>
    <w:p>
      <w:pPr>
        <w:spacing w:after="0" w:line="189"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We primarily sell Barostim to hospitals through a direct sales organization in the U.S. and Germany and through distributors in Austria, Spain, Italy, the Nordic region and other European countries. Our global sales and marketing team engages in sales efforts and promotional activities focused on electrophysiologists (“EPs”), HF specialists, interventional cardiologists, general cardiologists and vascular surgeons. We are prioritizing our sales and marketing efforts on high volume cardiology centers that are strategically located and on educating and training physicians. We support all aspects of the patient journey, which includes initial diagnosis, surgical support and patient follow-up. We also highlight our compelling clinical benefits and value proposition to build awareness and adoption among physicians through targeted key opinion leader (“KOL”) development, referral network education and direct-to-consumer marketing. We utilize direct communication channels to inform and educate patients about Barostim Therapy and utilize a qualification process to aid in the identification of the appropriate patients for our therapy. In the U.S., Barostim is reimbursed by the Centers for Medicare and Medicaid Services (“CMS”) across all regions. We assist with reimbursement approvals, if required. We plan to continue actively expanding our direct sales force and commercial organization in the U.S., which is where we expect to focus most of our sales and marketing efforts in the near-term.</w:t>
      </w:r>
    </w:p>
    <w:p>
      <w:pPr>
        <w:spacing w:after="0" w:line="20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primary focus of our research and development efforts in the near-term will be the continued technological advancement of Barostim, including tools to simplify the implant procedure for physicians. In 2022, we launched an enhanced IPG that is approximately 10% smaller in size and improves battery life by approximately 20% to an average of six years. We are also enrolling a clinical trial for a new implant toolkit called BATwire, which enables an ultrasound-guided implant procedure to implant Barostim and the use of local anesthetics, potentially expanding our annual market opportunity in the U.S. In the future, we plan to explore Barostim’s potential to expand its indications for use to other cardiovascular diseases, including different forms of HF, hypertension and arrhythmias. Expansions into these or other new indications would require additional FDA approvals and may involve additional clinical trials or modifications to Barostim to treat such indications. If clinical studies for future indications do not produce results necessary to support regulatory clearance or approval in the U.S. or elsewhere, we will be unable to commercialize our products for these indications.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generated revenue of $22.5 million, a gross margin of 78% and a net loss of $41.4 million for the year</w:t>
      </w:r>
    </w:p>
    <w:p>
      <w:pPr>
        <w:ind w:left="60"/>
        <w:spacing w:after="0" w:line="234" w:lineRule="auto"/>
        <w:rPr>
          <w:sz w:val="20"/>
          <w:szCs w:val="20"/>
          <w:color w:val="auto"/>
        </w:rPr>
      </w:pPr>
      <w:r>
        <w:rPr>
          <w:rFonts w:ascii="Arial" w:cs="Arial" w:eastAsia="Arial" w:hAnsi="Arial"/>
          <w:sz w:val="18"/>
          <w:szCs w:val="18"/>
          <w:color w:val="auto"/>
        </w:rPr>
        <w:t>ended December 31, 2022, compared to revenue of $13.0 million, a gross margin of 72% and a net loss of</w:t>
      </w:r>
    </w:p>
    <w:p>
      <w:pPr>
        <w:ind w:left="60"/>
        <w:spacing w:after="0" w:line="235" w:lineRule="auto"/>
        <w:rPr>
          <w:sz w:val="20"/>
          <w:szCs w:val="20"/>
          <w:color w:val="auto"/>
        </w:rPr>
      </w:pPr>
      <w:r>
        <w:rPr>
          <w:rFonts w:ascii="Arial" w:cs="Arial" w:eastAsia="Arial" w:hAnsi="Arial"/>
          <w:sz w:val="18"/>
          <w:szCs w:val="18"/>
          <w:color w:val="auto"/>
        </w:rPr>
        <w:t>$43.1 million for the year ended December 31, 2021. Revenue for 2021 and continuing into the first quarter of</w:t>
      </w:r>
    </w:p>
    <w:p>
      <w:pPr>
        <w:ind w:left="60"/>
        <w:spacing w:after="0" w:line="235" w:lineRule="auto"/>
        <w:rPr>
          <w:sz w:val="20"/>
          <w:szCs w:val="20"/>
          <w:color w:val="auto"/>
        </w:rPr>
      </w:pPr>
      <w:r>
        <w:rPr>
          <w:rFonts w:ascii="Arial" w:cs="Arial" w:eastAsia="Arial" w:hAnsi="Arial"/>
          <w:sz w:val="18"/>
          <w:szCs w:val="18"/>
          <w:color w:val="auto"/>
        </w:rPr>
        <w:t>2022 was negatively impacted by a decline in procedure volumes due to the Delta and Omicron variants of</w:t>
      </w:r>
    </w:p>
    <w:p>
      <w:pPr>
        <w:ind w:left="60"/>
        <w:spacing w:after="0" w:line="235" w:lineRule="auto"/>
        <w:rPr>
          <w:sz w:val="20"/>
          <w:szCs w:val="20"/>
          <w:color w:val="auto"/>
        </w:rPr>
      </w:pPr>
      <w:r>
        <w:rPr>
          <w:rFonts w:ascii="Arial" w:cs="Arial" w:eastAsia="Arial" w:hAnsi="Arial"/>
          <w:sz w:val="18"/>
          <w:szCs w:val="18"/>
          <w:color w:val="auto"/>
        </w:rPr>
        <w:t>COVID-19 in the third and fourth quarters of 2021 and continuing into the first quarter of 2022. By March 2022</w:t>
      </w:r>
    </w:p>
    <w:p>
      <w:pPr>
        <w:ind w:left="60"/>
        <w:spacing w:after="0"/>
        <w:rPr>
          <w:sz w:val="20"/>
          <w:szCs w:val="20"/>
          <w:color w:val="auto"/>
        </w:rPr>
      </w:pPr>
      <w:r>
        <w:rPr>
          <w:rFonts w:ascii="Arial" w:cs="Arial" w:eastAsia="Arial" w:hAnsi="Arial"/>
          <w:sz w:val="18"/>
          <w:szCs w:val="18"/>
          <w:color w:val="auto"/>
        </w:rPr>
        <w:t>and continuing through the date of this Annual Report on Form 10-K, implant centers resumed procedures at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659"/>
        <w:spacing w:after="0" w:line="246" w:lineRule="auto"/>
        <w:rPr>
          <w:sz w:val="20"/>
          <w:szCs w:val="20"/>
          <w:color w:val="auto"/>
        </w:rPr>
      </w:pPr>
      <w:r>
        <w:rPr>
          <w:rFonts w:ascii="Arial" w:cs="Arial" w:eastAsia="Arial" w:hAnsi="Arial"/>
          <w:sz w:val="18"/>
          <w:szCs w:val="18"/>
          <w:color w:val="auto"/>
        </w:rPr>
        <w:t>more normal levels. Our accumulated deficit as of December 31, 2022 and 2021, was $436.2 million and $394.8 million,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market and industry</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 of HF</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It is estimated that HF currently affects approximately 26 million people globally, including approximately</w:t>
      </w:r>
    </w:p>
    <w:p>
      <w:pPr>
        <w:ind w:left="60" w:right="139"/>
        <w:spacing w:after="0" w:line="238" w:lineRule="auto"/>
        <w:rPr>
          <w:sz w:val="20"/>
          <w:szCs w:val="20"/>
          <w:color w:val="auto"/>
        </w:rPr>
      </w:pPr>
      <w:r>
        <w:rPr>
          <w:rFonts w:ascii="Arial" w:cs="Arial" w:eastAsia="Arial" w:hAnsi="Arial"/>
          <w:sz w:val="18"/>
          <w:szCs w:val="18"/>
          <w:color w:val="auto"/>
        </w:rPr>
        <w:t>6.2 million people in the U.S. and approximately 8.6 million people in the European Five. Every year, 1.3 million and 1.4 million new patients are diagnosed with HF in the U.S. and the European Five, respectively. HF is associated with a five-fold increase in sudden cardiac death. There is no known prevention for HF other than the treatment of the common risk factors associated with the disease, such as hypertension, diabetes and obesity.</w:t>
      </w:r>
    </w:p>
    <w:p>
      <w:pPr>
        <w:spacing w:after="0" w:line="18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HF is a debilitating, progressive and potentially life-threatening condition where the heart does not pump enough blood throughout the body. Without proper blood circulation, insufficient levels of oxygen and nourishment are delivered to various body parts, impacting a person’s ability to function and leading to a variety of symptoms that affect quality of life, both physically and emotionally, such as shortness of breath, extreme fatigue, exercise intolerance, swelling and fluid retention. HF usually develops as a result of an imbalance of the ANS, which is also the primary cause of multiple other cardiovascular diseases, such as hypertension, angina pectoris and arrhythmia.</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role of the imbalance of ANS in HF</w:t>
      </w:r>
    </w:p>
    <w:p>
      <w:pPr>
        <w:spacing w:after="0" w:line="18"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ANS, which is a part of the peripheral nervous system, plays a vital role in the function of the heart. It is a collection of receptors and neurons that acts outside of a person’s conscious awareness, regulating bodily functions such as bodily fluid production, urination and sexual responses. There are two primary components of the ANS that impact heart functionality: the sympathetic system and the parasympathetic system.</w:t>
      </w:r>
    </w:p>
    <w:p>
      <w:pPr>
        <w:spacing w:after="0" w:line="191"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sympathetic system of the ANS is responsible for preparing the body for action through the “fight or flight” response. When the body perceives a threat in the environment, the sympathetic system reacts by increasing the heart rate, widening the airways to allow for easier breathing, releasing stored energy, increasing strength in the muscles and slowing digestion and other bodily processes that are not as critical for taking action. These changes prepare the body to respond appropriately to a threat in its environment.</w:t>
      </w:r>
    </w:p>
    <w:p>
      <w:pPr>
        <w:spacing w:after="0" w:line="189"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parasympathetic system of the ANS is responsible for restoring the body to a state of calm through the “rest and digest” counter response in order to maintain homeostasis. This is done by decreasing the heart rate, conserving energy, constricting the airways, relaxing the muscles and increasing digestion.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120650</wp:posOffset>
            </wp:positionV>
            <wp:extent cx="2331720" cy="1928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31720"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right="639"/>
        <w:spacing w:after="0" w:line="274" w:lineRule="auto"/>
        <w:rPr>
          <w:sz w:val="20"/>
          <w:szCs w:val="20"/>
          <w:color w:val="auto"/>
        </w:rPr>
      </w:pPr>
      <w:r>
        <w:rPr>
          <w:rFonts w:ascii="Arial" w:cs="Arial" w:eastAsia="Arial" w:hAnsi="Arial"/>
          <w:sz w:val="17"/>
          <w:szCs w:val="17"/>
          <w:color w:val="auto"/>
        </w:rPr>
        <w:t>These two systems are strongly influenced by baroreceptors that are located in certain arterial walls. The baroreceptors regulate the baroreflex, which is one of the body’s homeostatic mechanisms that help to</w:t>
      </w:r>
    </w:p>
    <w:p>
      <w:pPr>
        <w:sectPr>
          <w:pgSz w:w="11900" w:h="16838" w:orient="portrait"/>
          <w:cols w:equalWidth="0" w:num="1">
            <w:col w:w="9019"/>
          </w:cols>
          <w:pgMar w:left="1440" w:top="517" w:right="1440"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auto"/>
        </w:rPr>
        <w:t>maintain blood pressure at nearly constant levels. Baroreceptors provide beat-by-beat regulation of the body’s circulatory system by sending electrical signals to the brain.</w:t>
      </w:r>
    </w:p>
    <w:p>
      <w:pPr>
        <w:spacing w:after="0" w:line="18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Healthy individuals have balanced sympathetic and parasympathetic activities, promoting the effective function of the heart. However, there are many factors, including a person’s diet, lifestyle and underlying conditions such as diabetes and obesity that can cause an imbalance of the ANS. This imbalance, or the elevated levels of sympathetic activity and reduced levels of parasympathetic activity, may result in additional stress on the heart, leading to HF and potentially death.</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 of HFrEF</w:t>
      </w:r>
    </w:p>
    <w:p>
      <w:pPr>
        <w:spacing w:after="0" w:line="18" w:lineRule="exact"/>
        <w:rPr>
          <w:sz w:val="20"/>
          <w:szCs w:val="20"/>
          <w:color w:val="auto"/>
        </w:rPr>
      </w:pPr>
    </w:p>
    <w:p>
      <w:pPr>
        <w:ind w:left="60" w:right="439"/>
        <w:spacing w:after="0" w:line="238" w:lineRule="auto"/>
        <w:rPr>
          <w:sz w:val="20"/>
          <w:szCs w:val="20"/>
          <w:color w:val="auto"/>
        </w:rPr>
      </w:pPr>
      <w:r>
        <w:rPr>
          <w:rFonts w:ascii="Arial" w:cs="Arial" w:eastAsia="Arial" w:hAnsi="Arial"/>
          <w:sz w:val="18"/>
          <w:szCs w:val="18"/>
          <w:color w:val="auto"/>
        </w:rPr>
        <w:t>When the heart pumps, oxygen-rich blood travels from the lungs, through the left atrium and into the left ventricle from where it is pumped to the rest of the body. Given that the left ventricle is responsible for the majority of the heart’s pumping power, it is larger than the other chambers and critical for proper heart functionality. In left-sided or left-ventricular HF, the left side of the heart must work much harder to pump the same amount of blood it would under healthy conditions.</w:t>
      </w:r>
    </w:p>
    <w:p>
      <w:pPr>
        <w:spacing w:after="0" w:line="189"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There are two types of left-sided HF, HFrEF, or systolic heart failure, and HF with preserved Ejection Fraction (“HFpEF”), or diastolic heart failure. In HFrEF, the left ventricle loses its ability to contract properly, resulting in insufficient power to pump and push the necessary quantities of blood into circulation. In HFpEF, the left ventricle loses its ability to relax properly (due to muscle stiffness), leading to the improper filling of blood in the heart during the resting period between heartbeats.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120650</wp:posOffset>
            </wp:positionV>
            <wp:extent cx="4834890" cy="22631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3489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We are currently focused on the treatment of patients with HFrEF, which represents approximately 40% of the patients with HF. These patients currently have limited commercially available device-based treatment options that improve HFrEF symptoms such as shortness of breath, fatigue, weakness, swelling of the legs and feet, reduced ability to exercise, a persistent cough, an increased need to urinate and sudden weight gain. Approximately 75% of HFrEF patients die within five years of being admitted to the hospital for HFrEF.</w:t>
      </w:r>
    </w:p>
    <w:p>
      <w:pPr>
        <w:spacing w:after="0" w:line="189"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Given HFrEF is a multifactorial and heterogeneous disease, physicians use a variety of indicators in the underlying pathology, severity of symptoms and a patient’s functional limitations to classify HF patients. Below are some of the common indicators used by cardiologists to diagnose HF:</w:t>
      </w:r>
    </w:p>
    <w:p>
      <w:pPr>
        <w:spacing w:after="0" w:line="167" w:lineRule="exact"/>
        <w:rPr>
          <w:sz w:val="20"/>
          <w:szCs w:val="20"/>
          <w:color w:val="auto"/>
        </w:rPr>
      </w:pPr>
    </w:p>
    <w:p>
      <w:pPr>
        <w:ind w:left="180" w:right="179" w:hanging="130"/>
        <w:spacing w:after="0" w:line="244" w:lineRule="auto"/>
        <w:tabs>
          <w:tab w:leader="none" w:pos="180" w:val="left"/>
        </w:tabs>
        <w:numPr>
          <w:ilvl w:val="0"/>
          <w:numId w:val="7"/>
        </w:numPr>
        <w:rPr>
          <w:rFonts w:ascii="Arial" w:cs="Arial" w:eastAsia="Arial" w:hAnsi="Arial"/>
          <w:sz w:val="18"/>
          <w:szCs w:val="18"/>
          <w:color w:val="231F20"/>
        </w:rPr>
      </w:pPr>
      <w:r>
        <w:rPr>
          <w:rFonts w:ascii="Arial" w:cs="Arial" w:eastAsia="Arial" w:hAnsi="Arial"/>
          <w:sz w:val="18"/>
          <w:szCs w:val="18"/>
          <w:b w:val="1"/>
          <w:bCs w:val="1"/>
          <w:color w:val="auto"/>
        </w:rPr>
        <w:t xml:space="preserve">NYHA classification: </w:t>
      </w:r>
      <w:r>
        <w:rPr>
          <w:rFonts w:ascii="Arial" w:cs="Arial" w:eastAsia="Arial" w:hAnsi="Arial"/>
          <w:sz w:val="18"/>
          <w:szCs w:val="18"/>
          <w:color w:val="auto"/>
        </w:rPr>
        <w:t>The NYHA classification guidelines are the most common measure of HF severity and</w:t>
      </w:r>
      <w:r>
        <w:rPr>
          <w:rFonts w:ascii="Arial" w:cs="Arial" w:eastAsia="Arial" w:hAnsi="Arial"/>
          <w:sz w:val="18"/>
          <w:szCs w:val="18"/>
          <w:b w:val="1"/>
          <w:bCs w:val="1"/>
          <w:color w:val="auto"/>
        </w:rPr>
        <w:t xml:space="preserve"> </w:t>
      </w:r>
      <w:r>
        <w:rPr>
          <w:rFonts w:ascii="Arial" w:cs="Arial" w:eastAsia="Arial" w:hAnsi="Arial"/>
          <w:sz w:val="18"/>
          <w:szCs w:val="18"/>
          <w:color w:val="auto"/>
        </w:rPr>
        <w:t>allow physicians to classify patients into four groups based on observed symptoms and functional limitations. The least severe functional status is NYHA Class I (mild) with the most advanced being NYHA Class IV (critical). The majority of patients are initially identified as NYHA Class I or II and typically progress into subsequently worse states of the disease despite current treatment options. On average, patients who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right="479"/>
        <w:spacing w:after="0" w:line="246" w:lineRule="auto"/>
        <w:rPr>
          <w:sz w:val="20"/>
          <w:szCs w:val="20"/>
          <w:color w:val="auto"/>
        </w:rPr>
      </w:pPr>
      <w:r>
        <w:rPr>
          <w:rFonts w:ascii="Arial" w:cs="Arial" w:eastAsia="Arial" w:hAnsi="Arial"/>
          <w:sz w:val="18"/>
          <w:szCs w:val="18"/>
          <w:color w:val="auto"/>
        </w:rPr>
        <w:t>progress to a NYHA Class III either worsen to Class IV or die after 3.3 years. HFrEF patients are typically classified as NYHA Class II (moderate) or Class III (severe).</w:t>
      </w:r>
    </w:p>
    <w:p>
      <w:pPr>
        <w:spacing w:after="0" w:line="175" w:lineRule="exact"/>
        <w:rPr>
          <w:sz w:val="20"/>
          <w:szCs w:val="20"/>
          <w:color w:val="auto"/>
        </w:rPr>
      </w:pPr>
    </w:p>
    <w:p>
      <w:pPr>
        <w:ind w:left="180" w:right="79" w:hanging="130"/>
        <w:spacing w:after="0" w:line="244" w:lineRule="auto"/>
        <w:tabs>
          <w:tab w:leader="none" w:pos="180" w:val="left"/>
        </w:tabs>
        <w:numPr>
          <w:ilvl w:val="0"/>
          <w:numId w:val="8"/>
        </w:numPr>
        <w:rPr>
          <w:rFonts w:ascii="Arial" w:cs="Arial" w:eastAsia="Arial" w:hAnsi="Arial"/>
          <w:sz w:val="18"/>
          <w:szCs w:val="18"/>
          <w:color w:val="231F20"/>
        </w:rPr>
      </w:pPr>
      <w:r>
        <w:rPr>
          <w:rFonts w:ascii="Arial" w:cs="Arial" w:eastAsia="Arial" w:hAnsi="Arial"/>
          <w:sz w:val="18"/>
          <w:szCs w:val="18"/>
          <w:b w:val="1"/>
          <w:bCs w:val="1"/>
          <w:color w:val="auto"/>
        </w:rPr>
        <w:t xml:space="preserve">Level of N-terminal prohormone B-type natriuretic peptide (“NT-proBNP”): </w:t>
      </w:r>
      <w:r>
        <w:rPr>
          <w:rFonts w:ascii="Arial" w:cs="Arial" w:eastAsia="Arial" w:hAnsi="Arial"/>
          <w:sz w:val="18"/>
          <w:szCs w:val="18"/>
          <w:color w:val="auto"/>
        </w:rPr>
        <w:t>NT-proBNP, a non-active</w:t>
      </w:r>
      <w:r>
        <w:rPr>
          <w:rFonts w:ascii="Arial" w:cs="Arial" w:eastAsia="Arial" w:hAnsi="Arial"/>
          <w:sz w:val="18"/>
          <w:szCs w:val="18"/>
          <w:b w:val="1"/>
          <w:bCs w:val="1"/>
          <w:color w:val="auto"/>
        </w:rPr>
        <w:t xml:space="preserve"> </w:t>
      </w:r>
      <w:r>
        <w:rPr>
          <w:rFonts w:ascii="Arial" w:cs="Arial" w:eastAsia="Arial" w:hAnsi="Arial"/>
          <w:sz w:val="18"/>
          <w:szCs w:val="18"/>
          <w:color w:val="auto"/>
        </w:rPr>
        <w:t>prohormone in the heart, is released due to pressure changes inside the heart. NT-proBNP is considered to be at a normal level when it is &lt; 125pg/ml for patients 0–74 years old and &lt; 450pg/ml for patients 75–99 years old. Generally, patients with HF have elevated NT-proBNP levels, with those &gt; 1600pg/ml associated with an extremely poor prognosis and low responses to treatments.</w:t>
      </w:r>
    </w:p>
    <w:p>
      <w:pPr>
        <w:spacing w:after="0" w:line="176" w:lineRule="exact"/>
        <w:rPr>
          <w:rFonts w:ascii="Arial" w:cs="Arial" w:eastAsia="Arial" w:hAnsi="Arial"/>
          <w:sz w:val="18"/>
          <w:szCs w:val="18"/>
          <w:color w:val="231F20"/>
        </w:rPr>
      </w:pPr>
    </w:p>
    <w:p>
      <w:pPr>
        <w:ind w:left="180" w:right="99" w:hanging="130"/>
        <w:spacing w:after="0" w:line="253" w:lineRule="auto"/>
        <w:tabs>
          <w:tab w:leader="none" w:pos="180" w:val="left"/>
        </w:tabs>
        <w:numPr>
          <w:ilvl w:val="0"/>
          <w:numId w:val="8"/>
        </w:numPr>
        <w:rPr>
          <w:rFonts w:ascii="Arial" w:cs="Arial" w:eastAsia="Arial" w:hAnsi="Arial"/>
          <w:sz w:val="18"/>
          <w:szCs w:val="18"/>
          <w:color w:val="231F20"/>
        </w:rPr>
      </w:pPr>
      <w:r>
        <w:rPr>
          <w:rFonts w:ascii="Arial" w:cs="Arial" w:eastAsia="Arial" w:hAnsi="Arial"/>
          <w:sz w:val="18"/>
          <w:szCs w:val="18"/>
          <w:b w:val="1"/>
          <w:bCs w:val="1"/>
          <w:color w:val="auto"/>
        </w:rPr>
        <w:t xml:space="preserve">Left ventricular ejection fraction (“LVEF”): </w:t>
      </w:r>
      <w:r>
        <w:rPr>
          <w:rFonts w:ascii="Arial" w:cs="Arial" w:eastAsia="Arial" w:hAnsi="Arial"/>
          <w:sz w:val="18"/>
          <w:szCs w:val="18"/>
          <w:color w:val="auto"/>
        </w:rPr>
        <w:t>LVEF is a widely utilized indicator of systolic heart function,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the heart’s ability to pump blood throughout the body. It measures the percentage of blood that is ejected from the left ventricle with each beat. A LVEF &lt; 50% is considered dysfunctional and indicative of HFrEF.</w:t>
      </w:r>
    </w:p>
    <w:p>
      <w:pPr>
        <w:spacing w:after="0" w:line="168" w:lineRule="exact"/>
        <w:rPr>
          <w:rFonts w:ascii="Arial" w:cs="Arial" w:eastAsia="Arial" w:hAnsi="Arial"/>
          <w:sz w:val="18"/>
          <w:szCs w:val="18"/>
          <w:color w:val="231F20"/>
        </w:rPr>
      </w:pPr>
    </w:p>
    <w:p>
      <w:pPr>
        <w:ind w:left="180" w:right="139" w:hanging="130"/>
        <w:spacing w:after="0" w:line="247" w:lineRule="auto"/>
        <w:tabs>
          <w:tab w:leader="none" w:pos="180" w:val="left"/>
        </w:tabs>
        <w:numPr>
          <w:ilvl w:val="0"/>
          <w:numId w:val="8"/>
        </w:numPr>
        <w:rPr>
          <w:rFonts w:ascii="Arial" w:cs="Arial" w:eastAsia="Arial" w:hAnsi="Arial"/>
          <w:sz w:val="18"/>
          <w:szCs w:val="18"/>
          <w:color w:val="231F20"/>
        </w:rPr>
      </w:pPr>
      <w:r>
        <w:rPr>
          <w:rFonts w:ascii="Arial" w:cs="Arial" w:eastAsia="Arial" w:hAnsi="Arial"/>
          <w:sz w:val="18"/>
          <w:szCs w:val="18"/>
          <w:b w:val="1"/>
          <w:bCs w:val="1"/>
          <w:color w:val="auto"/>
        </w:rPr>
        <w:t xml:space="preserve">Co-morbidities / clinical fit: </w:t>
      </w:r>
      <w:r>
        <w:rPr>
          <w:rFonts w:ascii="Arial" w:cs="Arial" w:eastAsia="Arial" w:hAnsi="Arial"/>
          <w:sz w:val="18"/>
          <w:szCs w:val="18"/>
          <w:color w:val="auto"/>
        </w:rPr>
        <w:t>A patient’s co-morbidities, such as severe chronic obstructive pulmonary</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(COPD), kidney disease or carotid stenosis, as well as a patient’s physical and psychological fit contribute to a physician’s treatment recommendation given the use of general anesthesia in most HF-related device-based treatment options.</w:t>
      </w:r>
    </w:p>
    <w:p>
      <w:pPr>
        <w:spacing w:after="0" w:line="173" w:lineRule="exact"/>
        <w:rPr>
          <w:rFonts w:ascii="Arial" w:cs="Arial" w:eastAsia="Arial" w:hAnsi="Arial"/>
          <w:sz w:val="18"/>
          <w:szCs w:val="18"/>
          <w:color w:val="231F20"/>
        </w:rPr>
      </w:pPr>
    </w:p>
    <w:p>
      <w:pPr>
        <w:ind w:left="180" w:right="119" w:hanging="130"/>
        <w:spacing w:after="0"/>
        <w:tabs>
          <w:tab w:leader="none" w:pos="180" w:val="left"/>
        </w:tabs>
        <w:numPr>
          <w:ilvl w:val="0"/>
          <w:numId w:val="8"/>
        </w:numPr>
        <w:rPr>
          <w:rFonts w:ascii="Arial" w:cs="Arial" w:eastAsia="Arial" w:hAnsi="Arial"/>
          <w:sz w:val="18"/>
          <w:szCs w:val="18"/>
          <w:color w:val="231F20"/>
        </w:rPr>
      </w:pPr>
      <w:r>
        <w:rPr>
          <w:rFonts w:ascii="Arial" w:cs="Arial" w:eastAsia="Arial" w:hAnsi="Arial"/>
          <w:sz w:val="18"/>
          <w:szCs w:val="18"/>
          <w:b w:val="1"/>
          <w:bCs w:val="1"/>
          <w:color w:val="auto"/>
        </w:rPr>
        <w:t xml:space="preserve">QRS complex: </w:t>
      </w:r>
      <w:r>
        <w:rPr>
          <w:rFonts w:ascii="Arial" w:cs="Arial" w:eastAsia="Arial" w:hAnsi="Arial"/>
          <w:sz w:val="18"/>
          <w:szCs w:val="18"/>
          <w:color w:val="auto"/>
        </w:rPr>
        <w:t>The QRS complex is a classification of ventricle depolarization, or the heart’s ability to open</w:t>
      </w:r>
      <w:r>
        <w:rPr>
          <w:rFonts w:ascii="Arial" w:cs="Arial" w:eastAsia="Arial" w:hAnsi="Arial"/>
          <w:sz w:val="18"/>
          <w:szCs w:val="18"/>
          <w:b w:val="1"/>
          <w:bCs w:val="1"/>
          <w:color w:val="auto"/>
        </w:rPr>
        <w:t xml:space="preserve"> </w:t>
      </w:r>
      <w:r>
        <w:rPr>
          <w:rFonts w:ascii="Arial" w:cs="Arial" w:eastAsia="Arial" w:hAnsi="Arial"/>
          <w:sz w:val="18"/>
          <w:szCs w:val="18"/>
          <w:color w:val="auto"/>
        </w:rPr>
        <w:t>once contracted. It measures the way in which electrical signals travel through the heart and considers the mechanics and duration of the ventricle depolarization. A narrow QRS complex, or a QRS &lt; 120 milliseconds, is usually driven by a right bundle branch block, which is a blockage along the pathway that electrical pulses travel through to the right ventricle in order to generate a heartbeat. A wide QRS complex, or a QRS ≥ 150 milliseconds, is usually driven by a left bundle branch block, which is a blockage impacting the pathway to the left ventricle.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Existing treatments for HFrEF</w:t>
      </w:r>
    </w:p>
    <w:p>
      <w:pPr>
        <w:spacing w:after="0" w:line="234" w:lineRule="exact"/>
        <w:rPr>
          <w:sz w:val="20"/>
          <w:szCs w:val="20"/>
          <w:color w:val="auto"/>
        </w:rPr>
      </w:pPr>
    </w:p>
    <w:p>
      <w:pPr>
        <w:ind w:left="60" w:right="299"/>
        <w:spacing w:after="0" w:line="237" w:lineRule="auto"/>
        <w:rPr>
          <w:sz w:val="20"/>
          <w:szCs w:val="20"/>
          <w:color w:val="auto"/>
        </w:rPr>
      </w:pPr>
      <w:r>
        <w:rPr>
          <w:rFonts w:ascii="Arial" w:cs="Arial" w:eastAsia="Arial" w:hAnsi="Arial"/>
          <w:sz w:val="18"/>
          <w:szCs w:val="18"/>
          <w:color w:val="auto"/>
        </w:rPr>
        <w:t>Patients with HFrEF are typically placed on a treatment progression plan during which they are initially given GDMT to help manage symptoms. GDMT usually includes a progression or combination of prescribed drugs such as Diuretics, Beta-blockers, ACE Inhibitors, ARBs, ARNIs, SGLT2 Inhibitors and Sinus Node Inhibitors. After being treated with pharmaceuticals for a short period, if the symptoms persist, patients move to more invasive and costly treatment options involving other implantable devices, with the most severe patients often requiring LVADs or heart transplants.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commercially available implantable devices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Implantable Cardiac Defibrillators (ICD)</w:t>
      </w:r>
    </w:p>
    <w:p>
      <w:pPr>
        <w:spacing w:after="0" w:line="216"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ICDs are indicated for patients with NYHA Class II or III and LVEF ≤ 35% for both wide and narrow QRS. However, these devices are generally used to prevent sudden cardiac arrest rather than reduce HFrEF symptoms as their electrical shocks focus on restoring a normal heartbeat when a heart beats too quickly or randomly. Given their purpose and mechanism of action, these devices are not a treatment for HFrEF but are used in conjunction with other treatment options that focus on reducing HF symptoms.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Cardiac Resynchronization Therapy (“CRT”)</w:t>
      </w:r>
    </w:p>
    <w:p>
      <w:pPr>
        <w:spacing w:after="0" w:line="216"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CRTs, or biventricular pacing, are indicated for patients with NYHA Class II or III, LVEF ≤ 35% and wide QRS. These devices are primarily used to reduce symptoms of HFrEF by generating electrical pulses to regulate the pace of a heartbeat. While CRTs can alleviate symptoms for patients with a wide QRS, they are not eligible for patients with a narrow QRS, which represents approximately 59% of patients with NYHA Class II or III and LVEF ≤ 35%. These devices can be combined with an ICD, which are referred to as CRT-D.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Cardiac Contractility Modulation (“CCM”)</w:t>
      </w:r>
    </w:p>
    <w:p>
      <w:pPr>
        <w:spacing w:after="0" w:line="21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CCM is eligible for patients with NYHA Class III, LVEF 25%–45%, narrow QRS and normal sinus rhythm. CCM requires an invasive procedure whereby an IPG is implanted under the skin of the upper chest with electrical leads running through the veins and attached inside the heart’s ventricles, sending electrical pulses to the heart after it contracts. The device is rechargeable and therefore requires patients to recharge the battery on a regular basis.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Left Ventricular Assist Device (LVAD)</w:t>
      </w:r>
    </w:p>
    <w:p>
      <w:pPr>
        <w:spacing w:after="0" w:line="216"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LVAD is an irreversible, invasive surgery generally reserved for critical HFrEF patients with NYHA Class IV. An LVAD is a mechanical pump that is implanted inside a patient’s chest and helps pump blood throughout the body. While LVADs do not replace the heart, they do require open chest surgery and often result in the destruction of a portion of the heart. Patients who do not respond to LVADs usually have no other treatment options and become candidates for heart transplants.</w:t>
      </w:r>
    </w:p>
    <w:p>
      <w:pPr>
        <w:spacing w:after="0" w:line="189"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Despite currently available pharmaceutical and device-based treatments, HF remains underpenetrated and imposes significant direct and indirect costs on the healthcare system through patient care, morbidity, unpaid care costs, premature mortality and lost productivity. We estimate there are approximately 800,000 HF hospitalizations every year in the U.S., representing approximately $39.5 billion in annual spending.</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Barostim’s market opportunity</w:t>
      </w:r>
    </w:p>
    <w:p>
      <w:pPr>
        <w:spacing w:after="0" w:line="234"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estimate that our initial annual market opportunity for HFrEF is $2.9 billion. This includes a $1.4 billion initial market opportunity (55,000 HFrEF patients) in the U.S., and a $1.5 billion initial market opportunity (61,000 HFrEF patients) in the European Five.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solution</w:t>
      </w:r>
    </w:p>
    <w:p>
      <w:pPr>
        <w:spacing w:after="0" w:line="234"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We developed our Barostim platform technology to transform the treatment of HFrEF and other cardiovascular diseases and become the standard of care for this vulnerable and underpenetrated patient population. We believe Barostim offers meaningful benefits for patients, physicians and payors that will continue to drive adoption of our therapy.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 of Barostim Therapy</w:t>
      </w:r>
    </w:p>
    <w:p>
      <w:pPr>
        <w:spacing w:after="0" w:line="23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Our integrated platform technology, Barostim, leverages the power of the brain and nervous system to address the primary cause of HFrEF and other cardiovascular diseases. Our product, Barostim, is the first and only commercially available neuromodulation device indicated to improve symptoms for patients with HFrEF. Barostim Therapy utilizes a widely accepted mechanism of action and works by sending imperceptible and persistent electrical pulses to baroreceptors located in the wall of the carotid artery to signal the brain to decrease sympathetic activity and increase parasympathetic activity. This integrated response to rebalancing the ANS is well understood to normalize blood pressure, improve remodeling of the heart, increase vasodilation (widening of blood vessels) and improve kidney function. Based on the results of our BeAT-HF pivotal trial, Barostim has demonstrated its ability to meaningfully improve the quality of daily life, both physically and emotionally, for patients suffering from HFrEF.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Barostim</w:t>
      </w:r>
    </w:p>
    <w:p>
      <w:pPr>
        <w:spacing w:after="0" w:line="234"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Barostim consists of two implantable components: an IPG and a stimulation lead. The image below depicts the relative location and size of Barostim under the patient’s 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1899920</wp:posOffset>
            </wp:positionH>
            <wp:positionV relativeFrom="paragraph">
              <wp:posOffset>-10795</wp:posOffset>
            </wp:positionV>
            <wp:extent cx="1920240" cy="1920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2024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Implantable pulse generator</w:t>
      </w:r>
    </w:p>
    <w:p>
      <w:pPr>
        <w:spacing w:after="0" w:line="21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current IPG contains the electronics and battery in a hermetic enclosure, has an average service life of five to six years and includes a battery that does not require any recharging. The IPG provides control and delivery of electrical pulses to baroreceptors located in the wall of the carotid artery through the stimulation lead. Nominal dimensions for the current IPG are listed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121920</wp:posOffset>
            </wp:positionV>
            <wp:extent cx="1663065" cy="18516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6306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Stimulation lead</w:t>
      </w:r>
    </w:p>
    <w:p>
      <w:pPr>
        <w:spacing w:after="0" w:line="21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stimulation lead is attached via six suture points to the exterior wall of the carotid artery and is connected to the current IPG. This allows the stimulation lead to carry the electrical pulses from the IPG to the baroreceptors located in the wall of the carotid artery. The stimulation lead terminates with a two-millimeter electrode. There are two lengths of the stimulation lead available to allow for anatomical variations to be used at the physician’s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120650</wp:posOffset>
            </wp:positionV>
            <wp:extent cx="4972050" cy="1543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7205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Ancillary surgical accessories</w:t>
      </w:r>
    </w:p>
    <w:p>
      <w:pPr>
        <w:spacing w:after="0" w:line="216"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In addition to the IPG and stimulation lead, we provide physicians with single-use surgical tools, including the port plug, torque wrench, implant tool and implant adaptor, all of which were designed to facilitate the implantation of Barostim.</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Programmer</w:t>
      </w:r>
    </w:p>
    <w:p>
      <w:pPr>
        <w:spacing w:after="0" w:line="21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Once implanted, Barostim is managed wirelessly by a programmer that communicates with the IPG. The programmer can be used to assist in verifying the desired location of the stimulation electrode during the implant procedure and allows physicians to input their patient’s therapy parameters and retrieve information on the status of the IPG, including the remaining battery life, without touching the IPG or the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121920</wp:posOffset>
            </wp:positionV>
            <wp:extent cx="3326130" cy="2082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2613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Treating patients with Barostim</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Patient selection</w:t>
      </w:r>
    </w:p>
    <w:p>
      <w:pPr>
        <w:spacing w:after="0" w:line="216"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Barostim is indicated for the improvement of symptoms of HFrEF — quality of life, 6MHW and functional status — for patients who remain symptomatic despite treatment with GDMT, are NYHA Class III or II (who had a recent history of Class III), have a left ventricular ejection fraction ≤ 35%, a NT-proBNP &lt; 1600 pg/ml and are not indicated for CRT according to the American Heart Association (“AHA”)/American College of Cardiology (“ACC”)/European Society of Cardiology (“ESC”) guidelines.</w:t>
      </w:r>
    </w:p>
    <w:p>
      <w:pPr>
        <w:spacing w:after="0" w:line="189"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Once a patient is diagnosed with HFrEF and recommended for an ICD and/or CRT, interventional or general cardiologists will often refer them to EPs, who often conduct a series of diagnostic tests, including an electrocardiogram, ultrasound and various blood tests, from which they will determine the patient’s eligibility for our therapy. Many of our indicated patients may have already been pre-indicated for an ICD, whether or not they chose to undergo the ICD implantation procedure.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Implantation</w:t>
      </w:r>
    </w:p>
    <w:p>
      <w:pPr>
        <w:spacing w:after="0" w:line="21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Barostim is implanted during a short, minimally invasive procedure that is typically performed on an outpatient basis by a vascular surgeon and possibly an EP. The procedure has two steps. During the first step, a small incision is made on the right side of the neck to expose the carotid sinus. The physician uses the implant tool to hold the lead electrode in contact with the outside wall of the carotid artery while the lead is temporarily connected to the IPG to verify the location of the electrode. After the electrode is sutured in place, the second step begins by making a small incision below the right clavicle where a pocket is created under the skin to hold the IPG. The main body of the stimulation lead is tunneled under the skin, but over the clavicle, from the neck to the pocket. The lead connector is inserted and secured into the IPG header. Lastly, the IPG is placed in the pocket and a few stiches are used to close each incision.</w:t>
      </w:r>
    </w:p>
    <w:p>
      <w:pPr>
        <w:spacing w:after="0" w:line="193"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This implantation procedure, which typically lasts one hour, is usually performed under general anesthesia and may require a short hospital stay. While patients may experience mild discomfort and swelling at the incision sites for a few days, this often can be managed with over-the-counter pain medications. Patients typically recover quickly and are discharged from the hospital within 24 hours of the procedure.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Activation/Titration</w:t>
      </w:r>
    </w:p>
    <w:p>
      <w:pPr>
        <w:spacing w:after="0" w:line="216"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After Barostim is implanted and activated, the patient attends a few follow-up visits with their doctor, during which the device is progressively titrated from a moderate level to a higher amplitude of electrical stimulation. The primary objective of these follow-up visits is for the patient to reach the optimal level of stimulation, which is typically achieved approximately three months after implantation. The exact level of stimulation varies from patient to patient based on the response to Barostim Therapy. Barostim can be adjusted through a digital wireless programmer, allowing the clinician to monitor and customize the therapy to the patient’s needs by adjusting the intensity and frequency of the electrical pulses being sent to the carotid artery. After the titration period, it is recommended that the patient attend a clinical visit two times each year to check impedance, battery longevity and adequacy of programming.</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benefits for patients, physicians and payors</w:t>
      </w:r>
    </w:p>
    <w:p>
      <w:pPr>
        <w:spacing w:after="0" w:line="234" w:lineRule="exact"/>
        <w:rPr>
          <w:sz w:val="20"/>
          <w:szCs w:val="20"/>
          <w:color w:val="auto"/>
        </w:rPr>
      </w:pPr>
    </w:p>
    <w:p>
      <w:pPr>
        <w:ind w:left="60" w:right="359"/>
        <w:spacing w:after="0" w:line="238" w:lineRule="auto"/>
        <w:rPr>
          <w:sz w:val="20"/>
          <w:szCs w:val="20"/>
          <w:color w:val="auto"/>
        </w:rPr>
      </w:pPr>
      <w:r>
        <w:rPr>
          <w:rFonts w:ascii="Arial" w:cs="Arial" w:eastAsia="Arial" w:hAnsi="Arial"/>
          <w:sz w:val="18"/>
          <w:szCs w:val="18"/>
          <w:color w:val="auto"/>
        </w:rPr>
        <w:t>Barostim is designed to advance patient care and provide a safe, effective and economically attractive treatment option to an underserved patient population suffering from HFrEF. We believe the following factors offer meaningful benefits for patients, physicians and payors that will continue to drive broad adoption of our therapy:</w:t>
      </w:r>
    </w:p>
    <w:p>
      <w:pPr>
        <w:spacing w:after="0" w:line="169" w:lineRule="exact"/>
        <w:rPr>
          <w:sz w:val="20"/>
          <w:szCs w:val="20"/>
          <w:color w:val="auto"/>
        </w:rPr>
      </w:pPr>
    </w:p>
    <w:p>
      <w:pPr>
        <w:ind w:left="180" w:right="119" w:hanging="130"/>
        <w:spacing w:after="0" w:line="271" w:lineRule="auto"/>
        <w:tabs>
          <w:tab w:leader="none" w:pos="180" w:val="left"/>
        </w:tabs>
        <w:numPr>
          <w:ilvl w:val="0"/>
          <w:numId w:val="9"/>
        </w:numPr>
        <w:rPr>
          <w:rFonts w:ascii="Arial" w:cs="Arial" w:eastAsia="Arial" w:hAnsi="Arial"/>
          <w:sz w:val="18"/>
          <w:szCs w:val="18"/>
          <w:color w:val="231F20"/>
        </w:rPr>
      </w:pPr>
      <w:r>
        <w:rPr>
          <w:rFonts w:ascii="Arial" w:cs="Arial" w:eastAsia="Arial" w:hAnsi="Arial"/>
          <w:sz w:val="18"/>
          <w:szCs w:val="18"/>
          <w:b w:val="1"/>
          <w:bCs w:val="1"/>
          <w:color w:val="auto"/>
        </w:rPr>
        <w:t xml:space="preserve">Addresses significant unmet medical need. </w:t>
      </w:r>
      <w:r>
        <w:rPr>
          <w:rFonts w:ascii="Arial" w:cs="Arial" w:eastAsia="Arial" w:hAnsi="Arial"/>
          <w:sz w:val="18"/>
          <w:szCs w:val="18"/>
          <w:color w:val="auto"/>
        </w:rPr>
        <w:t>Barostim addresses a life-threatening disease for patients who</w:t>
      </w:r>
      <w:r>
        <w:rPr>
          <w:rFonts w:ascii="Arial" w:cs="Arial" w:eastAsia="Arial" w:hAnsi="Arial"/>
          <w:sz w:val="18"/>
          <w:szCs w:val="18"/>
          <w:b w:val="1"/>
          <w:bCs w:val="1"/>
          <w:color w:val="auto"/>
        </w:rPr>
        <w:t xml:space="preserve"> </w:t>
      </w:r>
      <w:r>
        <w:rPr>
          <w:rFonts w:ascii="Arial" w:cs="Arial" w:eastAsia="Arial" w:hAnsi="Arial"/>
          <w:sz w:val="18"/>
          <w:szCs w:val="18"/>
          <w:color w:val="auto"/>
        </w:rPr>
        <w:t>failed to receive adequate benefits from existing treatments and who have no alternative treatment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right="999"/>
        <w:spacing w:after="0" w:line="246" w:lineRule="auto"/>
        <w:rPr>
          <w:sz w:val="20"/>
          <w:szCs w:val="20"/>
          <w:color w:val="auto"/>
        </w:rPr>
      </w:pPr>
      <w:r>
        <w:rPr>
          <w:rFonts w:ascii="Arial" w:cs="Arial" w:eastAsia="Arial" w:hAnsi="Arial"/>
          <w:sz w:val="18"/>
          <w:szCs w:val="18"/>
          <w:color w:val="auto"/>
        </w:rPr>
        <w:t>options. Based on this, the FDA granted Barostim a Breakthrough Device designation for HFrEF in June 2015.</w:t>
      </w:r>
    </w:p>
    <w:p>
      <w:pPr>
        <w:spacing w:after="0" w:line="175" w:lineRule="exact"/>
        <w:rPr>
          <w:sz w:val="20"/>
          <w:szCs w:val="20"/>
          <w:color w:val="auto"/>
        </w:rPr>
      </w:pPr>
    </w:p>
    <w:p>
      <w:pPr>
        <w:ind w:left="180" w:right="79" w:hanging="130"/>
        <w:spacing w:after="0" w:line="253" w:lineRule="auto"/>
        <w:tabs>
          <w:tab w:leader="none" w:pos="180" w:val="left"/>
        </w:tabs>
        <w:numPr>
          <w:ilvl w:val="0"/>
          <w:numId w:val="10"/>
        </w:numPr>
        <w:rPr>
          <w:rFonts w:ascii="Arial" w:cs="Arial" w:eastAsia="Arial" w:hAnsi="Arial"/>
          <w:sz w:val="18"/>
          <w:szCs w:val="18"/>
          <w:color w:val="231F20"/>
        </w:rPr>
      </w:pPr>
      <w:r>
        <w:rPr>
          <w:rFonts w:ascii="Arial" w:cs="Arial" w:eastAsia="Arial" w:hAnsi="Arial"/>
          <w:sz w:val="18"/>
          <w:szCs w:val="18"/>
          <w:b w:val="1"/>
          <w:bCs w:val="1"/>
          <w:color w:val="auto"/>
        </w:rPr>
        <w:t xml:space="preserve">Safe and effective treatment. </w:t>
      </w:r>
      <w:r>
        <w:rPr>
          <w:rFonts w:ascii="Arial" w:cs="Arial" w:eastAsia="Arial" w:hAnsi="Arial"/>
          <w:sz w:val="18"/>
          <w:szCs w:val="18"/>
          <w:color w:val="auto"/>
        </w:rPr>
        <w:t>Our clinical trial results demonstrated compelling safety and effectiveness data</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the HFrEF clinical benefits of Barostim. These results showed significant improvement in the following HF patient-centered outcomes:</w:t>
      </w:r>
    </w:p>
    <w:p>
      <w:pPr>
        <w:spacing w:after="0" w:line="168" w:lineRule="exact"/>
        <w:rPr>
          <w:rFonts w:ascii="Arial" w:cs="Arial" w:eastAsia="Arial" w:hAnsi="Arial"/>
          <w:sz w:val="18"/>
          <w:szCs w:val="18"/>
          <w:color w:val="231F20"/>
        </w:rPr>
      </w:pPr>
    </w:p>
    <w:p>
      <w:pPr>
        <w:ind w:left="860" w:right="119" w:hanging="135"/>
        <w:spacing w:after="0" w:line="253" w:lineRule="auto"/>
        <w:tabs>
          <w:tab w:leader="none" w:pos="860" w:val="left"/>
        </w:tabs>
        <w:numPr>
          <w:ilvl w:val="1"/>
          <w:numId w:val="10"/>
        </w:numPr>
        <w:rPr>
          <w:rFonts w:ascii="Arial" w:cs="Arial" w:eastAsia="Arial" w:hAnsi="Arial"/>
          <w:sz w:val="18"/>
          <w:szCs w:val="18"/>
          <w:color w:val="231F20"/>
        </w:rPr>
      </w:pPr>
      <w:r>
        <w:rPr>
          <w:rFonts w:ascii="Arial" w:cs="Arial" w:eastAsia="Arial" w:hAnsi="Arial"/>
          <w:sz w:val="18"/>
          <w:szCs w:val="18"/>
          <w:b w:val="1"/>
          <w:bCs w:val="1"/>
          <w:color w:val="auto"/>
        </w:rPr>
        <w:t xml:space="preserve">Quality of life (measured by MLWHF): </w:t>
      </w:r>
      <w:r>
        <w:rPr>
          <w:rFonts w:ascii="Arial" w:cs="Arial" w:eastAsia="Arial" w:hAnsi="Arial"/>
          <w:sz w:val="18"/>
          <w:szCs w:val="18"/>
          <w:color w:val="auto"/>
        </w:rPr>
        <w:t>Our therapy demonstrated a 14-point improvement in quality</w:t>
      </w:r>
      <w:r>
        <w:rPr>
          <w:rFonts w:ascii="Arial" w:cs="Arial" w:eastAsia="Arial" w:hAnsi="Arial"/>
          <w:sz w:val="18"/>
          <w:szCs w:val="18"/>
          <w:b w:val="1"/>
          <w:bCs w:val="1"/>
          <w:color w:val="auto"/>
        </w:rPr>
        <w:t xml:space="preserve"> </w:t>
      </w:r>
      <w:r>
        <w:rPr>
          <w:rFonts w:ascii="Arial" w:cs="Arial" w:eastAsia="Arial" w:hAnsi="Arial"/>
          <w:sz w:val="18"/>
          <w:szCs w:val="18"/>
          <w:color w:val="auto"/>
        </w:rPr>
        <w:t>of life for patients in the device arm relative to patients in the control arm. A 5-point improvement is considered to be clinically meaningful.</w:t>
      </w:r>
    </w:p>
    <w:p>
      <w:pPr>
        <w:spacing w:after="0" w:line="168" w:lineRule="exact"/>
        <w:rPr>
          <w:rFonts w:ascii="Arial" w:cs="Arial" w:eastAsia="Arial" w:hAnsi="Arial"/>
          <w:sz w:val="18"/>
          <w:szCs w:val="18"/>
          <w:color w:val="231F20"/>
        </w:rPr>
      </w:pPr>
    </w:p>
    <w:p>
      <w:pPr>
        <w:ind w:left="860" w:right="179" w:hanging="135"/>
        <w:spacing w:after="0" w:line="247" w:lineRule="auto"/>
        <w:tabs>
          <w:tab w:leader="none" w:pos="860" w:val="left"/>
        </w:tabs>
        <w:numPr>
          <w:ilvl w:val="1"/>
          <w:numId w:val="10"/>
        </w:numPr>
        <w:rPr>
          <w:rFonts w:ascii="Arial" w:cs="Arial" w:eastAsia="Arial" w:hAnsi="Arial"/>
          <w:sz w:val="18"/>
          <w:szCs w:val="18"/>
          <w:color w:val="231F20"/>
        </w:rPr>
      </w:pPr>
      <w:r>
        <w:rPr>
          <w:rFonts w:ascii="Arial" w:cs="Arial" w:eastAsia="Arial" w:hAnsi="Arial"/>
          <w:sz w:val="18"/>
          <w:szCs w:val="18"/>
          <w:b w:val="1"/>
          <w:bCs w:val="1"/>
          <w:color w:val="auto"/>
        </w:rPr>
        <w:t xml:space="preserve">Exercise capacity (measured by the standardized 6MHW distance test): </w:t>
      </w:r>
      <w:r>
        <w:rPr>
          <w:rFonts w:ascii="Arial" w:cs="Arial" w:eastAsia="Arial" w:hAnsi="Arial"/>
          <w:sz w:val="18"/>
          <w:szCs w:val="18"/>
          <w:color w:val="auto"/>
        </w:rPr>
        <w:t>Our therapy</w:t>
      </w:r>
      <w:r>
        <w:rPr>
          <w:rFonts w:ascii="Arial" w:cs="Arial" w:eastAsia="Arial" w:hAnsi="Arial"/>
          <w:sz w:val="18"/>
          <w:szCs w:val="18"/>
          <w:b w:val="1"/>
          <w:bCs w:val="1"/>
          <w:color w:val="auto"/>
        </w:rPr>
        <w:t xml:space="preserve"> </w:t>
      </w:r>
      <w:r>
        <w:rPr>
          <w:rFonts w:ascii="Arial" w:cs="Arial" w:eastAsia="Arial" w:hAnsi="Arial"/>
          <w:sz w:val="18"/>
          <w:szCs w:val="18"/>
          <w:color w:val="auto"/>
        </w:rPr>
        <w:t>demonstrated that patients in the device arm were able to improve their walking distance in a six-minute period by 60 meters more than that of patients in the control arm. A 25-meter improvement in walking distance is considered to be clinically meaningful.</w:t>
      </w:r>
    </w:p>
    <w:p>
      <w:pPr>
        <w:spacing w:after="0" w:line="173" w:lineRule="exact"/>
        <w:rPr>
          <w:rFonts w:ascii="Arial" w:cs="Arial" w:eastAsia="Arial" w:hAnsi="Arial"/>
          <w:sz w:val="18"/>
          <w:szCs w:val="18"/>
          <w:color w:val="231F20"/>
        </w:rPr>
      </w:pPr>
    </w:p>
    <w:p>
      <w:pPr>
        <w:ind w:left="860" w:right="179" w:hanging="135"/>
        <w:spacing w:after="0" w:line="247" w:lineRule="auto"/>
        <w:tabs>
          <w:tab w:leader="none" w:pos="860" w:val="left"/>
        </w:tabs>
        <w:numPr>
          <w:ilvl w:val="1"/>
          <w:numId w:val="10"/>
        </w:numPr>
        <w:rPr>
          <w:rFonts w:ascii="Arial" w:cs="Arial" w:eastAsia="Arial" w:hAnsi="Arial"/>
          <w:sz w:val="18"/>
          <w:szCs w:val="18"/>
          <w:color w:val="231F20"/>
        </w:rPr>
      </w:pPr>
      <w:r>
        <w:rPr>
          <w:rFonts w:ascii="Arial" w:cs="Arial" w:eastAsia="Arial" w:hAnsi="Arial"/>
          <w:sz w:val="18"/>
          <w:szCs w:val="18"/>
          <w:b w:val="1"/>
          <w:bCs w:val="1"/>
          <w:color w:val="auto"/>
        </w:rPr>
        <w:t xml:space="preserve">Functional status (determined by NYHA classification): </w:t>
      </w:r>
      <w:r>
        <w:rPr>
          <w:rFonts w:ascii="Arial" w:cs="Arial" w:eastAsia="Arial" w:hAnsi="Arial"/>
          <w:sz w:val="18"/>
          <w:szCs w:val="18"/>
          <w:color w:val="auto"/>
        </w:rPr>
        <w:t>Our therapy demonstrated that 65% of</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who were in the device arm improved at least one NYHA class as compared to only 31% in the control arm, with 13% of patients improving two NYHA classes in the device arm as compared to only 2% in the control arm.</w:t>
      </w:r>
    </w:p>
    <w:p>
      <w:pPr>
        <w:spacing w:after="0" w:line="173" w:lineRule="exact"/>
        <w:rPr>
          <w:rFonts w:ascii="Arial" w:cs="Arial" w:eastAsia="Arial" w:hAnsi="Arial"/>
          <w:sz w:val="18"/>
          <w:szCs w:val="18"/>
          <w:color w:val="231F20"/>
        </w:rPr>
      </w:pPr>
    </w:p>
    <w:p>
      <w:pPr>
        <w:jc w:val="both"/>
        <w:ind w:left="860" w:right="339" w:hanging="135"/>
        <w:spacing w:after="0" w:line="253" w:lineRule="auto"/>
        <w:tabs>
          <w:tab w:leader="none" w:pos="860" w:val="left"/>
        </w:tabs>
        <w:numPr>
          <w:ilvl w:val="1"/>
          <w:numId w:val="10"/>
        </w:numPr>
        <w:rPr>
          <w:rFonts w:ascii="Arial" w:cs="Arial" w:eastAsia="Arial" w:hAnsi="Arial"/>
          <w:sz w:val="18"/>
          <w:szCs w:val="18"/>
          <w:color w:val="231F20"/>
        </w:rPr>
      </w:pPr>
      <w:r>
        <w:rPr>
          <w:rFonts w:ascii="Arial" w:cs="Arial" w:eastAsia="Arial" w:hAnsi="Arial"/>
          <w:sz w:val="18"/>
          <w:szCs w:val="18"/>
          <w:b w:val="1"/>
          <w:bCs w:val="1"/>
          <w:color w:val="auto"/>
        </w:rPr>
        <w:t xml:space="preserve">NT-proBNP (Serum biomarker used as indicator of severity of HF): </w:t>
      </w:r>
      <w:r>
        <w:rPr>
          <w:rFonts w:ascii="Arial" w:cs="Arial" w:eastAsia="Arial" w:hAnsi="Arial"/>
          <w:sz w:val="18"/>
          <w:szCs w:val="18"/>
          <w:color w:val="auto"/>
        </w:rPr>
        <w:t>Our therapy demonstrated</w:t>
      </w:r>
      <w:r>
        <w:rPr>
          <w:rFonts w:ascii="Arial" w:cs="Arial" w:eastAsia="Arial" w:hAnsi="Arial"/>
          <w:sz w:val="18"/>
          <w:szCs w:val="18"/>
          <w:b w:val="1"/>
          <w:bCs w:val="1"/>
          <w:color w:val="auto"/>
        </w:rPr>
        <w:t xml:space="preserve"> </w:t>
      </w:r>
      <w:r>
        <w:rPr>
          <w:rFonts w:ascii="Arial" w:cs="Arial" w:eastAsia="Arial" w:hAnsi="Arial"/>
          <w:sz w:val="18"/>
          <w:szCs w:val="18"/>
          <w:color w:val="auto"/>
        </w:rPr>
        <w:t>that patients in the device arm had a 25% improvement in NT-proBNP relative to that of patients in the control arm. A 10% improvement is considered to be clinically meaningful.</w:t>
      </w:r>
    </w:p>
    <w:p>
      <w:pPr>
        <w:spacing w:after="0" w:line="191" w:lineRule="exact"/>
        <w:rPr>
          <w:sz w:val="20"/>
          <w:szCs w:val="20"/>
          <w:color w:val="auto"/>
        </w:rPr>
      </w:pPr>
    </w:p>
    <w:p>
      <w:pPr>
        <w:ind w:left="60" w:right="559"/>
        <w:spacing w:after="0" w:line="246" w:lineRule="auto"/>
        <w:rPr>
          <w:sz w:val="20"/>
          <w:szCs w:val="20"/>
          <w:color w:val="auto"/>
        </w:rPr>
      </w:pPr>
      <w:r>
        <w:rPr>
          <w:rFonts w:ascii="Arial" w:cs="Arial" w:eastAsia="Arial" w:hAnsi="Arial"/>
          <w:sz w:val="18"/>
          <w:szCs w:val="18"/>
          <w:color w:val="auto"/>
        </w:rPr>
        <w:t>The significant benefits of our therapy were observed despite a four-fold uptake of ARNI medication in the control arm, as compared to the device arm.</w:t>
      </w:r>
    </w:p>
    <w:p>
      <w:pPr>
        <w:spacing w:after="0" w:line="161" w:lineRule="exact"/>
        <w:rPr>
          <w:sz w:val="20"/>
          <w:szCs w:val="20"/>
          <w:color w:val="auto"/>
        </w:rPr>
      </w:pPr>
    </w:p>
    <w:p>
      <w:pPr>
        <w:jc w:val="both"/>
        <w:ind w:left="180" w:right="79" w:hanging="130"/>
        <w:spacing w:after="0" w:line="253" w:lineRule="auto"/>
        <w:tabs>
          <w:tab w:leader="none" w:pos="180" w:val="left"/>
        </w:tabs>
        <w:numPr>
          <w:ilvl w:val="0"/>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Widely accepted mechanism of action. </w:t>
      </w:r>
      <w:r>
        <w:rPr>
          <w:rFonts w:ascii="Arial" w:cs="Arial" w:eastAsia="Arial" w:hAnsi="Arial"/>
          <w:sz w:val="18"/>
          <w:szCs w:val="18"/>
          <w:color w:val="auto"/>
        </w:rPr>
        <w:t>Our platform technology is based on a widely accepted mechanism</w:t>
      </w:r>
      <w:r>
        <w:rPr>
          <w:rFonts w:ascii="Arial" w:cs="Arial" w:eastAsia="Arial" w:hAnsi="Arial"/>
          <w:sz w:val="18"/>
          <w:szCs w:val="18"/>
          <w:b w:val="1"/>
          <w:bCs w:val="1"/>
          <w:color w:val="auto"/>
        </w:rPr>
        <w:t xml:space="preserve"> </w:t>
      </w:r>
      <w:r>
        <w:rPr>
          <w:rFonts w:ascii="Arial" w:cs="Arial" w:eastAsia="Arial" w:hAnsi="Arial"/>
          <w:sz w:val="18"/>
          <w:szCs w:val="18"/>
          <w:color w:val="auto"/>
        </w:rPr>
        <w:t>of action and is designed to address the imbalance of the ANS, which causes HFrEF and other cardiovascular diseases.</w:t>
      </w:r>
    </w:p>
    <w:p>
      <w:pPr>
        <w:spacing w:after="0" w:line="168" w:lineRule="exact"/>
        <w:rPr>
          <w:rFonts w:ascii="Arial" w:cs="Arial" w:eastAsia="Arial" w:hAnsi="Arial"/>
          <w:sz w:val="18"/>
          <w:szCs w:val="18"/>
          <w:color w:val="231F20"/>
        </w:rPr>
      </w:pPr>
    </w:p>
    <w:p>
      <w:pPr>
        <w:ind w:left="180" w:right="79" w:hanging="130"/>
        <w:spacing w:after="0" w:line="239" w:lineRule="auto"/>
        <w:tabs>
          <w:tab w:leader="none" w:pos="180" w:val="left"/>
        </w:tabs>
        <w:numPr>
          <w:ilvl w:val="0"/>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Strong global clinical evidence. </w:t>
      </w:r>
      <w:r>
        <w:rPr>
          <w:rFonts w:ascii="Arial" w:cs="Arial" w:eastAsia="Arial" w:hAnsi="Arial"/>
          <w:sz w:val="18"/>
          <w:szCs w:val="18"/>
          <w:color w:val="auto"/>
        </w:rPr>
        <w:t>The benefits of treatment with Barostim were shown to be similarly robust</w:t>
      </w:r>
      <w:r>
        <w:rPr>
          <w:rFonts w:ascii="Arial" w:cs="Arial" w:eastAsia="Arial" w:hAnsi="Arial"/>
          <w:sz w:val="18"/>
          <w:szCs w:val="18"/>
          <w:b w:val="1"/>
          <w:bCs w:val="1"/>
          <w:color w:val="auto"/>
        </w:rPr>
        <w:t xml:space="preserve"> </w:t>
      </w:r>
      <w:r>
        <w:rPr>
          <w:rFonts w:ascii="Arial" w:cs="Arial" w:eastAsia="Arial" w:hAnsi="Arial"/>
          <w:sz w:val="18"/>
          <w:szCs w:val="18"/>
          <w:color w:val="auto"/>
        </w:rPr>
        <w:t>and reproducible across all three of our HF clinical studies, including BAT-in-HF (Phase I), HOPE4HF (Phase II) and BeAT-HF (Phase III pivotal trial), evaluating 624 patients in aggregate across the U.S., Germany, Italy, France, Canada and the United Kingdom. The BeAT-HF pivotal trial, which was a multi-center, prospective, randomized, controlled trial, met its primary endpoints and the positive safety and effectiveness data exceeded the pre-specified performance criteria across multiple dimensions, measuring the improvement in the quality of patients’ daily lives. Barostim Therapy’s trial results have been published in more than 60 peer-reviewed publications, approximately 20 of which relate to the treatment of HF, including, among others, the Journal of the American College of Cardiology.</w:t>
      </w:r>
    </w:p>
    <w:p>
      <w:pPr>
        <w:spacing w:after="0" w:line="183" w:lineRule="exact"/>
        <w:rPr>
          <w:rFonts w:ascii="Arial" w:cs="Arial" w:eastAsia="Arial" w:hAnsi="Arial"/>
          <w:sz w:val="18"/>
          <w:szCs w:val="18"/>
          <w:color w:val="231F20"/>
        </w:rPr>
      </w:pPr>
    </w:p>
    <w:p>
      <w:pPr>
        <w:ind w:left="180" w:right="159" w:hanging="130"/>
        <w:spacing w:after="0" w:line="239" w:lineRule="auto"/>
        <w:tabs>
          <w:tab w:leader="none" w:pos="180" w:val="left"/>
        </w:tabs>
        <w:numPr>
          <w:ilvl w:val="0"/>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Minimally invasive implant procedure. </w:t>
      </w:r>
      <w:r>
        <w:rPr>
          <w:rFonts w:ascii="Arial" w:cs="Arial" w:eastAsia="Arial" w:hAnsi="Arial"/>
          <w:sz w:val="18"/>
          <w:szCs w:val="18"/>
          <w:color w:val="auto"/>
        </w:rPr>
        <w:t>Barostim’s IPG and stimulation lead are implanted during a</w:t>
      </w:r>
      <w:r>
        <w:rPr>
          <w:rFonts w:ascii="Arial" w:cs="Arial" w:eastAsia="Arial" w:hAnsi="Arial"/>
          <w:sz w:val="18"/>
          <w:szCs w:val="18"/>
          <w:b w:val="1"/>
          <w:bCs w:val="1"/>
          <w:color w:val="auto"/>
        </w:rPr>
        <w:t xml:space="preserve"> </w:t>
      </w:r>
      <w:r>
        <w:rPr>
          <w:rFonts w:ascii="Arial" w:cs="Arial" w:eastAsia="Arial" w:hAnsi="Arial"/>
          <w:sz w:val="18"/>
          <w:szCs w:val="18"/>
          <w:color w:val="auto"/>
        </w:rPr>
        <w:t>minimally invasive implant procedure typically performed in an outpatient setting that lasts approximately one hour and involves two small skin incisions. Our device does not require hardware to be implanted in the heart or vasculature, which is the case with most other device-based treatments indicated for different HFrEF patient populations. Patients typically recover quickly and are discharged from the hospital within 24 hours of the procedure. In addition, we are currently enrolling a clinical trial for a new implant toolkit called BATwire, which enables an ultrasound-guided procedure to implant Barostim and the use of local anesthetics. As a result of this simplified implantation process, we believe more physicians, including EPs, would be confident and comfortable implanting Barostim, thereby expanding our addressable patient population to include those who are deemed clinically unfit for the current procedure.</w:t>
      </w:r>
    </w:p>
    <w:p>
      <w:pPr>
        <w:spacing w:after="0" w:line="179" w:lineRule="exact"/>
        <w:rPr>
          <w:rFonts w:ascii="Arial" w:cs="Arial" w:eastAsia="Arial" w:hAnsi="Arial"/>
          <w:sz w:val="18"/>
          <w:szCs w:val="18"/>
          <w:color w:val="231F20"/>
        </w:rPr>
      </w:pPr>
    </w:p>
    <w:p>
      <w:pPr>
        <w:ind w:left="180" w:right="79" w:hanging="130"/>
        <w:spacing w:after="0" w:line="271" w:lineRule="auto"/>
        <w:tabs>
          <w:tab w:leader="none" w:pos="180" w:val="left"/>
        </w:tabs>
        <w:numPr>
          <w:ilvl w:val="0"/>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Potential reduction in total healthcare costs for HFrEF patients. </w:t>
      </w:r>
      <w:r>
        <w:rPr>
          <w:rFonts w:ascii="Arial" w:cs="Arial" w:eastAsia="Arial" w:hAnsi="Arial"/>
          <w:sz w:val="18"/>
          <w:szCs w:val="18"/>
          <w:color w:val="auto"/>
        </w:rPr>
        <w:t>In addition to providing improved physical</w:t>
      </w:r>
      <w:r>
        <w:rPr>
          <w:rFonts w:ascii="Arial" w:cs="Arial" w:eastAsia="Arial" w:hAnsi="Arial"/>
          <w:sz w:val="18"/>
          <w:szCs w:val="18"/>
          <w:b w:val="1"/>
          <w:bCs w:val="1"/>
          <w:color w:val="auto"/>
        </w:rPr>
        <w:t xml:space="preserve"> </w:t>
      </w:r>
      <w:r>
        <w:rPr>
          <w:rFonts w:ascii="Arial" w:cs="Arial" w:eastAsia="Arial" w:hAnsi="Arial"/>
          <w:sz w:val="18"/>
          <w:szCs w:val="18"/>
          <w:color w:val="auto"/>
        </w:rPr>
        <w:t>and health-related benefits and quality of life for patients, we estimate Barostim has the potential to</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right="199"/>
        <w:spacing w:after="0" w:line="238" w:lineRule="auto"/>
        <w:rPr>
          <w:sz w:val="20"/>
          <w:szCs w:val="20"/>
          <w:color w:val="auto"/>
        </w:rPr>
      </w:pPr>
      <w:r>
        <w:rPr>
          <w:rFonts w:ascii="Arial" w:cs="Arial" w:eastAsia="Arial" w:hAnsi="Arial"/>
          <w:sz w:val="18"/>
          <w:szCs w:val="18"/>
          <w:color w:val="auto"/>
        </w:rPr>
        <w:t xml:space="preserve">result in cost savings to healthcare systems. A Company-sponsored and co-authored cost-impact analysis, which was published in </w:t>
      </w:r>
      <w:r>
        <w:rPr>
          <w:rFonts w:ascii="Arial" w:cs="Arial" w:eastAsia="Arial" w:hAnsi="Arial"/>
          <w:sz w:val="18"/>
          <w:szCs w:val="18"/>
          <w:i w:val="1"/>
          <w:iCs w:val="1"/>
          <w:color w:val="auto"/>
        </w:rPr>
        <w:t>BMC Cardiovascular Disorders</w:t>
      </w:r>
      <w:r>
        <w:rPr>
          <w:rFonts w:ascii="Arial" w:cs="Arial" w:eastAsia="Arial" w:hAnsi="Arial"/>
          <w:sz w:val="18"/>
          <w:szCs w:val="18"/>
          <w:color w:val="auto"/>
        </w:rPr>
        <w:t>, a peer-reviewed manuscript, predicted BAT plus GDMT would become the lower-cost alternative treatment within three years from implantation, as compared to GDMT alone, resulting in significant cost savings to healthcare systems.</w:t>
      </w:r>
    </w:p>
    <w:p>
      <w:pPr>
        <w:spacing w:after="0" w:line="183" w:lineRule="exact"/>
        <w:rPr>
          <w:sz w:val="20"/>
          <w:szCs w:val="20"/>
          <w:color w:val="auto"/>
        </w:rPr>
      </w:pPr>
    </w:p>
    <w:p>
      <w:pPr>
        <w:ind w:left="180" w:right="299" w:hanging="130"/>
        <w:spacing w:after="0" w:line="247" w:lineRule="auto"/>
        <w:tabs>
          <w:tab w:leader="none" w:pos="180" w:val="left"/>
        </w:tabs>
        <w:numPr>
          <w:ilvl w:val="0"/>
          <w:numId w:val="12"/>
        </w:numPr>
        <w:rPr>
          <w:rFonts w:ascii="Arial" w:cs="Arial" w:eastAsia="Arial" w:hAnsi="Arial"/>
          <w:sz w:val="18"/>
          <w:szCs w:val="18"/>
          <w:color w:val="231F20"/>
        </w:rPr>
      </w:pPr>
      <w:r>
        <w:rPr>
          <w:rFonts w:ascii="Arial" w:cs="Arial" w:eastAsia="Arial" w:hAnsi="Arial"/>
          <w:sz w:val="18"/>
          <w:szCs w:val="18"/>
          <w:b w:val="1"/>
          <w:bCs w:val="1"/>
          <w:color w:val="auto"/>
        </w:rPr>
        <w:t xml:space="preserve">Inherent patient compliance and durability. </w:t>
      </w:r>
      <w:r>
        <w:rPr>
          <w:rFonts w:ascii="Arial" w:cs="Arial" w:eastAsia="Arial" w:hAnsi="Arial"/>
          <w:sz w:val="18"/>
          <w:szCs w:val="18"/>
          <w:color w:val="auto"/>
        </w:rPr>
        <w:t>Barostim ensures patient compliance, unlike most</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available drug treatments, as it requires no device interaction by the patient. Our device has a battery that does not require recharging, has an average service life of five years and is replaced through a short outpatient procedure.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Clinical results and studies</w:t>
      </w:r>
    </w:p>
    <w:p>
      <w:pPr>
        <w:spacing w:after="0" w:line="234" w:lineRule="exact"/>
        <w:rPr>
          <w:sz w:val="20"/>
          <w:szCs w:val="20"/>
          <w:color w:val="auto"/>
        </w:rPr>
      </w:pPr>
    </w:p>
    <w:p>
      <w:pPr>
        <w:ind w:left="60" w:right="479"/>
        <w:spacing w:after="0" w:line="251" w:lineRule="auto"/>
        <w:rPr>
          <w:sz w:val="20"/>
          <w:szCs w:val="20"/>
          <w:color w:val="auto"/>
        </w:rPr>
      </w:pPr>
      <w:r>
        <w:rPr>
          <w:rFonts w:ascii="Arial" w:cs="Arial" w:eastAsia="Arial" w:hAnsi="Arial"/>
          <w:sz w:val="17"/>
          <w:szCs w:val="17"/>
          <w:color w:val="auto"/>
        </w:rPr>
        <w:t>The safety and effectiveness of Barostim in HFrEF is supported by compelling data, which demonstrated similarly robust and reproducible results across our three clinical trials evaluating 624 patients in aggregate across the U.S., Germany, Italy, France, Canada and the United Kingdom. We designed our BeAT-HF (Phase III) pivotal trial in collaboration with the FDA under the Breakthrough Devices Program, which was implemented to accelerate the approval of novel therapies targeting unmet needs for debilitating or life-threatening conditions. Our BeAT-HF pivotal trial met the primary safety and effectiveness endpoints and demonstrated meaningful improvement in the quality of life, both physically and emotionally, for patients suffering from HFrEF. These results led to the FDA approval of Barostim in August 2019 on an accelerated basis of only four months from the submission of the final clinical trial report.</w:t>
      </w:r>
    </w:p>
    <w:p>
      <w:pPr>
        <w:spacing w:after="0" w:line="185"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Barostim is indicated for the improvement of symptoms of HFrEF — quality of life, 6MHW and functional status — for patients who remain symptomatic despite treatment with GDMT, are NYHA Class III or Class II (with a recent history of Class III), have a LVEF ≤ 35%, a NT-proBNP &lt; 1,600 pg/ml and excluding patients indicated for CRT according to AHA/ACC/ESC guidelines.</w:t>
      </w:r>
    </w:p>
    <w:p>
      <w:pPr>
        <w:spacing w:after="0" w:line="19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safety and effectiveness of Barostim Therapy have been published in more than 60 peer-reviewed publications, approximately 20 of which relate to the treatment of HF, including, among others, the publication of the pivotal trial results in the Journal of the American College of Cardiology. The table below summarizes the clinical measurements, results and outcomes from our HF trials, including improvements in HF symptoms, patient-reported quality of life measures and our therapy’s favorable safety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120650</wp:posOffset>
            </wp:positionV>
            <wp:extent cx="5126355" cy="23660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2635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right="299"/>
        <w:spacing w:after="0" w:line="274" w:lineRule="auto"/>
        <w:rPr>
          <w:sz w:val="20"/>
          <w:szCs w:val="20"/>
          <w:color w:val="auto"/>
        </w:rPr>
      </w:pPr>
      <w:r>
        <w:rPr>
          <w:rFonts w:ascii="Arial" w:cs="Arial" w:eastAsia="Arial" w:hAnsi="Arial"/>
          <w:sz w:val="17"/>
          <w:szCs w:val="17"/>
          <w:color w:val="auto"/>
        </w:rPr>
        <w:t>We have established a U.S. patient registry to evaluate and assess real world patient outcomes from patients who have been implanted with Barostim. Investment in clinical evidence continues to be one of our core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659"/>
        <w:spacing w:after="0" w:line="246" w:lineRule="auto"/>
        <w:rPr>
          <w:sz w:val="20"/>
          <w:szCs w:val="20"/>
          <w:color w:val="auto"/>
        </w:rPr>
      </w:pPr>
      <w:r>
        <w:rPr>
          <w:rFonts w:ascii="Arial" w:cs="Arial" w:eastAsia="Arial" w:hAnsi="Arial"/>
          <w:sz w:val="18"/>
          <w:szCs w:val="18"/>
          <w:color w:val="auto"/>
        </w:rPr>
        <w:t>strategies, and we intend to continue to develop and expand upon a significant body of published clinical evidence that supports the safety and effectiveness of Barostim Therapy.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Pivotal Phase III Study: BeAT-HF</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w:t>
      </w:r>
    </w:p>
    <w:p>
      <w:pPr>
        <w:spacing w:after="0" w:line="21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BeAT-HF is a multi-center, prospective, randomized, controlled trial that began in April 2016 to develop scientific evidence for the safety and effectiveness of BAT with Barostim. Between May 2016 and July 2020, 467 adult patients were randomized at 72 sites within the U.S. and one site in the United Kingdom.</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BeAT-HF study was designed to encompass two stages in an integrated and seamless approach:</w:t>
      </w:r>
    </w:p>
    <w:p>
      <w:pPr>
        <w:spacing w:after="0" w:line="198" w:lineRule="exact"/>
        <w:rPr>
          <w:sz w:val="20"/>
          <w:szCs w:val="20"/>
          <w:color w:val="auto"/>
        </w:rPr>
      </w:pPr>
    </w:p>
    <w:p>
      <w:pPr>
        <w:ind w:left="60" w:right="139" w:hanging="10"/>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pre-market stage that examined three primary effectiveness endpoints (quality of life, 6MHW and NT-proBNP), as well as one safety endpoint that included the major adverse neurological or cardiovascular system or procedure-related event rate (“MANCE”).</w:t>
      </w:r>
    </w:p>
    <w:p>
      <w:pPr>
        <w:spacing w:after="0" w:line="189" w:lineRule="exact"/>
        <w:rPr>
          <w:rFonts w:ascii="Arial" w:cs="Arial" w:eastAsia="Arial" w:hAnsi="Arial"/>
          <w:sz w:val="18"/>
          <w:szCs w:val="18"/>
          <w:color w:val="auto"/>
        </w:rPr>
      </w:pPr>
    </w:p>
    <w:p>
      <w:pPr>
        <w:ind w:left="60" w:right="659" w:hanging="10"/>
        <w:spacing w:after="0" w:line="246"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post-market stage to examine the effects of BAT on rates of HF hospitalization and cardiovascular mortality and potentially expand the indication for Barostim.</w:t>
      </w:r>
    </w:p>
    <w:p>
      <w:pPr>
        <w:spacing w:after="0" w:line="183"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Patients were eligible for the trial if they were NYHA Class III or Class II (with a recent history of Class III); had an LVEF ≤ 35% and NT-proBNP &lt; 1,600 pg/ml; were able to complete a 6MHW distance of 150 to 400 meters; were on stable optimal GDMT for ≥ 4 weeks; had at least one carotid artery that was below the level of the mandible with no ulcerative carotid arterial plaques or stenosis ≥ 50%; and were an acceptable surgical candidate.</w:t>
      </w:r>
    </w:p>
    <w:p>
      <w:pPr>
        <w:spacing w:after="0" w:line="189"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Patients who had AHA/ACC/ESC Class I indication for a CRT were excluded, and there were no restrictions for atrial fibrillation or atrial flutter.</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Trial results</w:t>
      </w:r>
    </w:p>
    <w:p>
      <w:pPr>
        <w:spacing w:after="0" w:line="216"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The safety and effectiveness data in the BeAT-HF pivotal trial support the HFrEF clinical benefits of Barostim. These results demonstrated that BAT is safe in patients with HFrEF and significantly improves the patient-centered symptomatic endpoints of the quality-of-life score, 6MHW and functional status, as well as the confirmatory nature of the evidence provided by a reduction of NT-proBNP.</w:t>
      </w:r>
    </w:p>
    <w:p>
      <w:pPr>
        <w:spacing w:after="0" w:line="169" w:lineRule="exact"/>
        <w:rPr>
          <w:sz w:val="20"/>
          <w:szCs w:val="20"/>
          <w:color w:val="auto"/>
        </w:rPr>
      </w:pPr>
    </w:p>
    <w:p>
      <w:pPr>
        <w:ind w:left="180" w:hanging="130"/>
        <w:spacing w:after="0"/>
        <w:tabs>
          <w:tab w:leader="none" w:pos="180" w:val="left"/>
        </w:tabs>
        <w:numPr>
          <w:ilvl w:val="0"/>
          <w:numId w:val="14"/>
        </w:numPr>
        <w:rPr>
          <w:rFonts w:ascii="Arial" w:cs="Arial" w:eastAsia="Arial" w:hAnsi="Arial"/>
          <w:sz w:val="18"/>
          <w:szCs w:val="18"/>
          <w:color w:val="231F20"/>
        </w:rPr>
      </w:pPr>
      <w:r>
        <w:rPr>
          <w:rFonts w:ascii="Arial" w:cs="Arial" w:eastAsia="Arial" w:hAnsi="Arial"/>
          <w:sz w:val="18"/>
          <w:szCs w:val="18"/>
          <w:b w:val="1"/>
          <w:bCs w:val="1"/>
          <w:color w:val="auto"/>
        </w:rPr>
        <w:t xml:space="preserve">Quality of life (measured by MLWHF): </w:t>
      </w:r>
      <w:r>
        <w:rPr>
          <w:rFonts w:ascii="Arial" w:cs="Arial" w:eastAsia="Arial" w:hAnsi="Arial"/>
          <w:sz w:val="18"/>
          <w:szCs w:val="18"/>
          <w:color w:val="auto"/>
        </w:rPr>
        <w:t>BAT resulted in a 14-point reduction (improvement) in quality of life</w:t>
      </w:r>
    </w:p>
    <w:p>
      <w:pPr>
        <w:spacing w:after="0" w:line="17" w:lineRule="exact"/>
        <w:rPr>
          <w:rFonts w:ascii="Arial" w:cs="Arial" w:eastAsia="Arial" w:hAnsi="Arial"/>
          <w:sz w:val="18"/>
          <w:szCs w:val="18"/>
          <w:color w:val="231F20"/>
        </w:rPr>
      </w:pPr>
    </w:p>
    <w:p>
      <w:pPr>
        <w:ind w:left="180" w:right="79"/>
        <w:spacing w:after="0" w:line="238" w:lineRule="auto"/>
        <w:rPr>
          <w:rFonts w:ascii="Arial" w:cs="Arial" w:eastAsia="Arial" w:hAnsi="Arial"/>
          <w:sz w:val="18"/>
          <w:szCs w:val="18"/>
          <w:color w:val="231F20"/>
        </w:rPr>
      </w:pPr>
      <w:r>
        <w:rPr>
          <w:rFonts w:ascii="Arial" w:cs="Arial" w:eastAsia="Arial" w:hAnsi="Arial"/>
          <w:sz w:val="18"/>
          <w:szCs w:val="18"/>
          <w:color w:val="auto"/>
        </w:rPr>
        <w:t>for patients in the BAT+ group relative to patients in the Control group (p &lt; 0.001; 95% CI: -19 to -9). MLWHF is a self-administered disease-specific questionnaire for HF, which is comprised of 21 questions rated on six-point Likert scales, representing different degrees of impact of HF on a patient’s quality of life, and is approved by the FDA as a Medical Device Development Tool. According to the medical community, a five-point reduction (improvement) is considered to be clinically meaningful.</w:t>
      </w:r>
    </w:p>
    <w:p>
      <w:pPr>
        <w:spacing w:after="0" w:line="180" w:lineRule="exact"/>
        <w:rPr>
          <w:rFonts w:ascii="Arial" w:cs="Arial" w:eastAsia="Arial" w:hAnsi="Arial"/>
          <w:sz w:val="18"/>
          <w:szCs w:val="18"/>
          <w:color w:val="231F20"/>
        </w:rPr>
      </w:pPr>
    </w:p>
    <w:p>
      <w:pPr>
        <w:ind w:left="180" w:right="259" w:hanging="130"/>
        <w:spacing w:after="0" w:line="244" w:lineRule="auto"/>
        <w:tabs>
          <w:tab w:leader="none" w:pos="180" w:val="left"/>
        </w:tabs>
        <w:numPr>
          <w:ilvl w:val="0"/>
          <w:numId w:val="14"/>
        </w:numPr>
        <w:rPr>
          <w:rFonts w:ascii="Arial" w:cs="Arial" w:eastAsia="Arial" w:hAnsi="Arial"/>
          <w:sz w:val="18"/>
          <w:szCs w:val="18"/>
          <w:color w:val="231F20"/>
        </w:rPr>
      </w:pPr>
      <w:r>
        <w:rPr>
          <w:rFonts w:ascii="Arial" w:cs="Arial" w:eastAsia="Arial" w:hAnsi="Arial"/>
          <w:sz w:val="18"/>
          <w:szCs w:val="18"/>
          <w:b w:val="1"/>
          <w:bCs w:val="1"/>
          <w:color w:val="auto"/>
        </w:rPr>
        <w:t xml:space="preserve">Exercise capacity (measured by the standardized 6MHW distance test): </w:t>
      </w:r>
      <w:r>
        <w:rPr>
          <w:rFonts w:ascii="Arial" w:cs="Arial" w:eastAsia="Arial" w:hAnsi="Arial"/>
          <w:sz w:val="18"/>
          <w:szCs w:val="18"/>
          <w:color w:val="auto"/>
        </w:rPr>
        <w:t>BAT resulted in a 60-meter</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the distance patients in the BAT+ group were able to walk on a flat, hard surface in a six-minute period relative to that of patients in the Control group (p &lt; 0.001; 95% CI: 40 to 80 meters). According to the medical community, the 6MHW is an index of a patient’s ability to perform daily activities; an improvement of 25 meters or more is considered to be clinically meaningful to HFrEF patients.</w:t>
      </w:r>
    </w:p>
    <w:p>
      <w:pPr>
        <w:spacing w:after="0" w:line="176" w:lineRule="exact"/>
        <w:rPr>
          <w:rFonts w:ascii="Arial" w:cs="Arial" w:eastAsia="Arial" w:hAnsi="Arial"/>
          <w:sz w:val="18"/>
          <w:szCs w:val="18"/>
          <w:color w:val="231F20"/>
        </w:rPr>
      </w:pPr>
    </w:p>
    <w:p>
      <w:pPr>
        <w:ind w:left="180" w:hanging="130"/>
        <w:spacing w:after="0"/>
        <w:tabs>
          <w:tab w:leader="none" w:pos="180" w:val="left"/>
        </w:tabs>
        <w:numPr>
          <w:ilvl w:val="0"/>
          <w:numId w:val="14"/>
        </w:numPr>
        <w:rPr>
          <w:rFonts w:ascii="Arial" w:cs="Arial" w:eastAsia="Arial" w:hAnsi="Arial"/>
          <w:sz w:val="18"/>
          <w:szCs w:val="18"/>
          <w:color w:val="231F20"/>
        </w:rPr>
      </w:pPr>
      <w:r>
        <w:rPr>
          <w:rFonts w:ascii="Arial" w:cs="Arial" w:eastAsia="Arial" w:hAnsi="Arial"/>
          <w:sz w:val="18"/>
          <w:szCs w:val="18"/>
          <w:b w:val="1"/>
          <w:bCs w:val="1"/>
          <w:color w:val="auto"/>
        </w:rPr>
        <w:t xml:space="preserve">Functional status (determined by NYHA classification): </w:t>
      </w:r>
      <w:r>
        <w:rPr>
          <w:rFonts w:ascii="Arial" w:cs="Arial" w:eastAsia="Arial" w:hAnsi="Arial"/>
          <w:sz w:val="18"/>
          <w:szCs w:val="18"/>
          <w:color w:val="auto"/>
        </w:rPr>
        <w:t>BAT demonstrated that 65% of patients in the</w:t>
      </w:r>
    </w:p>
    <w:p>
      <w:pPr>
        <w:spacing w:after="0" w:line="17" w:lineRule="exact"/>
        <w:rPr>
          <w:rFonts w:ascii="Arial" w:cs="Arial" w:eastAsia="Arial" w:hAnsi="Arial"/>
          <w:sz w:val="18"/>
          <w:szCs w:val="18"/>
          <w:color w:val="231F20"/>
        </w:rPr>
      </w:pPr>
    </w:p>
    <w:p>
      <w:pPr>
        <w:ind w:left="180" w:right="139"/>
        <w:spacing w:after="0"/>
        <w:rPr>
          <w:rFonts w:ascii="Arial" w:cs="Arial" w:eastAsia="Arial" w:hAnsi="Arial"/>
          <w:sz w:val="18"/>
          <w:szCs w:val="18"/>
          <w:color w:val="231F20"/>
        </w:rPr>
      </w:pPr>
      <w:r>
        <w:rPr>
          <w:rFonts w:ascii="Arial" w:cs="Arial" w:eastAsia="Arial" w:hAnsi="Arial"/>
          <w:sz w:val="18"/>
          <w:szCs w:val="18"/>
          <w:color w:val="auto"/>
        </w:rPr>
        <w:t>BAT+ group improved at least one NYHA class (p &lt; 0.001; 95% CI: 22% to 46%) as compared to only 31% in the Control group, and 13% of patients in the BAT+ group improved two NYHA classes as compared to only 2% in the Control group.</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right="119" w:hanging="130"/>
        <w:spacing w:after="0" w:line="244" w:lineRule="auto"/>
        <w:tabs>
          <w:tab w:leader="none" w:pos="180" w:val="left"/>
        </w:tabs>
        <w:numPr>
          <w:ilvl w:val="0"/>
          <w:numId w:val="15"/>
        </w:numPr>
        <w:rPr>
          <w:rFonts w:ascii="Arial" w:cs="Arial" w:eastAsia="Arial" w:hAnsi="Arial"/>
          <w:sz w:val="18"/>
          <w:szCs w:val="18"/>
          <w:color w:val="231F20"/>
        </w:rPr>
      </w:pPr>
      <w:r>
        <w:rPr>
          <w:rFonts w:ascii="Arial" w:cs="Arial" w:eastAsia="Arial" w:hAnsi="Arial"/>
          <w:sz w:val="18"/>
          <w:szCs w:val="18"/>
          <w:b w:val="1"/>
          <w:bCs w:val="1"/>
          <w:color w:val="auto"/>
        </w:rPr>
        <w:t xml:space="preserve">NT-proBNP (serum biomarker used as indicator of severity of HF): </w:t>
      </w:r>
      <w:r>
        <w:rPr>
          <w:rFonts w:ascii="Arial" w:cs="Arial" w:eastAsia="Arial" w:hAnsi="Arial"/>
          <w:sz w:val="18"/>
          <w:szCs w:val="18"/>
          <w:color w:val="auto"/>
        </w:rPr>
        <w:t>BAT resulted in a 25%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 (improvement) in NT-proBNP for patients in the BAT+ group relative to that of patients in the Control group (p=0.004; 95% CI = -38% to -9%). According to independent research that took place in a large multicenter pharmaceutical clinical trial, a 10% change in NT-proBNP is associated with a change in the subsequent risk of cardiovascular mortality and HF hospitalization.</w:t>
      </w:r>
    </w:p>
    <w:p>
      <w:pPr>
        <w:spacing w:after="0" w:line="198"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The MANCE-free rate exceeded the performance criteria of 85%, with 121 out of 125 implanted patients being event free, resulting in an event-free rate of 97% (p &lt; 0.001; 95% 1-sided CI: 93% to 100%).</w:t>
      </w:r>
    </w:p>
    <w:p>
      <w:pPr>
        <w:spacing w:after="0" w:line="183" w:lineRule="exact"/>
        <w:rPr>
          <w:sz w:val="20"/>
          <w:szCs w:val="20"/>
          <w:color w:val="auto"/>
        </w:rPr>
      </w:pPr>
    </w:p>
    <w:p>
      <w:pPr>
        <w:ind w:left="60" w:right="379"/>
        <w:spacing w:after="0" w:line="261" w:lineRule="auto"/>
        <w:rPr>
          <w:sz w:val="20"/>
          <w:szCs w:val="20"/>
          <w:color w:val="auto"/>
        </w:rPr>
      </w:pPr>
      <w:r>
        <w:rPr>
          <w:rFonts w:ascii="Arial" w:cs="Arial" w:eastAsia="Arial" w:hAnsi="Arial"/>
          <w:sz w:val="17"/>
          <w:szCs w:val="17"/>
          <w:color w:val="auto"/>
        </w:rPr>
        <w:t>In addition to the results noted above, we observed a reduction in the rate of cardiovascular serious adverse events (non-HF related events) by 51% (events per patient-year; 0.101 BAT+ vs 0.206 Control; nominal p= 0.023; 95% CI: 0.10 to 0.73) and there were no significant differences in blood pressure or heart rate.</w:t>
      </w:r>
    </w:p>
    <w:p>
      <w:pPr>
        <w:spacing w:after="0" w:line="172" w:lineRule="exact"/>
        <w:rPr>
          <w:sz w:val="20"/>
          <w:szCs w:val="20"/>
          <w:color w:val="auto"/>
        </w:rPr>
      </w:pPr>
    </w:p>
    <w:p>
      <w:pPr>
        <w:ind w:left="60" w:right="59"/>
        <w:spacing w:after="0" w:line="215" w:lineRule="auto"/>
        <w:rPr>
          <w:sz w:val="20"/>
          <w:szCs w:val="20"/>
          <w:color w:val="auto"/>
        </w:rPr>
      </w:pPr>
      <w:r>
        <w:rPr>
          <w:rFonts w:ascii="Arial" w:cs="Arial" w:eastAsia="Arial" w:hAnsi="Arial"/>
          <w:sz w:val="18"/>
          <w:szCs w:val="18"/>
          <w:color w:val="auto"/>
        </w:rPr>
        <w:t>The BeAT-HF pivotal trial continued enrolling patients in the post-market stage of the trial in order to determine if Barostim demonstrates a statistically significant improvement in morbidity and mortality in patients with HFrEF. We recently reached the required 320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event of the BeAT-HF clinical trial, and we expect to be able to unblind and announce data from this trial in the first quarter of 2023.</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Phase II Study: HOPE4HF</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HOPE4HF was a multinational, prospective, randomized, controlled trial that began in May 2012 to demonstrate the safety and performance of BAT with Barostim. A total of 146 patients (72 in the U.S. and 74 in Germany, Italy, France and Canada) at 45 centers were randomized 1:1 with 76 patients in the BAT+ group and 70 patients in the Control group.</w:t>
      </w:r>
    </w:p>
    <w:p>
      <w:pPr>
        <w:spacing w:after="0" w:line="191" w:lineRule="exact"/>
        <w:rPr>
          <w:sz w:val="20"/>
          <w:szCs w:val="20"/>
          <w:color w:val="auto"/>
        </w:rPr>
      </w:pPr>
    </w:p>
    <w:p>
      <w:pPr>
        <w:ind w:left="60" w:right="239"/>
        <w:spacing w:after="0" w:line="257" w:lineRule="auto"/>
        <w:rPr>
          <w:sz w:val="20"/>
          <w:szCs w:val="20"/>
          <w:color w:val="auto"/>
        </w:rPr>
      </w:pPr>
      <w:r>
        <w:rPr>
          <w:rFonts w:ascii="Arial" w:cs="Arial" w:eastAsia="Arial" w:hAnsi="Arial"/>
          <w:sz w:val="17"/>
          <w:szCs w:val="17"/>
          <w:color w:val="auto"/>
        </w:rPr>
        <w:t>Patients were eligible for the study based on symptoms, historical treatment plan and anatomical criteria, including if they were NYHA Class III, received GDMT for their HF, had a LVEF ≤ 35% and were considered a suitable surgical candidate, among others. Patients were excluded from the study if they had recently experienced NYHA Class IV, recently received an ICD or CRT, or had known baroreflex failure, among others.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Results</w:t>
      </w:r>
    </w:p>
    <w:p>
      <w:pPr>
        <w:spacing w:after="0" w:line="216"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The overall MANCE-free rate was 97% (lower 95% CI bound 91%). Patients assigned to BAT+ group, compared with Control group patients, experienced improvements in MLWHF quality of life score (–17 ± 2.8 points BAT+ vs. 2.1 ± 3.1 points Control; p &lt; 0.001), 6MHW distance (60 ± 14 meters BAT+ vs. 1.5 ± 13 meters Control; p=0.004) and NT-pro BNP (-69 pg/ml BAT+ vs. 130 pg/ml Control; p =0.02). BAT+ patients also experienced at least a one-class improvement in NYHA class when compared to the Control group (55% BAT+ vs 24% Control; p=0.002) and showed a trend toward fewer days hospitalized for HF (p=0.08) as compared to the Control group.</w:t>
      </w:r>
    </w:p>
    <w:p>
      <w:pPr>
        <w:spacing w:after="0" w:line="189" w:lineRule="exact"/>
        <w:rPr>
          <w:sz w:val="20"/>
          <w:szCs w:val="20"/>
          <w:color w:val="auto"/>
        </w:rPr>
      </w:pPr>
    </w:p>
    <w:p>
      <w:pPr>
        <w:ind w:left="60" w:right="379"/>
        <w:spacing w:after="0" w:line="238" w:lineRule="auto"/>
        <w:rPr>
          <w:sz w:val="20"/>
          <w:szCs w:val="20"/>
          <w:color w:val="auto"/>
        </w:rPr>
      </w:pPr>
      <w:r>
        <w:rPr>
          <w:rFonts w:ascii="Arial" w:cs="Arial" w:eastAsia="Arial" w:hAnsi="Arial"/>
          <w:sz w:val="18"/>
          <w:szCs w:val="18"/>
          <w:color w:val="auto"/>
        </w:rPr>
        <w:t xml:space="preserve">Positive safety and performance results from the 146-patient combined, randomized, controlled clinical trials were presented in the late breaking clinical trial session of the American College of Cardiology and the European Society of Cardiology HF conference in 2015. The favorable data from this trial were published in the </w:t>
      </w:r>
      <w:r>
        <w:rPr>
          <w:rFonts w:ascii="Arial" w:cs="Arial" w:eastAsia="Arial" w:hAnsi="Arial"/>
          <w:sz w:val="18"/>
          <w:szCs w:val="18"/>
          <w:i w:val="1"/>
          <w:iCs w:val="1"/>
          <w:color w:val="auto"/>
        </w:rPr>
        <w:t>Journal of the American College of Cardiology — Heart Failure</w:t>
      </w:r>
      <w:r>
        <w:rPr>
          <w:rFonts w:ascii="Arial" w:cs="Arial" w:eastAsia="Arial" w:hAnsi="Arial"/>
          <w:sz w:val="18"/>
          <w:szCs w:val="18"/>
          <w:color w:val="auto"/>
        </w:rPr>
        <w:t xml:space="preserve"> in 2015</w:t>
      </w:r>
      <w:r>
        <w:rPr>
          <w:rFonts w:ascii="Arial" w:cs="Arial" w:eastAsia="Arial" w:hAnsi="Arial"/>
          <w:sz w:val="18"/>
          <w:szCs w:val="18"/>
          <w:i w:val="1"/>
          <w:iCs w:val="1"/>
          <w:color w:val="auto"/>
        </w:rPr>
        <w:t>.</w:t>
      </w:r>
      <w:r>
        <w:rPr>
          <w:rFonts w:ascii="Arial" w:cs="Arial" w:eastAsia="Arial" w:hAnsi="Arial"/>
          <w:sz w:val="18"/>
          <w:szCs w:val="18"/>
          <w:color w:val="auto"/>
        </w:rPr>
        <w:t xml:space="preserve"> These results led to CE Mark approval.</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Phase I Study: BAT in HF</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BAT in HF was our first-in-human study of Barostim Therapy for the treatment of HF that was published in 2014. This study was a single-center, open-label evaluation, designed to evaluate the safety and performance of Barostim Therapy in patients with NYHA Class III receiving optimized medical therapy for their HF and had an LVEF ≤ 40%. Patients who had been implanted with a CRT device were excluded from this trial until six months after activation. Eleven patients met the eligibility criteria and received Barostim.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39"/>
        <w:spacing w:after="0" w:line="274" w:lineRule="auto"/>
        <w:rPr>
          <w:sz w:val="20"/>
          <w:szCs w:val="20"/>
          <w:color w:val="auto"/>
        </w:rPr>
      </w:pPr>
      <w:r>
        <w:rPr>
          <w:rFonts w:ascii="Arial" w:cs="Arial" w:eastAsia="Arial" w:hAnsi="Arial"/>
          <w:sz w:val="17"/>
          <w:szCs w:val="17"/>
          <w:color w:val="auto"/>
        </w:rPr>
        <w:t>After six months of Barostim Therapy, the mechanism of action was assessed with serial measurement of muscle sympathetic nerve activity (“MSNA”) and clinical measures of quality of life and functional capacity.</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Results</w:t>
      </w:r>
    </w:p>
    <w:p>
      <w:pPr>
        <w:spacing w:after="0" w:line="216" w:lineRule="exact"/>
        <w:rPr>
          <w:sz w:val="20"/>
          <w:szCs w:val="20"/>
          <w:color w:val="auto"/>
        </w:rPr>
      </w:pPr>
    </w:p>
    <w:p>
      <w:pPr>
        <w:ind w:left="60" w:right="39"/>
        <w:spacing w:after="0" w:line="238" w:lineRule="auto"/>
        <w:rPr>
          <w:sz w:val="20"/>
          <w:szCs w:val="20"/>
          <w:color w:val="auto"/>
        </w:rPr>
      </w:pPr>
      <w:r>
        <w:rPr>
          <w:rFonts w:ascii="Arial" w:cs="Arial" w:eastAsia="Arial" w:hAnsi="Arial"/>
          <w:sz w:val="18"/>
          <w:szCs w:val="18"/>
          <w:color w:val="auto"/>
        </w:rPr>
        <w:t>MSNA was reduced over six months from 45 ± 7.7 to 31 ± 8.3 bursts/minute and from 68 ± 13 to 45 ± 12 bursts/​ 100 heartbeats, decreases of 31% and 33%, respectively (p &lt; 0.01). Concomitant improvements occurred in baroreflex sensitivity, ejection fraction, NYHA class and quality of life as measured by the MLWHF and 6MHW distance (p ≤ 0.05 each). On an observational basis, hospitalization and emergency department visits for worsening HF were reduced.</w:t>
      </w:r>
    </w:p>
    <w:p>
      <w:pPr>
        <w:spacing w:after="0" w:line="189" w:lineRule="exact"/>
        <w:rPr>
          <w:sz w:val="20"/>
          <w:szCs w:val="20"/>
          <w:color w:val="auto"/>
        </w:rPr>
      </w:pPr>
    </w:p>
    <w:p>
      <w:pPr>
        <w:ind w:left="60" w:right="59"/>
        <w:spacing w:after="0" w:line="255" w:lineRule="auto"/>
        <w:rPr>
          <w:sz w:val="20"/>
          <w:szCs w:val="20"/>
          <w:color w:val="auto"/>
        </w:rPr>
      </w:pPr>
      <w:r>
        <w:rPr>
          <w:rFonts w:ascii="Arial" w:cs="Arial" w:eastAsia="Arial" w:hAnsi="Arial"/>
          <w:sz w:val="17"/>
          <w:szCs w:val="17"/>
          <w:color w:val="auto"/>
        </w:rPr>
        <w:t>This study provided the first evidence that chronic stimulation of carotid baroreceptors markedly and persistently reduced the sympathetic activation characterizing HF patients. It also demonstrated that the reduction is accompanied by the improvement of a major modulator of sympathetic activity, the arterial baroreflex and baroreflex activation is accompanied by favorable therapeutic impact on cardiac function and clinical profile, as shown in the improved quality of life, increased exercise tolerance and improved functional status.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clinical trials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BATwire implant toolkit</w:t>
      </w:r>
    </w:p>
    <w:p>
      <w:pPr>
        <w:spacing w:after="0" w:line="216"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auto"/>
        </w:rPr>
        <w:t>In the second half of 2020, the FDA approved a two-stage pivotal trial design to assess the safety and effectiveness of the BATwire implant toolkit. This trial is expected to enroll up to 400 subjects and follow up to 100 implanted subjects for one year. If the trial data meets the safety and effectiveness endpoints, we will submit an application for a PMA-supplement approval by FDA.</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Hypertension</w:t>
      </w:r>
    </w:p>
    <w:p>
      <w:pPr>
        <w:spacing w:after="0" w:line="216" w:lineRule="exact"/>
        <w:rPr>
          <w:sz w:val="20"/>
          <w:szCs w:val="20"/>
          <w:color w:val="auto"/>
        </w:rPr>
      </w:pPr>
    </w:p>
    <w:p>
      <w:pPr>
        <w:ind w:left="60" w:right="239"/>
        <w:spacing w:after="0" w:line="236" w:lineRule="auto"/>
        <w:rPr>
          <w:sz w:val="20"/>
          <w:szCs w:val="20"/>
          <w:color w:val="auto"/>
        </w:rPr>
      </w:pPr>
      <w:r>
        <w:rPr>
          <w:rFonts w:ascii="Arial" w:cs="Arial" w:eastAsia="Arial" w:hAnsi="Arial"/>
          <w:sz w:val="18"/>
          <w:szCs w:val="18"/>
          <w:color w:val="auto"/>
        </w:rPr>
        <w:t>We have completed two clinical trials in Europe and North America for the treatment of drug-resistant hypertension using our first-generation Barostim Therapy device called Rheos, and determined this study was successful in achieving three of the required five safety and effectiveness endpoints (“</w:t>
      </w:r>
      <w:r>
        <w:rPr>
          <w:rFonts w:ascii="Arial" w:cs="Arial" w:eastAsia="Arial" w:hAnsi="Arial"/>
          <w:sz w:val="18"/>
          <w:szCs w:val="18"/>
          <w:i w:val="1"/>
          <w:iCs w:val="1"/>
          <w:color w:val="auto"/>
        </w:rPr>
        <w:t>Baroreflex Activation</w:t>
      </w:r>
      <w:r>
        <w:rPr>
          <w:rFonts w:ascii="Arial" w:cs="Arial" w:eastAsia="Arial" w:hAnsi="Arial"/>
          <w:sz w:val="18"/>
          <w:szCs w:val="18"/>
          <w:color w:val="auto"/>
        </w:rPr>
        <w:t xml:space="preserve"> </w:t>
      </w:r>
      <w:r>
        <w:rPr>
          <w:rFonts w:ascii="Arial" w:cs="Arial" w:eastAsia="Arial" w:hAnsi="Arial"/>
          <w:sz w:val="18"/>
          <w:szCs w:val="18"/>
          <w:i w:val="1"/>
          <w:iCs w:val="1"/>
          <w:color w:val="auto"/>
        </w:rPr>
        <w:t>Therapy Lowers Blood Pressure in Patients with Resistant Hypertension: Results from the Double-Blind, Randomized, Placebo-Controlled Rheos Pivotal Trial</w:t>
      </w:r>
      <w:r>
        <w:rPr>
          <w:rFonts w:ascii="Arial" w:cs="Arial" w:eastAsia="Arial" w:hAnsi="Arial"/>
          <w:sz w:val="18"/>
          <w:szCs w:val="18"/>
          <w:color w:val="auto"/>
        </w:rPr>
        <w:t>,” by John D. Bisognano, M.D. et al that was published in</w:t>
      </w:r>
      <w:r>
        <w:rPr>
          <w:rFonts w:ascii="Arial" w:cs="Arial" w:eastAsia="Arial" w:hAnsi="Arial"/>
          <w:sz w:val="18"/>
          <w:szCs w:val="18"/>
          <w:i w:val="1"/>
          <w:iCs w:val="1"/>
          <w:color w:val="auto"/>
        </w:rPr>
        <w:t xml:space="preserve"> </w:t>
      </w:r>
      <w:r>
        <w:rPr>
          <w:rFonts w:ascii="Arial" w:cs="Arial" w:eastAsia="Arial" w:hAnsi="Arial"/>
          <w:sz w:val="18"/>
          <w:szCs w:val="18"/>
          <w:color w:val="auto"/>
        </w:rPr>
        <w:t>2011 in the Journal of the American College of Cardiology, volume 58, No. 7, 2011). In 2014 we submitted a request for a Humanitarian Device Exemption (“HDE”) to commercialize Barostim Legacy, our second generation IPG for the subjects that were enrolled in the Rheos Pivotal trial, who are benefitting clinically from Rheos (estimated at the time to be 70–80% of the subjects enrolled) and whose IPG battery had become depleted. In December 2014, after a favorable review of the long-term clinical data from the Rheos pivotal hypertension trial, the FDA granted the HDE to Barostim Legacy.</w:t>
      </w:r>
    </w:p>
    <w:p>
      <w:pPr>
        <w:spacing w:after="0" w:line="19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Since 2011, we have completed one clinical trial in Europe and North America for the treatment of drug-resistant hypertension using Barostim (“</w:t>
      </w:r>
      <w:r>
        <w:rPr>
          <w:rFonts w:ascii="Arial" w:cs="Arial" w:eastAsia="Arial" w:hAnsi="Arial"/>
          <w:sz w:val="18"/>
          <w:szCs w:val="18"/>
          <w:i w:val="1"/>
          <w:iCs w:val="1"/>
          <w:color w:val="auto"/>
        </w:rPr>
        <w:t>Minimally Invasive System for Baroreflex Activation Therapy Chronically</w:t>
      </w:r>
      <w:r>
        <w:rPr>
          <w:rFonts w:ascii="Arial" w:cs="Arial" w:eastAsia="Arial" w:hAnsi="Arial"/>
          <w:sz w:val="18"/>
          <w:szCs w:val="18"/>
          <w:color w:val="auto"/>
        </w:rPr>
        <w:t xml:space="preserve"> </w:t>
      </w:r>
      <w:r>
        <w:rPr>
          <w:rFonts w:ascii="Arial" w:cs="Arial" w:eastAsia="Arial" w:hAnsi="Arial"/>
          <w:sz w:val="18"/>
          <w:szCs w:val="18"/>
          <w:i w:val="1"/>
          <w:iCs w:val="1"/>
          <w:color w:val="auto"/>
        </w:rPr>
        <w:t>Lowers Blood Pressure with Pacemaker-like Safety Profile: Results from the Barostim Neo Trial</w:t>
      </w:r>
      <w:r>
        <w:rPr>
          <w:rFonts w:ascii="Arial" w:cs="Arial" w:eastAsia="Arial" w:hAnsi="Arial"/>
          <w:sz w:val="18"/>
          <w:szCs w:val="18"/>
          <w:color w:val="auto"/>
        </w:rPr>
        <w:t>,” by Uta C.</w:t>
      </w:r>
      <w:r>
        <w:rPr>
          <w:rFonts w:ascii="Arial" w:cs="Arial" w:eastAsia="Arial" w:hAnsi="Arial"/>
          <w:sz w:val="18"/>
          <w:szCs w:val="18"/>
          <w:i w:val="1"/>
          <w:iCs w:val="1"/>
          <w:color w:val="auto"/>
        </w:rPr>
        <w:t xml:space="preserve"> </w:t>
      </w:r>
      <w:r>
        <w:rPr>
          <w:rFonts w:ascii="Arial" w:cs="Arial" w:eastAsia="Arial" w:hAnsi="Arial"/>
          <w:sz w:val="18"/>
          <w:szCs w:val="18"/>
          <w:color w:val="auto"/>
        </w:rPr>
        <w:t>Hoppe, M.D. et al, in the Journal of the American Society of Hypertension, volume 5, no. 4, 2012).</w:t>
      </w:r>
    </w:p>
    <w:p>
      <w:pPr>
        <w:spacing w:after="0" w:line="191" w:lineRule="exact"/>
        <w:rPr>
          <w:sz w:val="20"/>
          <w:szCs w:val="20"/>
          <w:color w:val="auto"/>
        </w:rPr>
      </w:pPr>
    </w:p>
    <w:p>
      <w:pPr>
        <w:ind w:left="60" w:right="139"/>
        <w:spacing w:after="0" w:line="253" w:lineRule="auto"/>
        <w:rPr>
          <w:sz w:val="20"/>
          <w:szCs w:val="20"/>
          <w:color w:val="auto"/>
        </w:rPr>
      </w:pPr>
      <w:r>
        <w:rPr>
          <w:rFonts w:ascii="Arial" w:cs="Arial" w:eastAsia="Arial" w:hAnsi="Arial"/>
          <w:sz w:val="17"/>
          <w:szCs w:val="17"/>
          <w:color w:val="auto"/>
        </w:rPr>
        <w:t>In August 2011, we received CE Mark approval for Barostim for the treatment of resistant hypertension. In October 2012, we received FDA approval to conduct a pivotal trial for the treatment of resistant hypertension entitled “</w:t>
      </w:r>
      <w:r>
        <w:rPr>
          <w:rFonts w:ascii="Arial" w:cs="Arial" w:eastAsia="Arial" w:hAnsi="Arial"/>
          <w:sz w:val="17"/>
          <w:szCs w:val="17"/>
          <w:i w:val="1"/>
          <w:iCs w:val="1"/>
          <w:color w:val="auto"/>
        </w:rPr>
        <w:t>Barostim Hypertension Pivotal Study</w:t>
      </w:r>
      <w:r>
        <w:rPr>
          <w:rFonts w:ascii="Arial" w:cs="Arial" w:eastAsia="Arial" w:hAnsi="Arial"/>
          <w:sz w:val="17"/>
          <w:szCs w:val="17"/>
          <w:color w:val="auto"/>
        </w:rPr>
        <w:t>.” On April 12, 2013, the study had its first enrollment. However, a redirection of our limited available financial and personnel resources to develop Barostim Therapy in HFrEF led to putting the trial on hold. In December 2019, after review of the clinical data and the competitive landscape, FDA granted a Breakthrough Device designation for Barostim for the treatment of resistant hypertension.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HFpEF</w:t>
      </w:r>
    </w:p>
    <w:p>
      <w:pPr>
        <w:spacing w:after="0" w:line="216" w:lineRule="exact"/>
        <w:rPr>
          <w:sz w:val="20"/>
          <w:szCs w:val="20"/>
          <w:color w:val="auto"/>
        </w:rPr>
      </w:pPr>
    </w:p>
    <w:p>
      <w:pPr>
        <w:ind w:left="60" w:right="1099"/>
        <w:spacing w:after="0" w:line="246" w:lineRule="auto"/>
        <w:rPr>
          <w:sz w:val="20"/>
          <w:szCs w:val="20"/>
          <w:color w:val="auto"/>
        </w:rPr>
      </w:pPr>
      <w:r>
        <w:rPr>
          <w:rFonts w:ascii="Arial" w:cs="Arial" w:eastAsia="Arial" w:hAnsi="Arial"/>
          <w:sz w:val="18"/>
          <w:szCs w:val="18"/>
          <w:color w:val="auto"/>
        </w:rPr>
        <w:t>In March 2020, after review of early clinical data and the competitive landscape, the FDA granted a Breakthrough Device designation for Barostim for the treatment of HFpEF.</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34" w:lineRule="exact"/>
        <w:rPr>
          <w:sz w:val="20"/>
          <w:szCs w:val="20"/>
          <w:color w:val="auto"/>
        </w:rPr>
      </w:pPr>
    </w:p>
    <w:p>
      <w:pPr>
        <w:ind w:left="60" w:right="599"/>
        <w:spacing w:after="0" w:line="274" w:lineRule="auto"/>
        <w:rPr>
          <w:sz w:val="20"/>
          <w:szCs w:val="20"/>
          <w:color w:val="auto"/>
        </w:rPr>
      </w:pPr>
      <w:r>
        <w:rPr>
          <w:rFonts w:ascii="Arial" w:cs="Arial" w:eastAsia="Arial" w:hAnsi="Arial"/>
          <w:sz w:val="17"/>
          <w:szCs w:val="17"/>
          <w:color w:val="auto"/>
        </w:rPr>
        <w:t>We have established a systematic approach to market development which centers on active engagement across three key stakeholders in the HFrEF treatment paradigm—patients, physicians and hospitals.</w:t>
      </w:r>
    </w:p>
    <w:p>
      <w:pPr>
        <w:spacing w:after="0" w:line="161"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Barostim has FDA approval to improve symptoms of HFrEF in the U.S. and an Active Implantable Medical Device Directive (“AIMDD”) CE Mark for the treatment of HFrEF and resistant hypertension in Europe. The AIMDD CE Mark certificate expired in December 2022, as expected during the process of transitioning to the MDR. The MDR transition rules provide that product available in the market at the time of AIMDD CE Mark expiration can be sold through 2025. We have placed approximately one year’s worth of European product in the market to support sales through the end of 2023. If CVRx does not obtain MDR approval prior to exhausting our product currently in the European market, or the EEA does not grant further extensions under the MDR transition rules prior to CVRx obtaining MDR approval, then CVRx will not be able to continue to sell in Europe until MDR approval or another extension is granted. We market our therapy in the U.S. to hospitals and clinics where EPs, HF specialists, interventional and general cardiologists and vascular surgeons treat patients with HFrEF.</w:t>
      </w:r>
    </w:p>
    <w:p>
      <w:pPr>
        <w:spacing w:after="0" w:line="191"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primarily sell Barostim to hospitals through a direct sales organization in the U.S. and Germany, and through distributors in Austria, Spain, Italy, the Nordic region and other European countries. Our global sales and marketing team engages in sales efforts and promotional activities focused on EPs, HF specialists, interventional and general cardiologists and vascular surgeons. We are continuing to actively expand our direct sales force and commercial organization in the U.S.</w:t>
      </w:r>
    </w:p>
    <w:p>
      <w:pPr>
        <w:spacing w:after="0" w:line="189"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Our direct sales representatives, which we refer to as Account Managers, generally have substantial and applicable medical device experience, specifically in the cardiovascular space, and market our products directly to the approximately 2,500 EPs, 800 HF specialists, and 20,000 general cardiologists in the U.S. We support all aspects of the patient journey, which includes initial diagnosis, surgical support and patient follow-up. Our Account Managers are focused on prioritizing high volume cardiology centers that are strategically located and on educating and training physicians who have strong connectivity to the HFrEF patient population that may be eligible for our therapy. We also employ Field Clinical Specialists who generally have experience in medical device clinical support. Our Field Clinical Specialists work to ensure that every procedure is done correctly by educating the implanting physicians, including vascular surgeons and EPs, about the technical aspects of Barostim and the implantation procedure.</w:t>
      </w:r>
    </w:p>
    <w:p>
      <w:pPr>
        <w:spacing w:after="0" w:line="19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Similar to our direct sales team, our marketing team has a significant amount of relevant expertise and a strong track record of success in the medical device industry. Our marketing organization is focused on building physician awareness through targeted KOL development, referral network education and direct-to-consumer marketing.</w:t>
      </w:r>
    </w:p>
    <w:p>
      <w:pPr>
        <w:spacing w:after="0" w:line="191"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In terms of patient education, we utilize direct communication channels to inform patients about Barostim Therapy and to enable them to connect with sites that offer Barostim. Our primary method of patient outreach is through digital social networks. We use a qualification process to aid in the identification of the appropriate patients for our therapy. The objective of this outreach is to inform potential patients about our education webinars and website, where they can find a wealth of information on HFrEF and the purpose and benefits of Barostim Therapy, based on our approved labeling.</w:t>
      </w:r>
    </w:p>
    <w:p>
      <w:pPr>
        <w:spacing w:after="0" w:line="191" w:lineRule="exact"/>
        <w:rPr>
          <w:sz w:val="20"/>
          <w:szCs w:val="20"/>
          <w:color w:val="auto"/>
        </w:rPr>
      </w:pPr>
    </w:p>
    <w:p>
      <w:pPr>
        <w:jc w:val="both"/>
        <w:ind w:left="60" w:right="99"/>
        <w:spacing w:after="0"/>
        <w:rPr>
          <w:sz w:val="20"/>
          <w:szCs w:val="20"/>
          <w:color w:val="auto"/>
        </w:rPr>
      </w:pPr>
      <w:r>
        <w:rPr>
          <w:rFonts w:ascii="Arial" w:cs="Arial" w:eastAsia="Arial" w:hAnsi="Arial"/>
          <w:sz w:val="18"/>
          <w:szCs w:val="18"/>
          <w:color w:val="auto"/>
        </w:rPr>
        <w:t>In addition to driving broad awareness and increasing physician and patient education, our marketing team has developed the in-house resources necessary to obtain prior authorization approval for Barostim procedures and expand reimbursement coverage.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Third-party coverage and reimbursement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Coding and payment in the United States</w:t>
      </w:r>
    </w:p>
    <w:p>
      <w:pPr>
        <w:spacing w:after="0" w:line="234"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In the U.S., we sell Barostim primarily to hospitals, where the device is implanted in an outpatient setting. Our customers bill various third-party payors, such as government agencies, administrative contractors, commercial payors and integrated managed care organizations, for the cost required to treat each patient.</w:t>
      </w:r>
    </w:p>
    <w:p>
      <w:pPr>
        <w:spacing w:after="0" w:line="189" w:lineRule="exact"/>
        <w:rPr>
          <w:sz w:val="20"/>
          <w:szCs w:val="20"/>
          <w:color w:val="auto"/>
        </w:rPr>
      </w:pPr>
    </w:p>
    <w:p>
      <w:pPr>
        <w:ind w:left="60" w:right="239"/>
        <w:spacing w:after="0" w:line="234" w:lineRule="auto"/>
        <w:rPr>
          <w:sz w:val="20"/>
          <w:szCs w:val="20"/>
          <w:color w:val="auto"/>
        </w:rPr>
      </w:pPr>
      <w:r>
        <w:rPr>
          <w:rFonts w:ascii="Arial" w:cs="Arial" w:eastAsia="Arial" w:hAnsi="Arial"/>
          <w:sz w:val="18"/>
          <w:szCs w:val="18"/>
          <w:color w:val="auto"/>
        </w:rPr>
        <w:t>Third-party payors generally require physicians and hospitals to identify the service for which they are seeking reimbursement for by using CPT codes, which are created and maintained by the American Medical Association. Implantation of Barostim is described by CPT code 0266T, a Category III code approved in</w:t>
      </w:r>
    </w:p>
    <w:p>
      <w:pPr>
        <w:spacing w:after="0" w:line="2"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July 2011 and effective as of January 2012. Hospitals are able to use this code to submit for a system implant payment. CPT code 0268T is used to submit for an IPG replacement procedure payment, and CPT codes 0272T and 0273T are used for interrogation and programming of the IPG, respectively.</w:t>
      </w:r>
    </w:p>
    <w:p>
      <w:pPr>
        <w:spacing w:after="0" w:line="18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Physician reimbursement under Medicare is generally based on a defined fee schedule, the Physician Fee Schedule, through which payment amounts are determined by the relative values of the professional services rendered. Medicare provides reimbursement to hospitals using Barostim under the hospital outpatient prospective system (“HOPPS”), which provides bundled amounts generally intended to reimburse a hospital for all facility costs related to procedures performed in its outpatient setting. Under the HOPPS, the national Medicare payment to a hospital for a new patient implant or an IPG replacement is paid using the Level 5 Neurostimulator payment code APC 5465, which has a national average of $29,358 in 2023. Payment codes such as APC 5465 are indexed to adjust for cost of living and thus vary by location. These payments generally cover the hospital’s costs for the device and the implantation procedure. CMS also granted a TPT payment for the implantation of Barostim in an outpatient setting, which took effect in January 2021 and expires at the end of 2023. The TPT payment is an incremental payment for new and innovative technologies that meet certain qualifications. It allows hospitals to bill for a pass-through of the device cost, which includes up to $35,000, and can be added to the procedure costs.</w:t>
      </w:r>
    </w:p>
    <w:p>
      <w:pPr>
        <w:spacing w:after="0" w:line="18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anticipate inpatient procedures to continue to represent a small percentage of our sales. For these inpatient procedures, ICD-10-PCS codes 0JH60MZ + 03HL3M are commonly mapped into Diagnosis Related Group (“DRG”) 252, which has an established national average Medicare payment of $22,930 in 2023. CMS also granted an NTAP that was added to the DRG from October 2020 through October 2022 to cover the implantation of Barostim in an inpatient setting. The NTAP is an incremental inpatient payment for new and innovative technologies that meet certain qualifications. This payment allowed hospitals to be reimbursed an additional $22,750 (65% of the total cost of the device).</w:t>
      </w:r>
    </w:p>
    <w:p>
      <w:pPr>
        <w:spacing w:after="0" w:line="189"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surgeon implanting Barostim is paid an additional physician payment under the Medicare Physician Fee Schedule, and the physician that manages the device performs multiple device interrogations and is paid using the payment code APC 5721, which has a national average of $145 per visit in 2023.</w:t>
      </w:r>
    </w:p>
    <w:p>
      <w:pPr>
        <w:spacing w:after="0" w:line="189"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Reimbursement rates from commercial payors vary depending on a variety of factors, including the commercial payor and contract terms.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program and commercial payor coverage in the United States</w:t>
      </w:r>
    </w:p>
    <w:p>
      <w:pPr>
        <w:spacing w:after="0" w:line="23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Since approximately 67% of our target treatment population includes Medicare-eligible patients, we have prioritized CMS coverage while simultaneously developing processes to engage commercial payors. As of July 2020, all MACs have retired automatic coverage denial policies, thereby allowing hospitals to be paid for our procedure. CMS has committed to considering additional process improvements to increase access to innovative devices. We will continue to monitor developments in this space, including decisions made by private payors, if any.</w:t>
      </w:r>
    </w:p>
    <w:p>
      <w:pPr>
        <w:spacing w:after="0" w:line="191" w:lineRule="exact"/>
        <w:rPr>
          <w:sz w:val="20"/>
          <w:szCs w:val="20"/>
          <w:color w:val="auto"/>
        </w:rPr>
      </w:pPr>
    </w:p>
    <w:p>
      <w:pPr>
        <w:ind w:left="60" w:right="339"/>
        <w:spacing w:after="0" w:line="274" w:lineRule="auto"/>
        <w:rPr>
          <w:sz w:val="20"/>
          <w:szCs w:val="20"/>
          <w:color w:val="auto"/>
        </w:rPr>
      </w:pPr>
      <w:r>
        <w:rPr>
          <w:rFonts w:ascii="Arial" w:cs="Arial" w:eastAsia="Arial" w:hAnsi="Arial"/>
          <w:sz w:val="17"/>
          <w:szCs w:val="17"/>
          <w:color w:val="auto"/>
        </w:rPr>
        <w:t>We will continue to leverage our in-house market access team to obtain appropriate prior authorization approvals in advance of treatment on a case-by-case basis where positive coverage policies currently do not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exist. We believe our market access team is highly effective in obtaining prior authorizations, including navigating the appeals process. We believe that we will continue to benefit from this efficient prior authorization process in the near-and-long-term by expanding on our positive coverage policies with commercial payors. In our discussions with commercial payors, we highlight our compelling and robust clinical data, the potential economic cost-savings associated with our highly compliant treatment, increased patient demand and support from leading medical societies and KOLs. As our operations continue to grow, we intend to continue to further expand our market access team accordingly.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Reimbursement outside of the United States</w:t>
      </w:r>
    </w:p>
    <w:p>
      <w:pPr>
        <w:spacing w:after="0" w:line="23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Outside the U.S., reimbursement levels vary by country and within some countries, by region. We are currently selling Barostim in Germany, where the German Institute of Medical Documentation and Information supports various codes for reimbursement coverage. OPS code 5-059.c6 covers the implantation or replacement of a device stimulating the peripheral nervous system by activating the baroreceptors. This OPS code is combined with G-DRG ICD I50.13 to cover reimbursement of Barostim for the treatment of HFrEF. It can also be combined with G-DRG ICD I10.10 to cover reimbursement of Barostim for the treatment of hypertension. These DRG codes for both indications are combined with ZE code ZE2021-86 to cover the cost of the device. Barostim also is eligible for reimbursement in certain other European countries, where annual healthcare budgets for the hospital generally determine the number of patients to be treated and the prices to be paid for the related devices that may be purchased.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34"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Our research and development team has significant experience bringing innovative medical devices to market, including minimally invasive neuromodulation systems.</w:t>
      </w:r>
    </w:p>
    <w:p>
      <w:pPr>
        <w:spacing w:after="0" w:line="183"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We are committed to ongoing research and development efforts of Barostim with an emphasis on improving clinical outcomes, optimizing patient adoption and comfort, increasing access for a greater number of patients and enabling more physicians to perform the procedure.</w:t>
      </w:r>
    </w:p>
    <w:p>
      <w:pPr>
        <w:spacing w:after="0" w:line="18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primary focus of our research and development efforts in the near-term will be the continued technological advancement of Barostim, including tools to simplify the implant procedure for physicians. In 2022, we launched an enhanced IPG that is approximately 10% smaller in size and improves the battery life by approximately 20% to an average of six years. We are also enrolling a clinical trial for a new implant toolkit called BATwire, which enables an ultrasound-guided procedure to implant Barostim and the use of local anesthetics. This has the potential to expand our annual market opportunity in the U.S. by an estimated $1 billion, or by 39,000 additional patients who are deemed clinically unfit for the current procedure. This simplified procedure would also allow EPs to complete the procedure in an outpatient catheter lab center.</w:t>
      </w:r>
    </w:p>
    <w:p>
      <w:pPr>
        <w:spacing w:after="0" w:line="19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While we are currently focused on the treatment of patients with HFrEF, we believe our platform technology can provide meaningful benefits to a broader set of patients suffering from cardiovascular diseases with significant unmet needs. If we receive positive morbidity and mortality data from the post-market stage of the BeAT-HF pivotal trial, we plan to request that the FDA add the claim “Treatment for Heart Failure” to our current indication. Our longer-term goal is to explore Barostim’s potential to expand the indications for use to other cardiovascular diseases, including different forms of HF, hypertension and arrhythmias. Expansions into these or other new indications would require additional FDA approvals and may involve additional clinical trials or modifications to Barostim to treat such indications. If clinical studies for additional indications do not produce results necessary to support regulatory clearance or approval in the U.S. or elsewhere, we will be unable to commercialize our products for these indications.</w:t>
      </w:r>
    </w:p>
    <w:p>
      <w:pPr>
        <w:spacing w:after="0" w:line="192" w:lineRule="exact"/>
        <w:rPr>
          <w:sz w:val="20"/>
          <w:szCs w:val="20"/>
          <w:color w:val="auto"/>
        </w:rPr>
      </w:pPr>
    </w:p>
    <w:p>
      <w:pPr>
        <w:ind w:left="60" w:right="699"/>
        <w:spacing w:after="0" w:line="246" w:lineRule="auto"/>
        <w:rPr>
          <w:sz w:val="20"/>
          <w:szCs w:val="20"/>
          <w:color w:val="auto"/>
        </w:rPr>
      </w:pPr>
      <w:r>
        <w:rPr>
          <w:rFonts w:ascii="Arial" w:cs="Arial" w:eastAsia="Arial" w:hAnsi="Arial"/>
          <w:sz w:val="18"/>
          <w:szCs w:val="18"/>
          <w:color w:val="auto"/>
        </w:rPr>
        <w:t>For the years ended December 31, 2022 and 2021, we incurred research and development expenses of $10.0 million and $7.5 million, respectively.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jc w:val="both"/>
        <w:ind w:left="60" w:right="579"/>
        <w:spacing w:after="0"/>
        <w:rPr>
          <w:sz w:val="20"/>
          <w:szCs w:val="20"/>
          <w:color w:val="auto"/>
        </w:rPr>
      </w:pPr>
      <w:r>
        <w:rPr>
          <w:rFonts w:ascii="Arial" w:cs="Arial" w:eastAsia="Arial" w:hAnsi="Arial"/>
          <w:sz w:val="18"/>
          <w:szCs w:val="18"/>
          <w:color w:val="auto"/>
        </w:rPr>
        <w:t>Our industry is subject to rapid change from the introduction of new products and technologies and other activities of industry participants. We consider our primary competition to be other device-based therapies designed to treat patients with HFrEF and a narrow QRS complex.</w:t>
      </w:r>
    </w:p>
    <w:p>
      <w:pPr>
        <w:spacing w:after="0" w:line="189"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There is only one other commercially available device-based option, CCM, that targets a limited subset of the same HFrEF patient population indicated for Barostim. CCM is offered by a privately-held medical technology company and has the potential to improve a patient’s quality of life and reduce symptoms of HFrEF. However, CCM is associated with a number of drawbacks, including not being designed to address the imbalance of the ANS; less favorable clinical effectiveness results in patients with LVEF 25–35% as compared to patients with LVEF 35–45% related to exercise capacity, quality of life and functional status; implantation through an invasive procedure that includes running electrical leads through the veins and attaching them to the heart’s ventricle, which may lead to increased risks to the patient; and the requirement that patients regularly charge the battery in their implanted device.</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believe that the primary competitive factors in the HFrEF treatment market are:</w:t>
      </w:r>
    </w:p>
    <w:p>
      <w:pPr>
        <w:spacing w:after="0" w:line="198" w:lineRule="exact"/>
        <w:rPr>
          <w:sz w:val="20"/>
          <w:szCs w:val="20"/>
          <w:color w:val="auto"/>
        </w:rPr>
      </w:pPr>
    </w:p>
    <w:p>
      <w:pPr>
        <w:ind w:left="180" w:hanging="130"/>
        <w:spacing w:after="0"/>
        <w:tabs>
          <w:tab w:leader="none" w:pos="18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product safety, reliability and durability;</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quality and volume of clinical data;</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adoption by patients, physicians and hospitals;</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adequate reimbursement for our device;</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product ease of use and patient comfort;</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sales force expansion, experience and access;</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product availability, support and service;</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manufacturing and supply chain;</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technological innovation and product enhancements; and</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intellectual property portfolio.</w:t>
      </w:r>
    </w:p>
    <w:p>
      <w:pPr>
        <w:spacing w:after="0" w:line="212"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Aside from device-based treatments, pharmaceutical therapies are widely used to treat HFrEF and have been in use longer and are better known to physicians and patients than Barostim. However, because Barostim is designed to be used in conjunction with pharmaceutical therapies to alleviate the symptoms of HFrEF, we do not consider existing pharmaceutical therapies to be direct competition.</w:t>
      </w:r>
    </w:p>
    <w:p>
      <w:pPr>
        <w:spacing w:after="0" w:line="191" w:lineRule="exact"/>
        <w:rPr>
          <w:sz w:val="20"/>
          <w:szCs w:val="20"/>
          <w:color w:val="auto"/>
        </w:rPr>
      </w:pPr>
    </w:p>
    <w:p>
      <w:pPr>
        <w:ind w:left="60" w:right="419"/>
        <w:spacing w:after="0" w:line="246" w:lineRule="auto"/>
        <w:rPr>
          <w:sz w:val="20"/>
          <w:szCs w:val="20"/>
          <w:color w:val="auto"/>
        </w:rPr>
      </w:pPr>
      <w:r>
        <w:rPr>
          <w:rFonts w:ascii="Arial" w:cs="Arial" w:eastAsia="Arial" w:hAnsi="Arial"/>
          <w:sz w:val="18"/>
          <w:szCs w:val="18"/>
          <w:color w:val="auto"/>
        </w:rPr>
        <w:t>We also compete with other medical technology companies to recruit and retain qualified sales, training and other personnel.</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3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rely on a combination of patent, copyright, trademark and trade secret laws and confidentiality and invention assignment agreements to protect our intellectual property rights. As of December 31, 2022, we owned 50 issued U.S. patents and had 15 pending U.S. patent applications. Outside of the U.S., we owned seven patents in multiple countries and had one pending application. Our trademark portfolio focuses on nine trademarks in the U.S. and multiple other countries. Our patents cover aspects of our integrated platform technology, Barostim, including baroreflex methods, stimulus regimes, mapping methods, electrode designs, disease treatments, closed loop control, burst intervals, connection structures and baroreceptor locations, as</w:t>
      </w:r>
    </w:p>
    <w:p>
      <w:pPr>
        <w:sectPr>
          <w:pgSz w:w="11900" w:h="16838" w:orient="portrait"/>
          <w:cols w:equalWidth="0" w:num="1">
            <w:col w:w="9019"/>
          </w:cols>
          <w:pgMar w:left="1440" w:top="517" w:right="1440"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well as future product concepts. The term of individual patents depends on the law of the countries in which they are granted. In most countries, including the U.S., the patent term is generally 20 years from the earliest claimed filing date of a nonprovisional patent application in the applicable country. There is no active patent litigation involving any of our patents, and we have not received any notices of patent infringement. ​</w:t>
      </w:r>
    </w:p>
    <w:p>
      <w:pPr>
        <w:spacing w:after="0" w:line="185"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We also rely, in part, upon unpatented trade secrets, know-how and continuing technological innovation to develop and maintain our competitive position. We protect our proprietary rights through a variety of methods, including confidentiality and assignment agreements with suppliers, employees, consultants and others who may have access to our proprietary information.</w:t>
      </w:r>
    </w:p>
    <w:p>
      <w:pPr>
        <w:spacing w:after="0" w:line="191"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Pending patent applications may not result in issued patents, and we cannot guarantee that any current or subsequently issued patents will protect our intellectual property rights or provide us with any competitive advantage. While there is no active litigation involving any of our patents or other intellectual property rights and we have not received any notices of patent infringement, we may be required to enforce or defend our intellectual property rights against third parties in the future. See “Risk Factors—Risks Related to Intellectual Property” for additional information regarding these and other risks related to our intellectual property portfolio and their potential effect on us.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 and supply</w:t>
      </w:r>
    </w:p>
    <w:p>
      <w:pPr>
        <w:spacing w:after="0" w:line="234" w:lineRule="exact"/>
        <w:rPr>
          <w:sz w:val="20"/>
          <w:szCs w:val="20"/>
          <w:color w:val="auto"/>
        </w:rPr>
      </w:pPr>
    </w:p>
    <w:p>
      <w:pPr>
        <w:ind w:left="60" w:right="439"/>
        <w:spacing w:after="0" w:line="238" w:lineRule="auto"/>
        <w:rPr>
          <w:sz w:val="20"/>
          <w:szCs w:val="20"/>
          <w:color w:val="auto"/>
        </w:rPr>
      </w:pPr>
      <w:r>
        <w:rPr>
          <w:rFonts w:ascii="Arial" w:cs="Arial" w:eastAsia="Arial" w:hAnsi="Arial"/>
          <w:sz w:val="18"/>
          <w:szCs w:val="18"/>
          <w:color w:val="auto"/>
        </w:rPr>
        <w:t>We manage all aspects of manufacturing operations and product supply of Barostim, which include final assembly, testing and packaging of our IPG and stimulation lead, at our 23,890 square foot headquarters in Minneapolis, Minnesota. With minimal capital investment, our existing operations are capable of producing 5,000 IPGs and 5,000 stimulation leads per shift per year, and our manufacturing line was designed to be expandable and scalable in the future.</w:t>
      </w:r>
    </w:p>
    <w:p>
      <w:pPr>
        <w:spacing w:after="0" w:line="18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currently source certain components for Barostim from a limited number of suppliers, including the module, module board, radio-frequency module, magnet switch, battery and application-specific integrated circuits for the IPG and the electrode for the stimulation lead. Our suppliers manufacture and test the components they produce for us to meet our specifications. We maintain sufficient levels of inventory to mitigate potential supply disruption and to achieve more favorable volume-based pricing. We continue to seek to broaden and strengthen our supply chain through additional sourcing channels.</w:t>
      </w:r>
    </w:p>
    <w:p>
      <w:pPr>
        <w:spacing w:after="0" w:line="19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select our suppliers to ensure that Barostim and its components are safe and effective, adhere to all applicable standards and regulations, are high quality and meet our supply needs. We employ a rigorous supplier assessment, qualification and selection process targeted to suppliers that meet the requirements of the FDA and relevant Canadian, European Economic Area (“EEA”) and Australian regulatory authorities and quality standards supported by internal policies and procedures. Our quality assurance process monitors and maintains supplier performance through qualification and periodic supplier reviews and audits. We received ISO certification for our quality management system and our most recent audits have not identified any major nonconformities. We are registered with the FDA as a medical device manufacturer and licensed by the State of Minnesota to manufacture our device.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8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expect that any revenue we generate could fluctuate from quarter to quarter as a result of timing and seasonality. We anticipate mild seasonality based on national holiday patterns specific to certain nations. These seasonal variations are difficult to predict accurately and may vary among different markets. In addition to the above factors, in the U.S. it is possible that we may experience seasonality based on patients’ annual deductibility limits under their health insurance coverage. In Europe, we may be required to engage in a contract bidding process in order to sell Barostim, which processes are only open at certain periods of time, and we may not be successful in such bidding processes. In addition, it is possible that we may experience variations in demand for our product in the first fiscal quarter of each year in Europe, following publication of new coverage status and changes in hospital budgets pertaining to allocation of funds to purchase products such as Barostim.</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34"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Our products and operations are subject to extensive regulation by the FDA and other federal and state authorities in the U.S., as well as comparable authorities in the EEA. Our products are subject to regulation as medical devices under the Federal Food, Drug, and Cosmetic Act (the “FDCA”), as implemented and enforced by the FDA. The FDA regulates the development, design, non-clinical and clinical research, manufacturing, safety, effectiveness, labeling, packaging, storage, installation, servicing, recordkeeping, premarket clearance or approval, device tracking, adverse event reporting, recalls, safety alerts, injunctions, seizures, bans,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193"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In addition to U.S. regulations, we are subject to a variety of regulations in the EEA governing clinical trials and the commercial sales and distribution of our products. Whether we have or are required to obtain FDA clearance or approval for a product, we will be required to obtain authorization from the comparable regulatory authorities of countries outside of the U.S. before we can commence clinical trials or commercialize our products in those countries. The approval process varies from country to country and the time may be longer or shorter than that required for FDA clearance or approval.</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FDA pre-market clearance and approval requirements</w:t>
      </w:r>
    </w:p>
    <w:p>
      <w:pPr>
        <w:spacing w:after="0" w:line="234"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Unless an exemption applies, each medical device commercially distributed in the U.S. requires either FDA clearance of a 510(k) premarket notification, HDE, or PMA approval. Under the FDCA, medical devices are classified as Class I, Class II, Class III, or De Novo, 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 While most Class I devices are exempt from the 510(k) premarket notification requirement, manufacturers of most Class II devices must submit to the FDA a premarket notification under Section 510(k) of the FDCA requesting permission to commercially distribute the device. De Novo is a medical device with no predicate or premarket device for comparing substantial equivalence which is subject to the 510(k) premarket notification. The FDA’s permission to commercially distribute a device subject to a 510(k) premarket notification is generally known as 510(k) clearance. Under the 510(k) process, the manufacturer must submit to the FDA a premarket notification demonstrating that the device is “substantially equivalent” to either a device that was legally marketed prior to May 28, 1976, the date upon which the Medical Device Amendments of 1976 were enacted, or another commercially available device that was cleared through the 510(k) process.</w:t>
      </w:r>
    </w:p>
    <w:p>
      <w:pPr>
        <w:spacing w:after="0" w:line="199"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color w:val="auto"/>
        </w:rPr>
        <w:t>Devices deemed by the FDA to pose the greatest risks are placed in Class III, requiring approval of an HDE or PMA.</w:t>
      </w:r>
    </w:p>
    <w:p>
      <w:pPr>
        <w:spacing w:after="0" w:line="183"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Our currently U.S.-marketed Barostim devices are Class III devices which have received both a PMA and an HDE approval.</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PMA &amp; HDE approval pathway</w:t>
      </w:r>
    </w:p>
    <w:p>
      <w:pPr>
        <w:spacing w:after="0" w:line="234" w:lineRule="exact"/>
        <w:rPr>
          <w:sz w:val="20"/>
          <w:szCs w:val="20"/>
          <w:color w:val="auto"/>
        </w:rPr>
      </w:pPr>
    </w:p>
    <w:p>
      <w:pPr>
        <w:ind w:left="60" w:right="279"/>
        <w:spacing w:after="0" w:line="257" w:lineRule="auto"/>
        <w:rPr>
          <w:sz w:val="20"/>
          <w:szCs w:val="20"/>
          <w:color w:val="auto"/>
        </w:rPr>
      </w:pPr>
      <w:r>
        <w:rPr>
          <w:rFonts w:ascii="Arial" w:cs="Arial" w:eastAsia="Arial" w:hAnsi="Arial"/>
          <w:sz w:val="17"/>
          <w:szCs w:val="17"/>
          <w:color w:val="auto"/>
        </w:rPr>
        <w:t>Class III devices require PMA or HDE approval before they can be marketed, although some pre-amendment Class III devices for which the FDA has not yet required a PMA are cleared through the 510(k) process. The PMA process is more demanding than the 510(k) premarket notification process. In a PMA, the manufacturer must demonstrate that the device is safe and effective, and the PMA must be supported by extensive data,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including data from preclinical studies and human clinical trials. The PMA must also contain a full description of the device and its components, and the methods, facilities and controls used for manufacturing and proposed labeling. Following receipt of a PMA, the FDA determines whether the application is sufficient to permit a substantive review. If the FDA accepts the application for review, it has 180 days under the FDCA to complete its review of a PMA, although in practice, the FDA’s review often takes significantly longer, and at times can take up to several years. An Advisory Committee or panel of experts from outside the FDA may be convened to review and evaluate the application and provide recommendations to the FDA as to the approvability of the device. In addition, the FDA will generally conduct a preapproval inspection of the applicant or its third-party manufacturers’ or suppliers’ manufacturing facilities to ensure compliance with the QSR.</w:t>
      </w:r>
    </w:p>
    <w:p>
      <w:pPr>
        <w:spacing w:after="0" w:line="19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according to the instructions for use or labeling.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or study when deemed necessary to protect the public health or to provide additional safety and effectiveness data for the device in a larger population or for a longer period of use. In such cases, the manufacturer might be required to follow certain patient groups and make periodic reports to the FDA on the clinical status of those patients. Failure to comply with the conditions of approval can result in material adverse enforcement action, including withdrawal of the approval.</w:t>
      </w:r>
    </w:p>
    <w:p>
      <w:pPr>
        <w:spacing w:after="0" w:line="19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Certain changes to an approved device, such as changes in manufacturing facilities, methods, or quality control procedures, or changes in the design performance specifications, which can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typically does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9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FDA will approve the new device for commercial distribution if it determines that the data and information in the HDE constitute valid scientific evidence and that there is reasonable assurance that the device is safe and has probable benefit for its intended use(s) according to the instructions for use or labeling. The HDE approved devices are subject to the same requirement elements and changes as the above PMA devices. An additional limitation for HDE devices is they must be prescribed for a patient population that has a medical condition or disease that afflicts less than 8,000 people per year in the United States and have been designated as a Humanitarian Use Device by FDA.</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23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Clinical trials are usually required to support a PMA and are sometimes required to support an HDE, 510(k) or De Novo submission. All clinical investigations of investigational devices to determine safety and effectiveness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 approved prior to commencing human clinical trials. A significant risk device is one that presents a potential for serious risk to the health, safety or welfare of a subject and either is implanted, used in supporting or sustaining human life, substantially important in diagnosing, curing, mitigating or treating disease or otherwise preventing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impairment of human health, or otherwise presents a potential for serious risk to a subject. An IDE application must be supported by appropriate data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91"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addition, the study must be approved by, and conducted under the oversight of, an institutional review board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subjects, as approved by the FDA. If the device presents a non-significant risk to the patient, a sponsor may begin the clinical trial after obtaining approval for the trial by one or more IRBs without separate approval from the FDA, but must still follow abbreviated IDE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9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During a study, the sponsor and clinical investigators are required to comply with the applicable FDA requirements. Additionally, after a trial begins, we, the FDA or the IRB could suspend or terminate a clinical trial at any time for various reasons, including a belief that the risks to study subjects outweigh the anticipated benefits.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Post-market regulation</w:t>
      </w:r>
    </w:p>
    <w:p>
      <w:pPr>
        <w:spacing w:after="0" w:line="234"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After a device is cleared or approved for marketing, numerous regulatory requirements continue to apply. These include:</w:t>
      </w:r>
    </w:p>
    <w:p>
      <w:pPr>
        <w:spacing w:after="0" w:line="183" w:lineRule="exact"/>
        <w:rPr>
          <w:sz w:val="20"/>
          <w:szCs w:val="20"/>
          <w:color w:val="auto"/>
        </w:rPr>
      </w:pPr>
    </w:p>
    <w:p>
      <w:pPr>
        <w:ind w:left="180" w:hanging="130"/>
        <w:spacing w:after="0"/>
        <w:tabs>
          <w:tab w:leader="none" w:pos="18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establishment registration and device listing with the FDA;</w:t>
      </w:r>
    </w:p>
    <w:p>
      <w:pPr>
        <w:spacing w:after="0" w:line="211" w:lineRule="exact"/>
        <w:rPr>
          <w:rFonts w:ascii="Arial" w:cs="Arial" w:eastAsia="Arial" w:hAnsi="Arial"/>
          <w:sz w:val="18"/>
          <w:szCs w:val="18"/>
          <w:color w:val="231F20"/>
        </w:rPr>
      </w:pPr>
    </w:p>
    <w:p>
      <w:pPr>
        <w:jc w:val="both"/>
        <w:ind w:left="180" w:right="599" w:hanging="130"/>
        <w:spacing w:after="0"/>
        <w:tabs>
          <w:tab w:leader="none" w:pos="18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202" w:lineRule="exact"/>
        <w:rPr>
          <w:rFonts w:ascii="Arial" w:cs="Arial" w:eastAsia="Arial" w:hAnsi="Arial"/>
          <w:sz w:val="18"/>
          <w:szCs w:val="18"/>
          <w:color w:val="231F20"/>
        </w:rPr>
      </w:pPr>
    </w:p>
    <w:p>
      <w:pPr>
        <w:ind w:left="180" w:right="79" w:hanging="130"/>
        <w:spacing w:after="0" w:line="238" w:lineRule="auto"/>
        <w:tabs>
          <w:tab w:leader="none" w:pos="18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labeling and marketing regulations, which require that promotion is truthful, not misleading, fairly balanced and provide adequate directions for use and that all claims are substantiated and also prohibit the promotion of products for unapproved or “off-label” uses and impose other restrictions on labeling; FDA guidance on off-label dissemination of information and responding to unsolicited requests for information; and Federal Trade Commission guidance on endorsements and testimonials;</w:t>
      </w:r>
    </w:p>
    <w:p>
      <w:pPr>
        <w:spacing w:after="0" w:line="202" w:lineRule="exact"/>
        <w:rPr>
          <w:rFonts w:ascii="Arial" w:cs="Arial" w:eastAsia="Arial" w:hAnsi="Arial"/>
          <w:sz w:val="18"/>
          <w:szCs w:val="18"/>
          <w:color w:val="231F20"/>
        </w:rPr>
      </w:pPr>
    </w:p>
    <w:p>
      <w:pPr>
        <w:ind w:left="180" w:right="319" w:hanging="130"/>
        <w:spacing w:after="0" w:line="246" w:lineRule="auto"/>
        <w:tabs>
          <w:tab w:leader="none" w:pos="18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the federal Physician Payments Sunshine Act and various state and foreign laws on reporting remunerative relationships with health care customers;</w:t>
      </w:r>
    </w:p>
    <w:p>
      <w:pPr>
        <w:spacing w:after="0" w:line="196" w:lineRule="exact"/>
        <w:rPr>
          <w:rFonts w:ascii="Arial" w:cs="Arial" w:eastAsia="Arial" w:hAnsi="Arial"/>
          <w:sz w:val="18"/>
          <w:szCs w:val="18"/>
          <w:color w:val="231F20"/>
        </w:rPr>
      </w:pPr>
    </w:p>
    <w:p>
      <w:pPr>
        <w:ind w:left="180" w:right="159" w:hanging="130"/>
        <w:spacing w:after="0" w:line="257" w:lineRule="auto"/>
        <w:tabs>
          <w:tab w:leader="none" w:pos="180" w:val="left"/>
        </w:tabs>
        <w:numPr>
          <w:ilvl w:val="0"/>
          <w:numId w:val="17"/>
        </w:numPr>
        <w:rPr>
          <w:rFonts w:ascii="Arial" w:cs="Arial" w:eastAsia="Arial" w:hAnsi="Arial"/>
          <w:sz w:val="17"/>
          <w:szCs w:val="17"/>
          <w:color w:val="231F20"/>
        </w:rPr>
      </w:pPr>
      <w:r>
        <w:rPr>
          <w:rFonts w:ascii="Arial" w:cs="Arial" w:eastAsia="Arial" w:hAnsi="Arial"/>
          <w:sz w:val="17"/>
          <w:szCs w:val="17"/>
          <w:color w:val="auto"/>
        </w:rPr>
        <w:t>the federal Anti-Kickback Statute (and similar state laws) prohibiting, among other things, soliciting, receiving, offering or providing remuneration intended to induce the purchase or recommendation of an item or service reimbursable under a federal healthcare program, such as Medicare or Medicaid. A person or entity does not need to have actual knowledge of this statute or specific intent to violate it to have committed a violation;</w:t>
      </w:r>
    </w:p>
    <w:p>
      <w:pPr>
        <w:spacing w:after="0" w:line="188" w:lineRule="exact"/>
        <w:rPr>
          <w:rFonts w:ascii="Arial" w:cs="Arial" w:eastAsia="Arial" w:hAnsi="Arial"/>
          <w:sz w:val="17"/>
          <w:szCs w:val="17"/>
          <w:color w:val="231F20"/>
        </w:rPr>
      </w:pPr>
    </w:p>
    <w:p>
      <w:pPr>
        <w:ind w:left="180" w:right="139" w:hanging="130"/>
        <w:spacing w:after="0"/>
        <w:tabs>
          <w:tab w:leader="none" w:pos="18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the federal False Claims Act (and similar state laws) prohibiting, among other things, knowingly presenting, or causing to be presented, claims for payment or approval to the federal government that are false or fraudulent, knowingly making a false statement material to an obligation to pay or transmit money or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right="199"/>
        <w:spacing w:after="0" w:line="238" w:lineRule="auto"/>
        <w:rPr>
          <w:sz w:val="20"/>
          <w:szCs w:val="20"/>
          <w:color w:val="auto"/>
        </w:rPr>
      </w:pPr>
      <w:r>
        <w:rPr>
          <w:rFonts w:ascii="Arial" w:cs="Arial" w:eastAsia="Arial" w:hAnsi="Arial"/>
          <w:sz w:val="18"/>
          <w:szCs w:val="18"/>
          <w:color w:val="auto"/>
        </w:rPr>
        <w:t>property to the federal government or knowingly concealing, or knowingly and improperly avoiding or decreasing, an obligation to pay or transmit money to the federal government. The government may assert that a claim includes items or services resulting from a violation of the federal Anti-Kickback Statute and thus constitutes a false or fraudulent claim for purposes of the false claims statute;</w:t>
      </w:r>
    </w:p>
    <w:p>
      <w:pPr>
        <w:spacing w:after="0" w:line="205" w:lineRule="exact"/>
        <w:rPr>
          <w:sz w:val="20"/>
          <w:szCs w:val="20"/>
          <w:color w:val="auto"/>
        </w:rPr>
      </w:pPr>
    </w:p>
    <w:p>
      <w:pPr>
        <w:ind w:left="180" w:right="259" w:hanging="130"/>
        <w:spacing w:after="0"/>
        <w:tabs>
          <w:tab w:leader="none" w:pos="18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clearance or approval of product modifications to 510(k)-cleared devices that could significantly affect safety or effectiveness or that would constitute a major change in intended use of one of our cleared devices, or approval of a supplement for certain modifications to PMA and HDE devices;</w:t>
      </w:r>
    </w:p>
    <w:p>
      <w:pPr>
        <w:spacing w:after="0" w:line="202" w:lineRule="exact"/>
        <w:rPr>
          <w:rFonts w:ascii="Arial" w:cs="Arial" w:eastAsia="Arial" w:hAnsi="Arial"/>
          <w:sz w:val="18"/>
          <w:szCs w:val="18"/>
          <w:color w:val="231F20"/>
        </w:rPr>
      </w:pPr>
    </w:p>
    <w:p>
      <w:pPr>
        <w:ind w:left="180" w:right="79" w:hanging="130"/>
        <w:spacing w:after="0" w:line="238" w:lineRule="auto"/>
        <w:tabs>
          <w:tab w:leader="none" w:pos="18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204" w:lineRule="exact"/>
        <w:rPr>
          <w:rFonts w:ascii="Arial" w:cs="Arial" w:eastAsia="Arial" w:hAnsi="Arial"/>
          <w:sz w:val="18"/>
          <w:szCs w:val="18"/>
          <w:color w:val="231F20"/>
        </w:rPr>
      </w:pPr>
    </w:p>
    <w:p>
      <w:pPr>
        <w:jc w:val="both"/>
        <w:ind w:left="180" w:right="219" w:hanging="130"/>
        <w:spacing w:after="0"/>
        <w:tabs>
          <w:tab w:leader="none" w:pos="18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202" w:lineRule="exact"/>
        <w:rPr>
          <w:rFonts w:ascii="Arial" w:cs="Arial" w:eastAsia="Arial" w:hAnsi="Arial"/>
          <w:sz w:val="18"/>
          <w:szCs w:val="18"/>
          <w:color w:val="231F20"/>
        </w:rPr>
      </w:pPr>
    </w:p>
    <w:p>
      <w:pPr>
        <w:ind w:left="180" w:right="419" w:hanging="130"/>
        <w:spacing w:after="0"/>
        <w:tabs>
          <w:tab w:leader="none" w:pos="18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federal law and regulations requiring Unique Device Identifiers (UDI) on devices and also requiring the submission of certain information about each device to the FDA’s Global Unique Device Identification Database (GUDID);</w:t>
      </w:r>
    </w:p>
    <w:p>
      <w:pPr>
        <w:spacing w:after="0" w:line="202" w:lineRule="exact"/>
        <w:rPr>
          <w:rFonts w:ascii="Arial" w:cs="Arial" w:eastAsia="Arial" w:hAnsi="Arial"/>
          <w:sz w:val="18"/>
          <w:szCs w:val="18"/>
          <w:color w:val="231F20"/>
        </w:rPr>
      </w:pPr>
    </w:p>
    <w:p>
      <w:pPr>
        <w:ind w:left="180" w:right="419" w:hanging="130"/>
        <w:spacing w:after="0" w:line="246" w:lineRule="auto"/>
        <w:tabs>
          <w:tab w:leader="none" w:pos="18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196" w:lineRule="exact"/>
        <w:rPr>
          <w:rFonts w:ascii="Arial" w:cs="Arial" w:eastAsia="Arial" w:hAnsi="Arial"/>
          <w:sz w:val="18"/>
          <w:szCs w:val="18"/>
          <w:color w:val="231F20"/>
        </w:rPr>
      </w:pPr>
    </w:p>
    <w:p>
      <w:pPr>
        <w:ind w:left="180" w:right="179" w:hanging="130"/>
        <w:spacing w:after="0" w:line="246" w:lineRule="auto"/>
        <w:tabs>
          <w:tab w:leader="none" w:pos="18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97"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may be subject to similar foreign laws that include post-marketing requirements such as safety surveillance. Our manufacturing processes must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our facilities, records and manufacturing processes are subject to periodic scheduled or unscheduled inspections by the FDA. Our failure to maintain compliance with the QSR or other applicable regulatory requirements could result in the shut-down of, or restrictions on, our manufacturing operations and the recall or seizure of our products.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89" w:lineRule="exact"/>
        <w:rPr>
          <w:sz w:val="20"/>
          <w:szCs w:val="20"/>
          <w:color w:val="auto"/>
        </w:rPr>
      </w:pPr>
    </w:p>
    <w:p>
      <w:pPr>
        <w:jc w:val="both"/>
        <w:ind w:left="60" w:right="399"/>
        <w:spacing w:after="0"/>
        <w:rPr>
          <w:sz w:val="20"/>
          <w:szCs w:val="20"/>
          <w:color w:val="auto"/>
        </w:rPr>
      </w:pPr>
      <w:r>
        <w:rPr>
          <w:rFonts w:ascii="Arial" w:cs="Arial" w:eastAsia="Arial" w:hAnsi="Arial"/>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189" w:lineRule="exact"/>
        <w:rPr>
          <w:sz w:val="20"/>
          <w:szCs w:val="20"/>
          <w:color w:val="auto"/>
        </w:rPr>
      </w:pPr>
    </w:p>
    <w:p>
      <w:pPr>
        <w:ind w:left="180" w:hanging="130"/>
        <w:spacing w:after="0"/>
        <w:tabs>
          <w:tab w:leader="none" w:pos="18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warning letters, untitled letters, fines, injunctions, consent decrees and civil penalties;</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recalls, withdrawals, injunctions, or administrative detention or seizure of our products;</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operating restrictions or partial suspension or total shutdown of production;</w:t>
      </w:r>
    </w:p>
    <w:p>
      <w:pPr>
        <w:spacing w:after="0" w:line="211" w:lineRule="exact"/>
        <w:rPr>
          <w:rFonts w:ascii="Arial" w:cs="Arial" w:eastAsia="Arial" w:hAnsi="Arial"/>
          <w:sz w:val="18"/>
          <w:szCs w:val="18"/>
          <w:color w:val="231F20"/>
        </w:rPr>
      </w:pPr>
    </w:p>
    <w:p>
      <w:pPr>
        <w:ind w:left="180" w:right="299" w:hanging="130"/>
        <w:spacing w:after="0" w:line="246" w:lineRule="auto"/>
        <w:tabs>
          <w:tab w:leader="none" w:pos="18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refusing or delaying requests for 510(k) marketing clearance or PMA approvals of new products or modified products;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right="319" w:hanging="130"/>
        <w:spacing w:after="0" w:line="246" w:lineRule="auto"/>
        <w:tabs>
          <w:tab w:leader="none" w:pos="18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withdrawing 510(k) clearances or PMA approvals that have already been granted; refusal to grant export or import approvals for our products; or</w:t>
      </w:r>
    </w:p>
    <w:p>
      <w:pPr>
        <w:spacing w:after="0" w:line="196" w:lineRule="exact"/>
        <w:rPr>
          <w:rFonts w:ascii="Arial" w:cs="Arial" w:eastAsia="Arial" w:hAnsi="Arial"/>
          <w:sz w:val="18"/>
          <w:szCs w:val="18"/>
          <w:color w:val="231F20"/>
        </w:rPr>
      </w:pPr>
    </w:p>
    <w:p>
      <w:pPr>
        <w:ind w:left="180" w:hanging="130"/>
        <w:spacing w:after="0"/>
        <w:tabs>
          <w:tab w:leader="none" w:pos="18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criminal prosecution.</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of medical devices in the EEA</w:t>
      </w:r>
    </w:p>
    <w:p>
      <w:pPr>
        <w:spacing w:after="0" w:line="234" w:lineRule="exact"/>
        <w:rPr>
          <w:sz w:val="20"/>
          <w:szCs w:val="20"/>
          <w:color w:val="auto"/>
        </w:rPr>
      </w:pPr>
    </w:p>
    <w:p>
      <w:pPr>
        <w:ind w:left="60" w:right="159"/>
        <w:spacing w:after="0" w:line="252" w:lineRule="auto"/>
        <w:rPr>
          <w:sz w:val="20"/>
          <w:szCs w:val="20"/>
          <w:color w:val="auto"/>
        </w:rPr>
      </w:pPr>
      <w:r>
        <w:rPr>
          <w:rFonts w:ascii="Arial" w:cs="Arial" w:eastAsia="Arial" w:hAnsi="Arial"/>
          <w:sz w:val="17"/>
          <w:szCs w:val="17"/>
          <w:color w:val="auto"/>
        </w:rPr>
        <w:t>To be placed on the market in the EEA, medical devices require a CE Mark and a corresponding declaration of conformity. For our medical devices, the CE Mark must be issued by an organization accredited by a Member State of the EEA to conduct conformity assessments, a so-called Notified Body. Conformity assessments are conducted to demonstrate that the medical device meets the legal requirements set forth in the regulations and standards to ensure that it meets general safety and performance criteria. Clinical investigations or evidence of the safety and clinical outcomes, among other things, may be required for issuance of a CE Mark. With a CE Mark, the medical devices are generally marketable in the entire EEA. A CE Mark was first issued for Barostim for the treatment of resistant hypertension in 2011 and for the treatment of HFrEF in 2014.</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European Union (“EU”) Legislation: medical devices regulation</w:t>
      </w:r>
    </w:p>
    <w:p>
      <w:pPr>
        <w:spacing w:after="0" w:line="234" w:lineRule="exact"/>
        <w:rPr>
          <w:sz w:val="20"/>
          <w:szCs w:val="20"/>
          <w:color w:val="auto"/>
        </w:rPr>
      </w:pPr>
    </w:p>
    <w:p>
      <w:pPr>
        <w:jc w:val="both"/>
        <w:ind w:left="60" w:right="219"/>
        <w:spacing w:after="0" w:line="238" w:lineRule="auto"/>
        <w:rPr>
          <w:sz w:val="20"/>
          <w:szCs w:val="20"/>
          <w:color w:val="auto"/>
        </w:rPr>
      </w:pPr>
      <w:r>
        <w:rPr>
          <w:rFonts w:ascii="Arial" w:cs="Arial" w:eastAsia="Arial" w:hAnsi="Arial"/>
          <w:sz w:val="18"/>
          <w:szCs w:val="18"/>
          <w:color w:val="auto"/>
        </w:rPr>
        <w:t>The regulatory framework governing medical devices in the EEA underwent a major change on April 5, 2017, when the European Parliament passed the Medical Devices Regulation (Regulation (EU) 2017/745 — “MDR”). The MDR repealed and replaced the EU Medical Devices Directive (Council Directive 93/42/EEC — “MDD” or Council Directive 90/385/EEC).</w:t>
      </w:r>
    </w:p>
    <w:p>
      <w:pPr>
        <w:spacing w:after="0" w:line="191" w:lineRule="exact"/>
        <w:rPr>
          <w:sz w:val="20"/>
          <w:szCs w:val="20"/>
          <w:color w:val="auto"/>
        </w:rPr>
      </w:pPr>
    </w:p>
    <w:p>
      <w:pPr>
        <w:ind w:left="60" w:right="59"/>
        <w:spacing w:after="0" w:line="251" w:lineRule="auto"/>
        <w:rPr>
          <w:sz w:val="20"/>
          <w:szCs w:val="20"/>
          <w:color w:val="auto"/>
        </w:rPr>
      </w:pPr>
      <w:r>
        <w:rPr>
          <w:rFonts w:ascii="Arial" w:cs="Arial" w:eastAsia="Arial" w:hAnsi="Arial"/>
          <w:sz w:val="17"/>
          <w:szCs w:val="17"/>
          <w:color w:val="auto"/>
        </w:rPr>
        <w:t>Previously, medical devices regulated under the MDD and AIMDD were classified into one of four classes — Class I, Class IIa, Class IIb or Class III — based on the extent of the regulatory controls necessary and sufficient to provide reasonable assurance of safety and effectiveness of the device. The AIMDD applied to implantable electrical active medical devices that were typically considered to be Class III under MDD and similar controls for the highest risk devices. The classification corresponded to the level of potential hazard inherent in the type of device concerned. Class I included devices with the lowest risk to the patient. Class IIa and Class IIb devices were higher risk devices and Class III devices were devices with a significant risk, which were subject to more regulatory oversight to ensure the safety and effectiveness of the device, such as performance standards and post-market surveillance. Barostim has been classified and regulated under the AIMDD.</w:t>
      </w:r>
    </w:p>
    <w:p>
      <w:pPr>
        <w:spacing w:after="0" w:line="185"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MDR entered into force on May 25, 2017 and is progressively replacing the MDD/AIMDD during a transition period, which was originally intended to become fully effective on May 26, 2021. The MDR, among other things, is designed to establish a uniform, transparent, predictable and sustainable regulatory framework across the EEA for medical devices and to ensure a high level of safety and health while supporting innovation. The regulations impose strict demands on medical device manufacturers and the Notified Bodies whom they must involve in the conformity assessment procedure. Unlike directives, which must be implemented into the national laws of the EEA, the regulations are directly applicable in all EEA member states and are intended to eliminate differences in the regulation of medical devices among EEA member states.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new regulations:</w:t>
      </w:r>
    </w:p>
    <w:p>
      <w:pPr>
        <w:spacing w:after="0" w:line="198" w:lineRule="exact"/>
        <w:rPr>
          <w:sz w:val="20"/>
          <w:szCs w:val="20"/>
          <w:color w:val="auto"/>
        </w:rPr>
      </w:pPr>
    </w:p>
    <w:p>
      <w:pPr>
        <w:ind w:left="180" w:hanging="130"/>
        <w:spacing w:after="0"/>
        <w:tabs>
          <w:tab w:leader="none" w:pos="18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Require demonstration of clinically meaningful outcomes for the performance of the medical device;</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Require stricter control of Class IIb and Class III medical devices during the clinical investigational phase;</w:t>
      </w:r>
    </w:p>
    <w:p>
      <w:pPr>
        <w:spacing w:after="0" w:line="211" w:lineRule="exact"/>
        <w:rPr>
          <w:rFonts w:ascii="Arial" w:cs="Arial" w:eastAsia="Arial" w:hAnsi="Arial"/>
          <w:sz w:val="18"/>
          <w:szCs w:val="18"/>
          <w:color w:val="231F20"/>
        </w:rPr>
      </w:pPr>
    </w:p>
    <w:p>
      <w:pPr>
        <w:ind w:left="180" w:right="159" w:hanging="130"/>
        <w:spacing w:after="0" w:line="246" w:lineRule="auto"/>
        <w:tabs>
          <w:tab w:leader="none" w:pos="18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Require rigorous post-market oversight by the manufacturer and increased post-market surveillance authority by the Notified Body, including unannounced audits, and product sample checks and testing;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right="79" w:hanging="130"/>
        <w:spacing w:after="0" w:line="246" w:lineRule="auto"/>
        <w:tabs>
          <w:tab w:leader="none" w:pos="18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196" w:lineRule="exact"/>
        <w:rPr>
          <w:rFonts w:ascii="Arial" w:cs="Arial" w:eastAsia="Arial" w:hAnsi="Arial"/>
          <w:sz w:val="18"/>
          <w:szCs w:val="18"/>
          <w:color w:val="231F20"/>
        </w:rPr>
      </w:pPr>
    </w:p>
    <w:p>
      <w:pPr>
        <w:ind w:left="180" w:right="319" w:hanging="130"/>
        <w:spacing w:after="0" w:line="246" w:lineRule="auto"/>
        <w:tabs>
          <w:tab w:leader="none" w:pos="18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Improve the traceability of medical devices throughout the supply chain to the end-user or patient through a unique identification number;</w:t>
      </w:r>
    </w:p>
    <w:p>
      <w:pPr>
        <w:spacing w:after="0" w:line="196" w:lineRule="exact"/>
        <w:rPr>
          <w:rFonts w:ascii="Arial" w:cs="Arial" w:eastAsia="Arial" w:hAnsi="Arial"/>
          <w:sz w:val="18"/>
          <w:szCs w:val="18"/>
          <w:color w:val="231F20"/>
        </w:rPr>
      </w:pPr>
    </w:p>
    <w:p>
      <w:pPr>
        <w:ind w:left="180" w:right="219" w:hanging="130"/>
        <w:spacing w:after="0" w:line="274" w:lineRule="auto"/>
        <w:tabs>
          <w:tab w:leader="none" w:pos="180" w:val="left"/>
        </w:tabs>
        <w:numPr>
          <w:ilvl w:val="0"/>
          <w:numId w:val="22"/>
        </w:numPr>
        <w:rPr>
          <w:rFonts w:ascii="Arial" w:cs="Arial" w:eastAsia="Arial" w:hAnsi="Arial"/>
          <w:sz w:val="17"/>
          <w:szCs w:val="17"/>
          <w:color w:val="231F20"/>
        </w:rPr>
      </w:pPr>
      <w:r>
        <w:rPr>
          <w:rFonts w:ascii="Arial" w:cs="Arial" w:eastAsia="Arial" w:hAnsi="Arial"/>
          <w:sz w:val="17"/>
          <w:szCs w:val="17"/>
          <w:color w:val="auto"/>
        </w:rPr>
        <w:t>Provide greater transparency by establishing a central database (EUDAMED) to provide patients, healthcare professionals and the public with comprehensive information on products available in the EU; and</w:t>
      </w:r>
    </w:p>
    <w:p>
      <w:pPr>
        <w:spacing w:after="0" w:line="174" w:lineRule="exact"/>
        <w:rPr>
          <w:rFonts w:ascii="Arial" w:cs="Arial" w:eastAsia="Arial" w:hAnsi="Arial"/>
          <w:sz w:val="17"/>
          <w:szCs w:val="17"/>
          <w:color w:val="231F20"/>
        </w:rPr>
      </w:pPr>
    </w:p>
    <w:p>
      <w:pPr>
        <w:ind w:left="180" w:right="399" w:hanging="130"/>
        <w:spacing w:after="0" w:line="246" w:lineRule="auto"/>
        <w:tabs>
          <w:tab w:leader="none" w:pos="18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Strengthen rules for the assessment of certain high-risk devices, which may have to undergo an additional check by an independent expert panel before they are placed on the market.</w:t>
      </w:r>
    </w:p>
    <w:p>
      <w:pPr>
        <w:spacing w:after="0" w:line="197"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To avoid market disruption and allow a smooth transition from the MDD/AIMDD to the MDR, several transitional provisions are in place, which include allowing devices lawfully placed on the market prior to expiration of their MDD/AIMDD CE Marks to remain available on the market and be put into service, both under certain prerequisites and until a certain time.</w:t>
      </w:r>
    </w:p>
    <w:p>
      <w:pPr>
        <w:spacing w:after="0" w:line="191"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In 2022, we successfully completed the Stage 1 and 2 MDR Quality Management System (“QMS”) audits, and our Notified Body officially issued an approval document stating that the QMS has been assessed to the MDR and approved. We also received and responded to queries from all MDR sections, with the exception of Clinical Research, in 2022. We have since received confirmation that the Clinical Research section, along with our query responses, is currently under review. We believe these developments should result in completion of the Technical File review by the end of 2023.</w:t>
      </w:r>
    </w:p>
    <w:p>
      <w:pPr>
        <w:spacing w:after="0" w:line="191"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Notably, a proposal by the European Commission is under consideration to extend existing AIMDD CE certificates through May 31, 2027. This proposal is driven by delays in notified body reviews and approvals across the medical device industry as well as the fact that a substantial number of CE Mark certificates are continuing to expire during this unpredictable and extended transition period to MDR. Given the need for devices in the EEA, it seems probable that the MDR transition rules will be modified by extension or some other means to allow continued sales of devices in the EEA beyond the currently available supply for medical devices, to the extent CVRx’s MDR approval is not completed in 2023.</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of medical devices under MDR</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 Marking</w:t>
      </w:r>
    </w:p>
    <w:p>
      <w:pPr>
        <w:spacing w:after="0" w:line="230" w:lineRule="exact"/>
        <w:rPr>
          <w:sz w:val="20"/>
          <w:szCs w:val="20"/>
          <w:color w:val="auto"/>
        </w:rPr>
      </w:pPr>
    </w:p>
    <w:p>
      <w:pPr>
        <w:ind w:left="60" w:right="99"/>
        <w:spacing w:after="0" w:line="250" w:lineRule="auto"/>
        <w:rPr>
          <w:sz w:val="20"/>
          <w:szCs w:val="20"/>
          <w:color w:val="auto"/>
        </w:rPr>
      </w:pPr>
      <w:r>
        <w:rPr>
          <w:rFonts w:ascii="Arial" w:cs="Arial" w:eastAsia="Arial" w:hAnsi="Arial"/>
          <w:sz w:val="17"/>
          <w:szCs w:val="17"/>
          <w:color w:val="auto"/>
        </w:rPr>
        <w:t>Manufacturers of medical devices must comply with the general safety and performance requirements of the MDR in order to obtain a CE Mark for the product and market the product in the EEA. To demonstrate compliance with the general safety and performance requirements, the manufacturer must undergo a conformity assessment procedure which requires the involvement of a Notified Body except for low-risk, self-certified medical devices of Class I. The Notified Body typically audits the quality management system of the manufacturer, which must comply with the current version of ISO 13485 requiring that manufacturers to follow defined and approved design and development procedures, testing, control, documentation and other quality assurance procedures throughout the entire design and manufacturing process. The Notified Body also reviews the Technical File that includes the Biological Evaluation, Clinical Evaluation and Risk Management reports and Post Market Clinical Follow-Up (PMCF), among other items, submitted for approval of the CE Mark. If the quality management system audit and the technical file review are successful, the Notified Body issues certificates of conformity. These certificates entitle the manufacturer to draw up the EU declaration of conformity and affix the CE Mark to the labeling of its medical devices and place the medical device on the EEA market.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 marking in UK and UK Conformity Assessed marking</w:t>
      </w:r>
    </w:p>
    <w:p>
      <w:pPr>
        <w:spacing w:after="0" w:line="230"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auto"/>
        </w:rPr>
        <w:t>Since January 1, 2021, the UK (excluding Northern Ireland) has recognized medical devices with an EEA-issued CE Mark, and will continue to do so until June 30, 2023. Additionally, certificates issued by EU-recognized Notified Bodies will continue to be valid for the UK market until June 30, 2023. Beginning on July 1, 2023, a UK Conformity Assessed (“UKCA”) marking will be required to place a device on the Great Britain market (England, Wales and Scotland). The UKCA marking is a UK product marking used for certain goods, including medical devices, placed on the market in England, Wales and Scotland. The UKCA marking is not recognized in the EU, EEA or Northern Ireland, so relevant products require a CE marking for sale in these markets. Since January 1, 2021, all medical devices placed on the UK market must be registered with the Medicines and Healthcare products Regulatory Agency (the “MHRA”). There are different grace periods depending on the type of medical device to allow time for compliance with the new registration process. Where a medical device is not already registered with the MHRA, a conformity assessment must be conducted by an “authorised” body (a so-called UK Approved Body, approved by the MHRA) and a separate dossier application for the UKCA marking must be submitted. However, the data to support an EEA-issued CE Mark is expected to be sufficient for a UKCA mark. Manufacturers based outside the UK who wish to place a device on the UK market need to appoint a single UK Responsible Person who will take responsibility for the product in the UK.</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 Marking in Switzerland</w:t>
      </w:r>
    </w:p>
    <w:p>
      <w:pPr>
        <w:spacing w:after="0" w:line="23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Switzerland and the EU had a bilateral mutual recognition agreement (MRA) on conformity assessment, which entered into force in 2002, but ceased to be enforced on 26 May 2021. Currently, Switzerland unilaterally recognizes EU certificates of conformity for medical devices. Labeling and CE marking requirements for medical devices placed on the Swiss market must follow EU CE labeling requirements. To place a product on the Swiss market as an economic operator located outside of Switzerland, manufacturers, distributors, and importers must have a Swiss authorized representative (“CH-REP”). Product labeling should include the CH-REP name and address to show compliance. MDD/AIMDD devices placed on the market before the certificate expiration date or by May 26, 2024, whichever occurs sooner. These devices will continue to be available on the market until May 26, 2025. We have engaged a CH-REP and, because we placed Barostim on the market prior to expiration of our AIMDD CE Mark, the devices may continue to be sold in Switzerland through 2023.</w:t>
      </w:r>
    </w:p>
    <w:p>
      <w:pPr>
        <w:spacing w:after="0" w:line="192"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A pending proposal to accept either CE or FDA approval of devices would allow continued sales in Switzerland after 2023 should the MDR approval not be completed. However, this proposal is not approved and detailed requirements are unclear.</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investigation</w:t>
      </w:r>
    </w:p>
    <w:p>
      <w:pPr>
        <w:spacing w:after="0" w:line="23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For our medical devices, clinical investigations or evidence will be required to demonstrate safety, performance and the expected clinical outcomes. The term “performance” describes how the medical device functions. Under the MDR, performance must be linked to expected clinical metrics and outcomes. From a practical standpoint, “performance” is analogous to the term “effectiveness” when applied to our medical devices. Clinical investigations must be conducted in accord with Good Clinical Practices (ISO 14155) and are subject to audits by the Notified Bodies.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Post-market surveillance</w:t>
      </w:r>
    </w:p>
    <w:p>
      <w:pPr>
        <w:spacing w:after="0" w:line="23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After a medical device is placed on the market, numerous regulatory requirements apply, which link to the manufacturer’s continuous review of risk management information. The manufacturer must establish and maintain a systematic procedure to proactively collect and review real-life experience and data gained from their devices placed on the market. Post-market surveillance is comprised of, but not limited to, reports of serious adverse events, device deficiency reports, product complaints from consumers and health care professionals, field safety corrective actions and post-marketing clinical studies/updated clinical evaluation reports. Manufacturers must guarantee that their medical device continues to provide the promised benefit 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spacing w:after="0" w:line="253" w:lineRule="auto"/>
        <w:rPr>
          <w:sz w:val="20"/>
          <w:szCs w:val="20"/>
          <w:color w:val="auto"/>
        </w:rPr>
      </w:pPr>
      <w:r>
        <w:rPr>
          <w:rFonts w:ascii="Arial" w:cs="Arial" w:eastAsia="Arial" w:hAnsi="Arial"/>
          <w:sz w:val="17"/>
          <w:szCs w:val="17"/>
          <w:color w:val="auto"/>
        </w:rPr>
        <w:t>patients as well as the lack of any unacceptable risks, through a constant and systematic approach to post-market surveillance. Further, manufacturers, medical practitioners and medical institutions are obliged to report any incident involving a medical device, including any malfunction or deterioration in the characteristics and/or performance of a device, as well as any inadequacy in the labelling or the instructions for use which might lead to or might have led to the death of a patient or to a serious deterioration in his or her state of health. The reporting also includes any device recalls. Manufacturers must prepare a periodic safety update report for each device summarizing the results and conclusions of the analyses of the post-market surveillance data gathered.</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Non-compliance</w:t>
      </w:r>
    </w:p>
    <w:p>
      <w:pPr>
        <w:spacing w:after="0" w:line="230"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If we fail to comply with applicable EU, UK and Swiss regulatory requirements, we may be subject to, among other things, fines, product recalls, seizure of products, operating restrictions and criminal prosecution. Failure to comply with EU, UK or Swiss regulatory requirements could prevent us from developing, manufacturing and later selling the products in the respective region.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Federal, state and foreign fraud and abuse and physician payment transparency laws</w:t>
      </w:r>
    </w:p>
    <w:p>
      <w:pPr>
        <w:spacing w:after="0" w:line="234"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In addition to FDA restrictions on marketing and promotion of drugs and devices, other federal and state laws restrict our business practices. These laws include, without limitation, foreign, federal and state anti-kickback and false claims laws, as well as transparency laws regarding payments or other items of value provided to healthcare providers.</w:t>
      </w:r>
    </w:p>
    <w:p>
      <w:pPr>
        <w:spacing w:after="0" w:line="191"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any remuneration (including any kickback, bribe or rebate), directly or indirectly, overtly or covertly, in cash or in kind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including stock, stock options and the compensation derived through ownership interests.</w:t>
      </w:r>
    </w:p>
    <w:p>
      <w:pPr>
        <w:spacing w:after="0" w:line="189"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Recognizing that the federal Anti-Kickback Statute is broad and may prohibit many innocuous or beneficial arrangements within the healthcare industry, the U.S. Department of Health and Human Services (“HHS”) issued regulations in July 1991, which HHS has referred to as “safe harbors.” These safe harbor regulations set forth certain provisions which, if met in form and substance, will assure medical device manufacturers, healthcare providers and other parties that they will not be prosecuted under the federal Anti-Kickback Statute. Additional safe harbor provisions providing similar protections have been published intermittently since 1991. Although there are a number of statutory exceptions and regulatory safe harbors protecting some common activities from prosecution, the exceptions and safe harbors are drawn narrowly. Our arrangements with physicians, hospitals and other persons or entities who are in a position to refer may not fully meet the stringent criteria specified in the various safe harbors.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federal Anti-Kickback Statute has been violated. In addition, a person or entity does not need to have actual knowledge of the statute or specific intent to violate it in order to have committed a violation. Moreover, a claim including items or services resulting from a violation of the federal Anti-Kickback Statute constitutes a false or fraudulent claim for purposes of the federal civil False Claims Act (described below).</w:t>
      </w:r>
    </w:p>
    <w:p>
      <w:pPr>
        <w:spacing w:after="0" w:line="199" w:lineRule="exact"/>
        <w:rPr>
          <w:sz w:val="20"/>
          <w:szCs w:val="20"/>
          <w:color w:val="auto"/>
        </w:rPr>
      </w:pPr>
    </w:p>
    <w:p>
      <w:pPr>
        <w:ind w:left="60" w:right="399"/>
        <w:spacing w:after="0" w:line="274" w:lineRule="auto"/>
        <w:rPr>
          <w:sz w:val="20"/>
          <w:szCs w:val="20"/>
          <w:color w:val="auto"/>
        </w:rPr>
      </w:pPr>
      <w:r>
        <w:rPr>
          <w:rFonts w:ascii="Arial" w:cs="Arial" w:eastAsia="Arial" w:hAnsi="Arial"/>
          <w:sz w:val="17"/>
          <w:szCs w:val="17"/>
          <w:color w:val="auto"/>
        </w:rPr>
        <w:t>Violations of the federal Anti-Kickback Statute may result in civil monetary penalties up to $ 100,000 for each violation, plus up to three times the remuneration involved. Civil penalties for such conduct can further be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assessed under the federal False Claims Act. Violations can also result in criminal penalties, including criminal fines of up to $ 100,000 and imprisonment of up to 10 years. Similarly, violations can result in exclusion from participation in government healthcare programs, including Medicare and Medicaid. Liability under the federal Anti-Kickback Statute may also arise because of the intentions or actions of the parties with whom we do business. While we are not aware of any such intentions or actions, we have only limited knowledge regarding the intentions or actions underlying those arrangements. Conduct and business arrangements that do not fully satisfy one of these safe harbor provisions may result in increased scrutiny by government enforcement authorities. The majority of states also have anti-kickback laws that establish similar prohibitions and, in some cases, may apply more broadly to items or services covered by any third-party payor, including commercial insurers and self-pay patients.</w:t>
      </w:r>
    </w:p>
    <w:p>
      <w:pPr>
        <w:spacing w:after="0" w:line="19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federal civil False Claims Act prohibits,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 claim includes “any request or demand” for money or property presented to the U.S. government. The federal civil False Claims Act also applies to false submissions that cause the government to be paid less than the amount to which it is entitled, such as a rebate. Intent to deceive is not required to establish liability under the civil federal civil False Claims Act.</w:t>
      </w:r>
    </w:p>
    <w:p>
      <w:pPr>
        <w:spacing w:after="0" w:line="189"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In addition, private parties may initiate “qui tam” whistleblower lawsuits against any person or entity under the federal civil False Claims Act in the name of the government and share in the proceeds of the lawsuit. Penalties for federal civil False Claim Act violations include fines for each false claim, plus up to three times the amount of damages sustained by the federal government and, most critically, may provide the basis for exclusion from the federally funded healthcare program. On May 20, 2009, the Fraud Enforcement Recovery Act of 2009 (“FERA”), was enacted, which modifies and clarifies certain provisions of the federal civil False Claims Act. In part, FERA amends the federal civil False Claims Act such that penalties may now apply to any person, including an organization that does not contract directly with the government, who knowingly makes, uses or causes to be made or used, a false record or statement material to a false or fraudulent claim paid in part by the federal government. The government may further prosecute conduct constituting a false claim under the federal criminal False Claims Act. The criminal False Claims Act prohibits the making or presenting of a claim to the government knowing such claim to be false, fictitious or fraudulent and, unlike the federal civil False Claims Act, requires proof of intent to submit a false claim. When an entity is determined to have violated the federal civil False Claims Act, the government may impose civil fines and penalties ranging from $12,537 to $25,076 for each false claim, plus treble damages, and exclude the entity from participation in Medicare, Medicaid and other federal healthcare programs.</w:t>
      </w:r>
    </w:p>
    <w:p>
      <w:pPr>
        <w:spacing w:after="0" w:line="20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Civil Monetary Penalty Act of 1981 imposes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91"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auto"/>
        </w:rPr>
        <w:t>The Health Insurance Portability and Accountability Act of 1996 (“HIPAA”) also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1" w:lineRule="exact"/>
        <w:rPr>
          <w:sz w:val="20"/>
          <w:szCs w:val="20"/>
          <w:color w:val="auto"/>
        </w:rPr>
      </w:pPr>
    </w:p>
    <w:p>
      <w:pPr>
        <w:ind w:left="60" w:right="239"/>
        <w:spacing w:after="0" w:line="274" w:lineRule="auto"/>
        <w:rPr>
          <w:sz w:val="20"/>
          <w:szCs w:val="20"/>
          <w:color w:val="auto"/>
        </w:rPr>
      </w:pPr>
      <w:r>
        <w:rPr>
          <w:rFonts w:ascii="Arial" w:cs="Arial" w:eastAsia="Arial" w:hAnsi="Arial"/>
          <w:sz w:val="17"/>
          <w:szCs w:val="17"/>
          <w:color w:val="auto"/>
        </w:rPr>
        <w:t>Many foreign countries have similar laws relating to healthcare fraud and abuse. Foreign laws and regulations may vary greatly from country to country. For example, the advertising and promotion of our products is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79"/>
        <w:spacing w:after="0" w:line="237" w:lineRule="auto"/>
        <w:rPr>
          <w:sz w:val="20"/>
          <w:szCs w:val="20"/>
          <w:color w:val="auto"/>
        </w:rPr>
      </w:pPr>
      <w:r>
        <w:rPr>
          <w:rFonts w:ascii="Arial" w:cs="Arial" w:eastAsia="Arial" w:hAnsi="Arial"/>
          <w:sz w:val="18"/>
          <w:szCs w:val="18"/>
          <w:color w:val="auto"/>
        </w:rPr>
        <w:t>subject to EU Directives concerning misleading and comparative advertising and unfair commercial practices, as well as other EEA member state legislation governing the advertising and promotion of medical devices. These laws may limit or restrict the advertising and promotion of our products to the general public and may impose limitations on our promotional activities with healthcare professionals. Also, many U.S. states have similar fraud and abuse statutes or regulations that may be broader in scope and may apply regardless of payor, in addition to items and services reimbursed under Medicaid and other state programs.</w:t>
      </w:r>
    </w:p>
    <w:p>
      <w:pPr>
        <w:spacing w:after="0" w:line="191" w:lineRule="exact"/>
        <w:rPr>
          <w:sz w:val="20"/>
          <w:szCs w:val="20"/>
          <w:color w:val="auto"/>
        </w:rPr>
      </w:pPr>
    </w:p>
    <w:p>
      <w:pPr>
        <w:ind w:left="60" w:right="179"/>
        <w:spacing w:after="0" w:line="235" w:lineRule="auto"/>
        <w:rPr>
          <w:sz w:val="20"/>
          <w:szCs w:val="20"/>
          <w:color w:val="auto"/>
        </w:rPr>
      </w:pPr>
      <w:r>
        <w:rPr>
          <w:rFonts w:ascii="Arial" w:cs="Arial" w:eastAsia="Arial" w:hAnsi="Arial"/>
          <w:sz w:val="18"/>
          <w:szCs w:val="18"/>
          <w:color w:val="auto"/>
        </w:rPr>
        <w:t>Additionally, there has been a recent trend of increased foreign, federal and state regulation of payments and transfers of value provided to healthcare professionals or entities. The federal Physician Payments Sunshine Act imposes annual reporting requirements on certain drug, biologics, medical supplies and device manufacturers for which payment is available under Medicare, Medicaid or the Children’s Health Insurance Program for payments and other transfers of value provided by them, directly or indirectly, to physicians (including physician family members), certain other healthcare providers and teaching hospitals, as well as ownership and investment interests held by physicians and their immediate family members. A manufacturer’s failure to submit timely, accurately and completely the required information for all payments, transfers of value or ownership or investment interests may result in civil monetary penalties of up to $12,646 per failure up to an aggregate of $ 189,692 per year (or up to an aggregate of $ 1.265 million per year for “knowing failures”). Manufacturers must submit reports by the 90th day of each calendar year. Certain foreign countries and U.S. states also mandate implementation of commercial compliance programs, impose restrictions on device manufacturer marketing practices and require tracking and reporting of gifts, compensation and other remuneration to healthcare professionals and entities.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234"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We are also subject to various federal, state and foreign laws that protect the confidentiality of certain patient health information, including patient medical records, and restrict the use and disclosure of patient health information by healthcare providers, such as HIPAA, as amended by the Health Information Technology for Economic and Clinical Health Act of 2009 (“HITECH”), in the U.S.</w:t>
      </w:r>
    </w:p>
    <w:p>
      <w:pPr>
        <w:spacing w:after="0" w:line="191"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HIPAA established uniform standards governing the conduct of certain electronic healthcare transactions and requires certain entities, called covered entities, to comply with standards that include the privacy and security of protected health information (“PHI”). HIPAA also requires business associates, such as independent contractors or agents of covered entities that have access to PHI in connection with providing a service to or on behalf of a covered entity, of covered entities to enter into business associate agreements with the covered entity and to safeguard the covered entity’s PHI against improper use and disclosure.</w:t>
      </w:r>
    </w:p>
    <w:p>
      <w:pPr>
        <w:spacing w:after="0" w:line="191"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HIPAA privacy regulations cover the use and disclosure of PHI by covered entities as well as business associates, which are defined to include subcontractors that create, receive, maintain, or transmit PHI on behalf of a business associate. They also set forth certain rights that an individual has with respect to his or her PHI maintained by a covered entity, including the right to access or amend certain records containing PHI, or to request restrictions on the use or disclosure of PHI. The security regulations establish requirements for safeguarding the confidentiality, integrity and availability of PHI that is electronically transmitted or electronically stored. HITECH, among other things, established certain health information security breach notification requirements. A covered entity must notify any individual whose PHI is breached according to the specifications set forth in the breach notification rule. The HIPAA privacy and security regulations establish a uniform federal “floor” and do not supersede state laws that are more stringent or provide individuals with greater rights with respect to the privacy or security of, and access to, their records containing PHI or insofar as such state laws apply to personal information that is broader in scope than PHI as defined under HIPAA.</w:t>
      </w:r>
    </w:p>
    <w:p>
      <w:pPr>
        <w:spacing w:after="0" w:line="190"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HIPAA requires the notification of patients, and other compliance actions, in the event of a breach of unsecured PHI. If notification to patients of a breach is required, such notification must be provided without unreasonable delay and in no event later than 60 calendar days after discovery of the breach. In addition, if the PHI of 500 or more individuals is improperly used or disclosed, we would be required to report the improper use or disclosure to HHS, which would post the violation on its website, and to the media. Failure to comply with the HIPAA privacy and security standards can result in civil monetary penalties up to $63,973 per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19"/>
        <w:spacing w:after="0" w:line="246" w:lineRule="auto"/>
        <w:rPr>
          <w:sz w:val="20"/>
          <w:szCs w:val="20"/>
          <w:color w:val="auto"/>
        </w:rPr>
      </w:pPr>
      <w:r>
        <w:rPr>
          <w:rFonts w:ascii="Arial" w:cs="Arial" w:eastAsia="Arial" w:hAnsi="Arial"/>
          <w:sz w:val="18"/>
          <w:szCs w:val="18"/>
          <w:color w:val="auto"/>
        </w:rPr>
        <w:t>violation, not to exceed $1.92 million per calendar year for non-compliance of an identical provision and, in certain circumstances, criminal penalties with fines up to $250,000 per violation and/or imprisonment.</w:t>
      </w:r>
    </w:p>
    <w:p>
      <w:pPr>
        <w:spacing w:after="0" w:line="18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its standards have been used as the basis for duty of care cases in state civil suits such as those for negligence or recklessness in the misuse or breach of PHI. In addition, HIPAA mandates that the Secretary of HHS conduct periodic compliance audits of HIPAA covered entities, such as us, and their business associates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93"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Additionally, we may be subject to laws relating to our collection, control, processing and other use of personal data (i.e., data relating to an identifiable living individual). We process personal data in relation to our operations. We process data of both our employees and our customers, including health and medical information. The data privacy regime in the EU includes the EU Data Protection Directive (95/46/EC) regarding the processing of personal data and the free movement of such data, the E-Privacy Directive 2002/58/EC and national laws implementing each of them. Each EU Member State has transposed the requirements laid down by the Data Protection Directive and E-Privacy Directive into its own national data privacy regime and therefore the laws may differ by jurisdiction, sometimes significantly. We must ensure compliance with the rules in each jurisdiction where we are established or are otherwise subject to local privacy laws.</w:t>
      </w:r>
    </w:p>
    <w:p>
      <w:pPr>
        <w:spacing w:after="0" w:line="19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requirements include that personal data may only be collected for specified, explicit and legitimate purposes based on legal grounds set out in the local laws and may only be processed in a manner consistent with those purposes. Personal data must also be adequate, relevant, not excessive in relation to the purposes for which it is collected, be secure, not be transferred outside of the EEA unless certain steps are taken to ensure an adequate level of protection and must not be kept for longer than necessary for the purposes of collection. To the extent that we process, control or otherwise use sensitive data relating to living individuals (for example, patients’ health or medical information), more stringent rules apply, limiting the circumstances and the manner in which we are legally permitted to process that data and transfer that data outside of the EEA. In particular, in order to process such data, explicit consent to the processing (including any transfer) is usually required from the data subject (being the person to whom the personal data relates).</w:t>
      </w:r>
    </w:p>
    <w:p>
      <w:pPr>
        <w:spacing w:after="0" w:line="192"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The EU-wide General Data Protection Regulation (“GDPR”) became applicable on May 25, 2018, replacing the previous data protection laws issued by each EU Member State based on the Directive 95/46/EC. Unlike the Directive (which needed to be transposed at national level), the GDPR text is directly applicable in each EU member state, resulting in a more uniform application of data privacy laws across the EU. The GDPR imposes onerous accountability obligations, requiring data controllers and processors to maintain a record of their data processing and policies. It requires data controllers to be transparent and disclose to data subjects (in a concise, intelligible and easily accessible form) how their personal information is to be used, imposes limitations on retention of information, increases requirements pertaining to pseudonymized (i.e., key-coded) data, introduces mandatory data breach notification requirements and sets higher standards for data controllers to demonstrate that they have obtained valid consent for certain data processing activities. Fines for non-compliance with the GDPR are significant—the greater of EUR 20 million or 4% of global turnover. The GDPR provides that EU Member States may introduce further conditions, including limitations, to the processing of genetic, biometric or health data, which could limit our ability to collect, use and share personal data, or could cause our compliance costs to increase, ultimately having an adverse impact on our business. In the UK, the UK General Data Protection Regulation (the “UK GDPR”) came into effect on January 1, 2021. Similar to the GDPR, the UK GDPR sets out the key principles, rights, and obligations for most processing of personal data in the UK. The Data Protection Act of 2018, which came into effect on May 25, 2018 and was amended on January 1, 2021, works alongside and supplements the UK GDPR.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79"/>
        <w:spacing w:after="0" w:line="246" w:lineRule="auto"/>
        <w:rPr>
          <w:sz w:val="20"/>
          <w:szCs w:val="20"/>
          <w:color w:val="auto"/>
        </w:rPr>
      </w:pPr>
      <w:r>
        <w:rPr>
          <w:rFonts w:ascii="Arial" w:cs="Arial" w:eastAsia="Arial" w:hAnsi="Arial"/>
          <w:sz w:val="18"/>
          <w:szCs w:val="18"/>
          <w:color w:val="auto"/>
        </w:rPr>
        <w:t>We are subject to the supervision of local data protection authorities in those jurisdictions where we are established or otherwise subject to applicable law.</w:t>
      </w:r>
    </w:p>
    <w:p>
      <w:pPr>
        <w:spacing w:after="0" w:line="18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We depend on third parties in relation to our provision of our services, a number of which process personal data on our behalf. With each such provider we enter into contractual arrangements to ensure that they only process personal data according to our instructions, and that they have sufficient technical and organizational security measures in place. When we transfer personal data outside the EEA, we do so in compliance with the relevant data export requirements. We take our data protection obligations seriously, as any improper disclosure, particularly with regard to our customers’ sensitive personal data, could negatively impact our business and/or our reputation.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3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U.S. and some foreign jurisdictions are considering or have enacted a number of legislative and regulatory proposals to change the healthcare system in ways that could affect our ability to sell our products profitably. Among policy makers and payors in the U.S.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w:t>
      </w:r>
    </w:p>
    <w:p>
      <w:pPr>
        <w:spacing w:after="0" w:line="194" w:lineRule="exact"/>
        <w:rPr>
          <w:sz w:val="20"/>
          <w:szCs w:val="20"/>
          <w:color w:val="auto"/>
        </w:rPr>
      </w:pPr>
    </w:p>
    <w:p>
      <w:pPr>
        <w:ind w:left="60" w:right="99"/>
        <w:spacing w:after="0" w:line="250" w:lineRule="auto"/>
        <w:rPr>
          <w:sz w:val="20"/>
          <w:szCs w:val="20"/>
          <w:color w:val="auto"/>
        </w:rPr>
      </w:pPr>
      <w:r>
        <w:rPr>
          <w:rFonts w:ascii="Arial" w:cs="Arial" w:eastAsia="Arial" w:hAnsi="Arial"/>
          <w:sz w:val="17"/>
          <w:szCs w:val="17"/>
          <w:color w:val="auto"/>
        </w:rPr>
        <w:t>The implementation of the Affordable Care Act in the U.S., for example, has changed healthcare financing and delivery by both governmental and private insurers substantially, and affected medical device manufacturers significantly. The Affordable Care Act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Affordable Care Act has expanded eligibility criteria for Medicaid programs and created a new Patient-Centered Outcomes Research Institute to oversee, identify priorities in and conduct comparative clinical effectiveness research, along with funding for such research. There have been judicial and Congressional challenges to certain aspects of the Affordable Care Act, and we expect additional challenges and amendments in the future. Moreover, the Biden Administration and the U.S. Congress may take further action regarding the Affordable Care Act. In 2017, the Tax Cuts and Jobs Acts was enacted, which, among other things, removed penalties for not complying with the individual mandate to carry health insurance, effective in 2019.</w:t>
      </w:r>
    </w:p>
    <w:p>
      <w:pPr>
        <w:spacing w:after="0" w:line="188"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In addition, other legislative changes have been adopted since the Affordable Care Act. For example, the Budget Control Act of 2011, among other things, included reductions to Medicare payments to providers of 2% per fiscal year, which went into effect on April 1, 2013 and will remain in effect through 2027 unless additional Congressional action is taken. Additionally, the American Taxpayer Relief Act of 2012, among other things, reduced Medicare payments to several providers, including hospitals, and increased the statute of limitations period for the government to recover overpayments to providers from three to five years.</w:t>
      </w:r>
    </w:p>
    <w:p>
      <w:pPr>
        <w:spacing w:after="0" w:line="191"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Anti-bribery and corruption laws</w:t>
      </w:r>
    </w:p>
    <w:p>
      <w:pPr>
        <w:spacing w:after="0" w:line="234"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Our U.S. operations are subject to the U.S. Foreign Corrupt Practices Act (the “FCPA”). We are required to comply with the FCPA, which generally prohibits covered entities and their intermediaries from engaging in bribery or making other prohibited payments to foreign officials to obtain or retain business or other benefits. In addition, the FCPA imposes accounting standards and requirements on publicly traded U.S. corporations and their foreign affiliates, which are intended to prevent the diversion of corporate funds to the payment of</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bribes and other improper payments, and to prevent the establishment of “off books” slush funds from which such improper payments can be made. We also are subject to similar anticorruption legislation implemented in Europe under the Organization for Economic Co-operation and Development’s Convention on Combating Bribery of Foreign Public Officials in International Business Transactions.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laws</w:t>
      </w:r>
    </w:p>
    <w:p>
      <w:pPr>
        <w:spacing w:after="0" w:line="234"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Our facilities and operations are also subject to complex federal, state, local and foreign environmental and occupational safety laws and regulations, including those relating to discharges of substances in the air, water and land, the handling, storage and disposal of wastes and the clean-up of properties contaminated by pollutants. We do not expect that the ongoing costs of compliance with these environmental requirements will have a material impact on our consolidated earnings, capital expenditures or competitive position.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Human capital management</w:t>
      </w:r>
    </w:p>
    <w:p>
      <w:pPr>
        <w:spacing w:after="0" w:line="234"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91"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As of December 31, 2022, we had approximately 160 employees worldwide, all of which were employed on a full-time basis. None of our employees is subject to a collective bargaining agreement or represented by a trade or labor union. We consider our relationship with our employees to be good.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mission</w:t>
      </w:r>
    </w:p>
    <w:p>
      <w:pPr>
        <w:spacing w:after="0" w:line="234" w:lineRule="exact"/>
        <w:rPr>
          <w:sz w:val="20"/>
          <w:szCs w:val="20"/>
          <w:color w:val="auto"/>
        </w:rPr>
      </w:pPr>
    </w:p>
    <w:p>
      <w:pPr>
        <w:ind w:left="60" w:right="399"/>
        <w:spacing w:after="0"/>
        <w:rPr>
          <w:sz w:val="20"/>
          <w:szCs w:val="20"/>
          <w:color w:val="auto"/>
        </w:rPr>
      </w:pPr>
      <w:r>
        <w:rPr>
          <w:rFonts w:ascii="Arial" w:cs="Arial" w:eastAsia="Arial" w:hAnsi="Arial"/>
          <w:sz w:val="18"/>
          <w:szCs w:val="18"/>
          <w:color w:val="auto"/>
        </w:rPr>
        <w:t>Our mission is to advance health for people everywhere, giving each patient a fuller life. In seeking to accomplish our mission, we rely on our values, which are central to our human capital management policies and practices. These values are:</w:t>
      </w:r>
    </w:p>
    <w:p>
      <w:pPr>
        <w:spacing w:after="0" w:line="189" w:lineRule="exact"/>
        <w:rPr>
          <w:sz w:val="20"/>
          <w:szCs w:val="20"/>
          <w:color w:val="auto"/>
        </w:rPr>
      </w:pPr>
    </w:p>
    <w:p>
      <w:pPr>
        <w:ind w:left="180" w:hanging="130"/>
        <w:spacing w:after="0"/>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Commitments are Sacred — Honor relationships by doing what we say, when we say we’ll do it.</w:t>
      </w:r>
    </w:p>
    <w:p>
      <w:pPr>
        <w:spacing w:after="0" w:line="211" w:lineRule="exact"/>
        <w:rPr>
          <w:rFonts w:ascii="Arial" w:cs="Arial" w:eastAsia="Arial" w:hAnsi="Arial"/>
          <w:sz w:val="18"/>
          <w:szCs w:val="18"/>
          <w:color w:val="231F20"/>
        </w:rPr>
      </w:pPr>
    </w:p>
    <w:p>
      <w:pPr>
        <w:ind w:left="180" w:right="299" w:hanging="130"/>
        <w:spacing w:after="0" w:line="246" w:lineRule="auto"/>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Bold Mindset, Driven Spirit — Always push the boundaries, energetically seeking out impactful opportunities and inspiring others.</w:t>
      </w:r>
    </w:p>
    <w:p>
      <w:pPr>
        <w:spacing w:after="0" w:line="196" w:lineRule="exact"/>
        <w:rPr>
          <w:rFonts w:ascii="Arial" w:cs="Arial" w:eastAsia="Arial" w:hAnsi="Arial"/>
          <w:sz w:val="18"/>
          <w:szCs w:val="18"/>
          <w:color w:val="231F20"/>
        </w:rPr>
      </w:pPr>
    </w:p>
    <w:p>
      <w:pPr>
        <w:ind w:left="180" w:right="139" w:hanging="130"/>
        <w:spacing w:after="0" w:line="246" w:lineRule="auto"/>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Pioneer with Purpose…and a Smile! — As individuals, team leaders and industry innovators, it’s how we pave the way forward that defines us.</w:t>
      </w:r>
    </w:p>
    <w:p>
      <w:pPr>
        <w:spacing w:after="0" w:line="196" w:lineRule="exact"/>
        <w:rPr>
          <w:rFonts w:ascii="Arial" w:cs="Arial" w:eastAsia="Arial" w:hAnsi="Arial"/>
          <w:sz w:val="18"/>
          <w:szCs w:val="18"/>
          <w:color w:val="231F20"/>
        </w:rPr>
      </w:pPr>
    </w:p>
    <w:p>
      <w:pPr>
        <w:ind w:left="180" w:hanging="130"/>
        <w:spacing w:after="0"/>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Collaborate with Enjoyment — Achieve goals and celebrate as a team.</w:t>
      </w:r>
    </w:p>
    <w:p>
      <w:pPr>
        <w:spacing w:after="0" w:line="211" w:lineRule="exact"/>
        <w:rPr>
          <w:rFonts w:ascii="Arial" w:cs="Arial" w:eastAsia="Arial" w:hAnsi="Arial"/>
          <w:sz w:val="18"/>
          <w:szCs w:val="18"/>
          <w:color w:val="231F20"/>
        </w:rPr>
      </w:pPr>
    </w:p>
    <w:p>
      <w:pPr>
        <w:ind w:left="180" w:right="1079" w:hanging="130"/>
        <w:spacing w:after="0" w:line="246" w:lineRule="auto"/>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Determination overcomes Targets — Determine the pathway, overcome obstacles, accelerate and successfully implement.</w:t>
      </w:r>
    </w:p>
    <w:p>
      <w:pPr>
        <w:spacing w:after="0" w:line="196" w:lineRule="exact"/>
        <w:rPr>
          <w:rFonts w:ascii="Arial" w:cs="Arial" w:eastAsia="Arial" w:hAnsi="Arial"/>
          <w:sz w:val="18"/>
          <w:szCs w:val="18"/>
          <w:color w:val="231F20"/>
        </w:rPr>
      </w:pPr>
    </w:p>
    <w:p>
      <w:pPr>
        <w:ind w:left="180" w:right="119" w:hanging="130"/>
        <w:spacing w:after="0" w:line="246" w:lineRule="auto"/>
        <w:tabs>
          <w:tab w:leader="none" w:pos="18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Embrace the Challenge of Change — Have an eye for identifying when change is needed, and the flexibility to chart a new course.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234"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are acutely focused on the health and safety of our employees in the workplace. Our health and safety team monitors various metrics in an effort to ensure we are providing a safe environment to work. These results are shared with relevant regulatory agencies as required and presented to our management team.</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1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make our Annual Reports on Form 10-K, Quarterly Reports on Form 10-Q, Current Reports on Form 8-K and amendments to those reports filed or furnished pursuant to Section 13(a) or 15(d) of the Exchange Act, available free of charge at our website as soon as reasonably practicable after they have been filed with, or furnished to, the U.S. Securities and Exchange Commission (the “SEC”). Our website address is www.cvrx.com. Information on our website is not part of this Annual Report on Form 10-K. The SEC maintains a website that contains the materials we file with the SEC at www.sec.gov.</w:t>
      </w: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Annual Report on Form 10-K,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reputation,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our business</w:t>
      </w:r>
    </w:p>
    <w:p>
      <w:pPr>
        <w:spacing w:after="0" w:line="239"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b w:val="1"/>
          <w:bCs w:val="1"/>
          <w:i w:val="1"/>
          <w:iCs w:val="1"/>
          <w:color w:val="231F20"/>
        </w:rPr>
        <w:t>We have a history of significant losses, which we expect to continue, and we may not be able to achieve or sustain profitability. If we do not achieve and sustain profitability, our financial condition could suffer.</w:t>
      </w:r>
    </w:p>
    <w:p>
      <w:pPr>
        <w:spacing w:after="0" w:line="19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have experienced significant net losses since our inception and we expect to continue to incur losses for the foreseeable future. We incurred net losses of $41.4 million and $43.1 million for the years ended December 31, 2022 and 2021, respectively. As of December 31, 2022 and 2021, our accumulated deficit was $436.2 million and $394.8 million, respectively. We expect to continue to incur significant sales and marketing, research and development, regulatory and other expenses as we grow our U.S. commercial sales force and expand our marketing efforts to increase adoption of Barostim, add new features to Barostim, obtain regulatory clearances or approvals for our planned or future products and conduct clinical trials on our existing and planned or future products.</w:t>
      </w:r>
    </w:p>
    <w:p>
      <w:pPr>
        <w:spacing w:after="0" w:line="194"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Until our IPO, we financed our operations primarily through convertible preferred stock financings and amounts borrowed under our previous loan and security agreement (“Horizon loan agreement”) with Horizon Technology Finance Corporation. We have devoted substantially all of our financial resources to research and development activities as well as general and administrative expenses associated with our operations, including clinical and regulatory initiatives to obtain marketing approval. Since our IPO, we have invested substantially in sales and marketing efforts to support commercialization of Barostim. We will need to continue to generate significant additional revenue in order to achieve and sustain profitability. Even if we achieve profitability in the future, we may not be able to sustain profitability in subsequent periods. Our expected future operating losses, combined with our prior operating losses, may adversely affect the market price of our common stock and our ability to raise capital and continue operations.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have a limited history operating as a commercial company and are highly dependent on a single</w:t>
      </w:r>
    </w:p>
    <w:p>
      <w:pPr>
        <w:spacing w:after="0" w:line="18" w:lineRule="exact"/>
        <w:rPr>
          <w:sz w:val="20"/>
          <w:szCs w:val="20"/>
          <w:color w:val="auto"/>
        </w:rPr>
      </w:pPr>
    </w:p>
    <w:p>
      <w:pPr>
        <w:ind w:left="60" w:right="199"/>
        <w:spacing w:after="0" w:line="235" w:lineRule="auto"/>
        <w:rPr>
          <w:sz w:val="20"/>
          <w:szCs w:val="20"/>
          <w:color w:val="auto"/>
        </w:rPr>
      </w:pPr>
      <w:r>
        <w:rPr>
          <w:rFonts w:ascii="Arial" w:cs="Arial" w:eastAsia="Arial" w:hAnsi="Arial"/>
          <w:sz w:val="18"/>
          <w:szCs w:val="18"/>
          <w:b w:val="1"/>
          <w:bCs w:val="1"/>
          <w:i w:val="1"/>
          <w:iCs w:val="1"/>
          <w:color w:val="231F20"/>
        </w:rPr>
        <w:t>product, Barostim. The failure to increase market acceptance in the U.S. for Barostim would negatively impact our business, liquidity and results of operations.</w:t>
      </w:r>
    </w:p>
    <w:p>
      <w:pPr>
        <w:spacing w:after="0" w:line="21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We first commercialized Barostim in the EEA in 2012 and in the U.S. in 2020 and therefore do not have a long history operating as a commercial company. We expect substantially all of our revenue to continue to be derived from sales of Barostim for the foreseeable future, the majority of which will be generated in the U.S. Because of its relatively recent commercial introduction in the U.S., Barostim has limited product and brand recognition. In addition, demand for Barostim may decline or may not continue to increase as quickly as we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expect. If we are unable to achieve significant market acceptance in the U.S. for Barostim, our results of operations will be adversely affected. Because we do not yet have other products currently in development, if we are unsuccessful in commercializing Barostim or are unable to market Barostim as a result of a quality problem, failure to maintain regulatory approvals, unexpected or serious complications or other unforeseen negative effects related to Barostim or the other factors discussed in these risk factors, we would lose our main source of revenue, and our business, reputation, liquidity and results of operations will be materially and adversely affected.</w:t>
      </w:r>
    </w:p>
    <w:p>
      <w:pPr>
        <w:spacing w:after="0" w:line="235"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b w:val="1"/>
          <w:bCs w:val="1"/>
          <w:i w:val="1"/>
          <w:iCs w:val="1"/>
          <w:color w:val="231F20"/>
        </w:rPr>
        <w:t>We have limited commercial sales experience marketing and selling Barostim, and if we are unable to continue to maintain and grow sales and marketing capabilities, we will be unable to generate sustained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and increasing product revenue.</w:t>
      </w:r>
    </w:p>
    <w:p>
      <w:pPr>
        <w:spacing w:after="0" w:line="212"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In order to generate future revenue growth, we plan to continue to expand the size and geographic scope of our U.S. direct sales and marketing organization. In order to increase our sales and marketing efforts, we will need to continue to retain, grow and develop a substantial number of direct sales personnel, which is a significant investment. There is significant competition for sales personnel experienced in relevant medical device sales. Once hired, the training process is lengthy because it requires significant education for new sales representatives to achieve the level of clinical competency with our products expected by physicians. Upon completion of the training, our sales representatives typically require lead time in the field to grow their network of accounts and achieve the productivity levels we expect them to reach in any individual territory. Furthermore, the use of our product will often require or benefit from direct support from us. If we are unable to attract, motivate, develop and retain a sufficient number of qualified sales personnel, and if our sales representatives do not achieve the productivity levels we expect them to reach, our revenue will not grow at the rate we expect, and our financial performance will suffer. Because the competition for direct medical sales personnel is high, we cannot be certain we will be able to hire and retain additional sales personnel on favorable or commercially reasonable terms, if at all. Failure to hire or retain qualified sales representatives would prevent us from expanding our business and generating anticipated revenue. Any of these risks may adversely affect our business.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must demonstrate to physicians and patients the merits of Barostim.</w:t>
      </w:r>
    </w:p>
    <w:p>
      <w:pPr>
        <w:spacing w:after="0" w:line="234" w:lineRule="exact"/>
        <w:rPr>
          <w:sz w:val="20"/>
          <w:szCs w:val="20"/>
          <w:color w:val="auto"/>
        </w:rPr>
      </w:pPr>
    </w:p>
    <w:p>
      <w:pPr>
        <w:ind w:left="60" w:right="199"/>
        <w:spacing w:after="0" w:line="251" w:lineRule="auto"/>
        <w:rPr>
          <w:sz w:val="20"/>
          <w:szCs w:val="20"/>
          <w:color w:val="auto"/>
        </w:rPr>
      </w:pPr>
      <w:r>
        <w:rPr>
          <w:rFonts w:ascii="Arial" w:cs="Arial" w:eastAsia="Arial" w:hAnsi="Arial"/>
          <w:sz w:val="17"/>
          <w:szCs w:val="17"/>
          <w:color w:val="auto"/>
        </w:rPr>
        <w:t>Physicians play a significant role in determining the course of a patient’s treatment and, subsequently, the type of product that will be used to treat a patient. As a result, our success depends, in large part, on effectively marketing Barostim to physicians. In order for us to sell Barostim, we must successfully demonstrate to physicians and patients the merits of Barostim Therapy for use in treating patients with HFrEF. Specifically, Barostim provides symptomatic relief for patients with NYHA Class III or II (with recent history of III), have a LVEF ≤ 35% and a NT-proBNP &lt; 1,600 pg/ml. Acceptance of Barostim depends on educating physicians as to the distinctive characteristics, perceived benefits, safety, ease of use and cost-effectiveness of Barostim and communicating to physicians the proper application of Barostim Therapy for patients who meet Barostim’s eligibility criteria. If we are not successful in convincing physicians of the merits of Barostim Therapy, they may not use Barostim and we may be unable to increase our sales, sustain our growth or achieve profitability.</w:t>
      </w:r>
    </w:p>
    <w:p>
      <w:pPr>
        <w:spacing w:after="0" w:line="18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In addition, physicians typically need to perform several procedures to become comfortable using Barostim. If a physician experiences difficulties during an initial procedure or otherwise, that physician may be less likely to continue to use our product or to recommend it to other physicians. It is critical to the success of our commercialization efforts to educate physicians on the proper use of Barostim, and to provide them with adequate product support during clinical procedures. If we do not provide support to physicians or do not adequately educate physicians on the benefits and proper use of Barostim, physicians may not use or advocate for Barostim. In such circumstances, our results of operations would be materially adversely affected.</w:t>
      </w:r>
    </w:p>
    <w:p>
      <w:pPr>
        <w:spacing w:after="0" w:line="189"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color w:val="auto"/>
        </w:rPr>
        <w:t>Patients may not choose or be able to receive Barostim if, among other potential reasons, they are reluctant to receive an implantable device as opposed to an alternative, non-implantable treatment, they are worried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619"/>
        <w:spacing w:after="0" w:line="246" w:lineRule="auto"/>
        <w:rPr>
          <w:sz w:val="20"/>
          <w:szCs w:val="20"/>
          <w:color w:val="auto"/>
        </w:rPr>
      </w:pPr>
      <w:r>
        <w:rPr>
          <w:rFonts w:ascii="Arial" w:cs="Arial" w:eastAsia="Arial" w:hAnsi="Arial"/>
          <w:sz w:val="18"/>
          <w:szCs w:val="18"/>
          <w:color w:val="auto"/>
        </w:rPr>
        <w:t>about potential adverse effects of Barostim, or they are unable to obtain adequate third-party coverage or reimbursement.</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industry is highly competitive. If our competitors, many of which are large, well-established</w:t>
      </w:r>
    </w:p>
    <w:p>
      <w:pPr>
        <w:spacing w:after="0" w:line="18" w:lineRule="exact"/>
        <w:rPr>
          <w:sz w:val="20"/>
          <w:szCs w:val="20"/>
          <w:color w:val="auto"/>
        </w:rPr>
      </w:pPr>
    </w:p>
    <w:p>
      <w:pPr>
        <w:ind w:left="60" w:right="139"/>
        <w:spacing w:after="0"/>
        <w:rPr>
          <w:sz w:val="20"/>
          <w:szCs w:val="20"/>
          <w:color w:val="auto"/>
        </w:rPr>
      </w:pPr>
      <w:r>
        <w:rPr>
          <w:rFonts w:ascii="Arial" w:cs="Arial" w:eastAsia="Arial" w:hAnsi="Arial"/>
          <w:sz w:val="17"/>
          <w:szCs w:val="17"/>
          <w:b w:val="1"/>
          <w:bCs w:val="1"/>
          <w:i w:val="1"/>
          <w:iCs w:val="1"/>
          <w:color w:val="231F20"/>
        </w:rPr>
        <w:t>companies with substantially greater resources than us and have a long history of competing in the HF market, are better able to develop and market products that are safer, more effective, less costly, easier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to use or otherwise more attractive than Barostim, our business will be adversely impacted.</w:t>
      </w:r>
    </w:p>
    <w:p>
      <w:pPr>
        <w:spacing w:after="0" w:line="225"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The medical device industry is highly competitive and subject to technological change. Our success depends, in part, upon our ability to establish a competitive position in the market by securing broad market acceptance of Barostim Therapy and Barostim for the treatment of HFrEF. Any product we develop that achieves regulatory clearance or approval, including Barostim, will have to compete for market acceptance and market share. We believe that the primary competitive factors in the market are demonstrated clinical effectiveness, product safety, reliability and durability, ease of use, product support and service, minimal side effects and salesforce experience. Many of our current and potential competitors that are addressing other HF indications are publicly traded, or are divisions of publicly-traded, established medical device companies that have substantially greater financial, technical, sales and marketing resources than we do, such as Medtronic plc, Boston Scientific Corporation, Abbott Laboratories and LivaNova PLC. We may also face competition from other competitors, such as Impulse Dynamics, which is a private company with a medical device indicated for a subset of our target patient population, or companies with active system development programs that may emerge in the future. Many of the companies developing or marketing competing products enjoy several advantages over us, including, among others:</w:t>
      </w:r>
    </w:p>
    <w:p>
      <w:pPr>
        <w:spacing w:after="0" w:line="200" w:lineRule="exact"/>
        <w:rPr>
          <w:sz w:val="20"/>
          <w:szCs w:val="20"/>
          <w:color w:val="auto"/>
        </w:rPr>
      </w:pPr>
    </w:p>
    <w:p>
      <w:pPr>
        <w:ind w:left="380" w:hanging="127"/>
        <w:spacing w:after="0"/>
        <w:tabs>
          <w:tab w:leader="none" w:pos="3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more experienced sales forces;</w:t>
      </w:r>
    </w:p>
    <w:p>
      <w:pPr>
        <w:spacing w:after="0" w:line="76" w:lineRule="exact"/>
        <w:rPr>
          <w:rFonts w:ascii="Arial" w:cs="Arial" w:eastAsia="Arial" w:hAnsi="Arial"/>
          <w:sz w:val="18"/>
          <w:szCs w:val="18"/>
          <w:color w:val="231F20"/>
        </w:rPr>
      </w:pPr>
    </w:p>
    <w:p>
      <w:pPr>
        <w:ind w:left="380" w:hanging="127"/>
        <w:spacing w:after="0"/>
        <w:tabs>
          <w:tab w:leader="none" w:pos="3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greater name recognition;</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more established sales and marketing programs and distribution networks;</w:t>
      </w:r>
    </w:p>
    <w:p>
      <w:pPr>
        <w:spacing w:after="0" w:line="76" w:lineRule="exact"/>
        <w:rPr>
          <w:rFonts w:ascii="Arial" w:cs="Arial" w:eastAsia="Arial" w:hAnsi="Arial"/>
          <w:sz w:val="18"/>
          <w:szCs w:val="18"/>
          <w:color w:val="231F20"/>
        </w:rPr>
      </w:pPr>
    </w:p>
    <w:p>
      <w:pPr>
        <w:ind w:left="380" w:hanging="127"/>
        <w:spacing w:after="0"/>
        <w:tabs>
          <w:tab w:leader="none" w:pos="3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earlier regulatory approval;</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long established relationships with physicians and hospitals;</w:t>
      </w:r>
    </w:p>
    <w:p>
      <w:pPr>
        <w:spacing w:after="0" w:line="85" w:lineRule="exact"/>
        <w:rPr>
          <w:rFonts w:ascii="Arial" w:cs="Arial" w:eastAsia="Arial" w:hAnsi="Arial"/>
          <w:sz w:val="18"/>
          <w:szCs w:val="18"/>
          <w:color w:val="231F20"/>
        </w:rPr>
      </w:pPr>
    </w:p>
    <w:p>
      <w:pPr>
        <w:ind w:left="380" w:hanging="127"/>
        <w:spacing w:after="0"/>
        <w:tabs>
          <w:tab w:leader="none" w:pos="3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significant patent portfolios, including issued U.S. and foreign patents and pending patent applications, as</w:t>
      </w:r>
    </w:p>
    <w:p>
      <w:pPr>
        <w:ind w:left="380"/>
        <w:spacing w:after="0"/>
        <w:rPr>
          <w:sz w:val="20"/>
          <w:szCs w:val="20"/>
          <w:color w:val="auto"/>
        </w:rPr>
      </w:pPr>
      <w:r>
        <w:rPr>
          <w:rFonts w:ascii="Arial" w:cs="Arial" w:eastAsia="Arial" w:hAnsi="Arial"/>
          <w:sz w:val="18"/>
          <w:szCs w:val="18"/>
          <w:color w:val="auto"/>
        </w:rPr>
        <w:t>well as the resources to enforce patents against us or any of our third-party suppliers and distributors;</w:t>
      </w:r>
    </w:p>
    <w:p>
      <w:pPr>
        <w:spacing w:after="0" w:line="77" w:lineRule="exact"/>
        <w:rPr>
          <w:sz w:val="20"/>
          <w:szCs w:val="20"/>
          <w:color w:val="auto"/>
        </w:rPr>
      </w:pPr>
    </w:p>
    <w:p>
      <w:pPr>
        <w:ind w:left="380" w:hanging="127"/>
        <w:spacing w:after="0"/>
        <w:tabs>
          <w:tab w:leader="none" w:pos="3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the ability to acquire and integrate our competitors and/or their technology;</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demonstrated ability to develop product enhancements and new product offerings;</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established history of product reliability, safety and durability;</w:t>
      </w:r>
    </w:p>
    <w:p>
      <w:pPr>
        <w:spacing w:after="0" w:line="76" w:lineRule="exact"/>
        <w:rPr>
          <w:rFonts w:ascii="Arial" w:cs="Arial" w:eastAsia="Arial" w:hAnsi="Arial"/>
          <w:sz w:val="18"/>
          <w:szCs w:val="18"/>
          <w:color w:val="231F20"/>
        </w:rPr>
      </w:pPr>
    </w:p>
    <w:p>
      <w:pPr>
        <w:ind w:left="380" w:hanging="127"/>
        <w:spacing w:after="0"/>
        <w:tabs>
          <w:tab w:leader="none" w:pos="3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the ability to offer rebates or bundle multiple product offerings to offer greater discounts or incentives;</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greater financial and human resources for product development, sales and marketing; and</w:t>
      </w:r>
    </w:p>
    <w:p>
      <w:pPr>
        <w:spacing w:after="0" w:line="90" w:lineRule="exact"/>
        <w:rPr>
          <w:rFonts w:ascii="Arial" w:cs="Arial" w:eastAsia="Arial" w:hAnsi="Arial"/>
          <w:sz w:val="18"/>
          <w:szCs w:val="18"/>
          <w:color w:val="231F20"/>
        </w:rPr>
      </w:pPr>
    </w:p>
    <w:p>
      <w:pPr>
        <w:ind w:left="380" w:right="279" w:hanging="127"/>
        <w:spacing w:after="0"/>
        <w:tabs>
          <w:tab w:leader="none" w:pos="3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greater experience in and resources for conducting research and development, clinical studies, manufacturing, preparing regulatory submissions, obtaining regulatory clearance or approval for products and marketing approved products.</w:t>
      </w:r>
    </w:p>
    <w:p>
      <w:pPr>
        <w:spacing w:after="0" w:line="68"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Our competitors may develop and patent processes or products earlier than us, obtain patents that may apply to us at any time, obtain regulatory clearance or approvals for competing products more rapidly than us or develop more effective or less expensive products or technologies that render our technology or products obsolete or less competitive. We also face fierce competition, particularly in this tight labor market, in recruiting and retaining qualified sales, scientific and management personnel, establishing clinical trial sites and enrolling patients in clinical studies. If our competitors are more successful than us in these matters, our business may be harmed. In addition, we face a particular challenge overcoming the long-standing practices by some physicians of using the products of our larger, more established competitors. Physicians who have completed many successful implants using the products made by these competitors may be reluctant to try new products from a source with which they are less familiar. If these physicians do not try and subsequently adopt our product, then our revenue growth will slow or decline.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If we fail to receive access to hospitals, our sales may decrease.</w:t>
      </w:r>
    </w:p>
    <w:p>
      <w:pPr>
        <w:spacing w:after="0" w:line="23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the U.S., in order for physicians to use Barostim, we expect that the hospitals where these physicians treat patients will typically require us to enter into purchasing contracts. This process can be lengthy, time-consuming and require extensive negotiations and management time, which could include an approval by a customer’s value analysis committee. In the EEA, from time to time certain institutions require us to engage in a contract bidding process in the event that such institutions are considering making purchase commitments that exceed specified cost thresholds, which vary by jurisdiction. These processes are only open at certain periods of time, and we may not be successful in the bidding process. If we do not receive access to hospitals via these contracting processes or otherwise, or if we are unable to secure contracts or tender successful bids, our sales may decrease and our operating results may be harmed. Furthermore, we may expend significant effort in these time-consuming processes and still may not obtain a purchase contract from such hospitals.</w:t>
      </w:r>
    </w:p>
    <w:p>
      <w:pPr>
        <w:spacing w:after="0" w:line="170" w:lineRule="exact"/>
        <w:rPr>
          <w:sz w:val="20"/>
          <w:szCs w:val="20"/>
          <w:color w:val="auto"/>
        </w:rPr>
      </w:pPr>
    </w:p>
    <w:p>
      <w:pPr>
        <w:ind w:left="60" w:right="279"/>
        <w:spacing w:after="0" w:line="283" w:lineRule="auto"/>
        <w:rPr>
          <w:sz w:val="20"/>
          <w:szCs w:val="20"/>
          <w:color w:val="auto"/>
        </w:rPr>
      </w:pPr>
      <w:r>
        <w:rPr>
          <w:rFonts w:ascii="Arial" w:cs="Arial" w:eastAsia="Arial" w:hAnsi="Arial"/>
          <w:sz w:val="17"/>
          <w:szCs w:val="17"/>
          <w:b w:val="1"/>
          <w:bCs w:val="1"/>
          <w:i w:val="1"/>
          <w:iCs w:val="1"/>
          <w:color w:val="231F20"/>
        </w:rPr>
        <w:t>We are dependent upon third-party manufacturers and suppliers, and in some cases a limited number of suppliers, making us vulnerable to supply shortages, loss or degradation in performance of the suppliers, price fluctuations and ongoing supply chain disruptions, which could harm our business.</w:t>
      </w:r>
    </w:p>
    <w:p>
      <w:pPr>
        <w:spacing w:after="0" w:line="168"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currently source certain components for Barostim from a limited number of suppliers. Our ability to supply Barostim commercially depends, in part, on our ability to obtain a supply of these components that has been manufactured in accordance with regulatory requirements and in sufficient quantities for commercialization and clinical testing. We have not entered into manufacturing, supply or quality agreements with most of our limited suppliers, some of which supply components critical to our products, such as modules, batteries and electrodes. We cannot guarantee that our suppliers will be able to meet our demand for their products and services, either because of the nature of our arrangements with those suppliers, our limited experience with those suppliers, or due to our relative importance as a customer to those suppliers. Further, due to our limited operating history and expected future expansion, it may be difficult for us to assess their ability to timely meet our demand in the future based on past performance.</w:t>
      </w:r>
    </w:p>
    <w:p>
      <w:pPr>
        <w:spacing w:after="0" w:line="19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Our suppliers may encounter problems during manufacturing for a variety of reasons, including, for example, failure to follow specific protocols and procedures, failure to comply with applicable legal and regulatory requirements, equipment malfunction and environmental factors, failure to properly conduct their own business affairs and infringement of third-party intellectual property rights, any of which could delay or impede their ability to meet our requirements. Our reliance on these third-party suppliers also subjects us to other risks that could harm our business, including, among others:</w:t>
      </w:r>
    </w:p>
    <w:p>
      <w:pPr>
        <w:spacing w:after="0" w:line="205" w:lineRule="exact"/>
        <w:rPr>
          <w:sz w:val="20"/>
          <w:szCs w:val="20"/>
          <w:color w:val="auto"/>
        </w:rPr>
      </w:pPr>
    </w:p>
    <w:p>
      <w:pPr>
        <w:ind w:left="540" w:right="579" w:hanging="139"/>
        <w:spacing w:after="0" w:line="277" w:lineRule="auto"/>
        <w:tabs>
          <w:tab w:leader="none" w:pos="54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we are not a major customer of many of our suppliers, and these suppliers may therefore give other customers’ needs higher priority than ours;</w:t>
      </w:r>
    </w:p>
    <w:p>
      <w:pPr>
        <w:spacing w:after="0" w:line="75" w:lineRule="exact"/>
        <w:rPr>
          <w:rFonts w:ascii="Arial" w:cs="Arial" w:eastAsia="Arial" w:hAnsi="Arial"/>
          <w:sz w:val="18"/>
          <w:szCs w:val="18"/>
          <w:color w:val="231F20"/>
        </w:rPr>
      </w:pPr>
    </w:p>
    <w:p>
      <w:pPr>
        <w:ind w:left="540" w:right="79" w:hanging="139"/>
        <w:spacing w:after="0" w:line="324" w:lineRule="auto"/>
        <w:tabs>
          <w:tab w:leader="none" w:pos="540" w:val="left"/>
        </w:tabs>
        <w:numPr>
          <w:ilvl w:val="0"/>
          <w:numId w:val="26"/>
        </w:numPr>
        <w:rPr>
          <w:rFonts w:ascii="Arial" w:cs="Arial" w:eastAsia="Arial" w:hAnsi="Arial"/>
          <w:sz w:val="17"/>
          <w:szCs w:val="17"/>
          <w:color w:val="231F20"/>
        </w:rPr>
      </w:pPr>
      <w:r>
        <w:rPr>
          <w:rFonts w:ascii="Arial" w:cs="Arial" w:eastAsia="Arial" w:hAnsi="Arial"/>
          <w:sz w:val="17"/>
          <w:szCs w:val="17"/>
          <w:color w:val="auto"/>
        </w:rPr>
        <w:t>third parties may threaten or enforce their intellectual property rights against our suppliers, which may cause disruptions or delays in shipment, or may force our suppliers to cease conducting business with us;</w:t>
      </w:r>
    </w:p>
    <w:p>
      <w:pPr>
        <w:spacing w:after="0" w:line="39" w:lineRule="exact"/>
        <w:rPr>
          <w:rFonts w:ascii="Arial" w:cs="Arial" w:eastAsia="Arial" w:hAnsi="Arial"/>
          <w:sz w:val="17"/>
          <w:szCs w:val="17"/>
          <w:color w:val="231F20"/>
        </w:rPr>
      </w:pPr>
    </w:p>
    <w:p>
      <w:pPr>
        <w:ind w:left="540" w:right="259" w:hanging="139"/>
        <w:spacing w:after="0" w:line="293" w:lineRule="auto"/>
        <w:tabs>
          <w:tab w:leader="none" w:pos="54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we may not be able to obtain an adequate supply of components in a timely manner or on commercially reasonable terms;</w:t>
      </w:r>
    </w:p>
    <w:p>
      <w:pPr>
        <w:spacing w:after="0" w:line="61" w:lineRule="exact"/>
        <w:rPr>
          <w:rFonts w:ascii="Arial" w:cs="Arial" w:eastAsia="Arial" w:hAnsi="Arial"/>
          <w:sz w:val="18"/>
          <w:szCs w:val="18"/>
          <w:color w:val="231F20"/>
        </w:rPr>
      </w:pPr>
    </w:p>
    <w:p>
      <w:pPr>
        <w:ind w:left="540" w:right="99" w:hanging="139"/>
        <w:spacing w:after="0" w:line="277" w:lineRule="auto"/>
        <w:tabs>
          <w:tab w:leader="none" w:pos="54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our suppliers, especially new suppliers, may make errors in manufacturing that could negatively affect the efficacy or safety of Barostim or cause delays in shipment;</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we may have difficulty locating and qualifying alternative suppliers;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switching components or suppliers may require product redesign and possibly submission to the FDA,</w:t>
      </w:r>
    </w:p>
    <w:p>
      <w:pPr>
        <w:spacing w:after="0" w:line="36" w:lineRule="exact"/>
        <w:rPr>
          <w:rFonts w:ascii="Arial" w:cs="Arial" w:eastAsia="Arial" w:hAnsi="Arial"/>
          <w:sz w:val="18"/>
          <w:szCs w:val="18"/>
          <w:color w:val="231F20"/>
        </w:rPr>
      </w:pPr>
    </w:p>
    <w:p>
      <w:pPr>
        <w:ind w:left="540" w:right="99"/>
        <w:spacing w:after="0" w:line="279" w:lineRule="auto"/>
        <w:rPr>
          <w:rFonts w:ascii="Arial" w:cs="Arial" w:eastAsia="Arial" w:hAnsi="Arial"/>
          <w:sz w:val="18"/>
          <w:szCs w:val="18"/>
          <w:color w:val="231F20"/>
        </w:rPr>
      </w:pPr>
      <w:r>
        <w:rPr>
          <w:rFonts w:ascii="Arial" w:cs="Arial" w:eastAsia="Arial" w:hAnsi="Arial"/>
          <w:sz w:val="18"/>
          <w:szCs w:val="18"/>
          <w:color w:val="auto"/>
        </w:rPr>
        <w:t>EEA or other foreign regulatory bodies, which could significantly impede or delay our commercial activities; one or more of our limited source suppliers may be unwilling or unable to supply components of Barostim;</w:t>
      </w:r>
    </w:p>
    <w:p>
      <w:pPr>
        <w:spacing w:after="0" w:line="88" w:lineRule="exact"/>
        <w:rPr>
          <w:rFonts w:ascii="Arial" w:cs="Arial" w:eastAsia="Arial" w:hAnsi="Arial"/>
          <w:sz w:val="18"/>
          <w:szCs w:val="18"/>
          <w:color w:val="231F20"/>
        </w:rPr>
      </w:pPr>
    </w:p>
    <w:p>
      <w:pPr>
        <w:ind w:left="540" w:hanging="139"/>
        <w:spacing w:after="0"/>
        <w:tabs>
          <w:tab w:leader="none" w:pos="54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other customers may use fair or unfair negotiation tactics and/or pressures to impede our use of the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supplier;</w:t>
      </w:r>
    </w:p>
    <w:p>
      <w:pPr>
        <w:spacing w:after="0" w:line="131" w:lineRule="exact"/>
        <w:rPr>
          <w:sz w:val="20"/>
          <w:szCs w:val="20"/>
          <w:color w:val="auto"/>
        </w:rPr>
      </w:pPr>
    </w:p>
    <w:p>
      <w:pPr>
        <w:ind w:left="540" w:right="459" w:hanging="139"/>
        <w:spacing w:after="0" w:line="293" w:lineRule="auto"/>
        <w:tabs>
          <w:tab w:leader="none" w:pos="54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we do not conduct formal environmental, social or governance due diligence on our supply chain and thus may not be aware if our suppliers pose such risks;</w:t>
      </w:r>
    </w:p>
    <w:p>
      <w:pPr>
        <w:spacing w:after="0" w:line="61" w:lineRule="exact"/>
        <w:rPr>
          <w:rFonts w:ascii="Arial" w:cs="Arial" w:eastAsia="Arial" w:hAnsi="Arial"/>
          <w:sz w:val="18"/>
          <w:szCs w:val="18"/>
          <w:color w:val="231F20"/>
        </w:rPr>
      </w:pPr>
    </w:p>
    <w:p>
      <w:pPr>
        <w:ind w:left="540" w:right="139" w:hanging="139"/>
        <w:spacing w:after="0" w:line="277" w:lineRule="auto"/>
        <w:tabs>
          <w:tab w:leader="none" w:pos="54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the occurrence of a fire, natural disaster or other catastrophe impacting one or more of our suppliers may affect their ability to deliver products to us in a timely manner; and</w:t>
      </w:r>
    </w:p>
    <w:p>
      <w:pPr>
        <w:spacing w:after="0" w:line="75" w:lineRule="exact"/>
        <w:rPr>
          <w:rFonts w:ascii="Arial" w:cs="Arial" w:eastAsia="Arial" w:hAnsi="Arial"/>
          <w:sz w:val="18"/>
          <w:szCs w:val="18"/>
          <w:color w:val="231F20"/>
        </w:rPr>
      </w:pPr>
    </w:p>
    <w:p>
      <w:pPr>
        <w:ind w:left="540" w:right="199" w:hanging="139"/>
        <w:spacing w:after="0" w:line="293" w:lineRule="auto"/>
        <w:tabs>
          <w:tab w:leader="none" w:pos="54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our suppliers may encounter financial or other business hardships unrelated to our demand, which could inhibit their ability to fulfill our orders and meet our requirements.</w:t>
      </w:r>
    </w:p>
    <w:p>
      <w:pPr>
        <w:spacing w:after="0" w:line="48"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Establishing additional or replacement suppliers for the components or processes used in Barostim, if required, could be time-consuming and expensive. If we are able to find a replacement supplier, such replacement supplier would need to be qualified and may require additional regulatory authority approval, which could result in further delay. While we seek to maintain adequate inventory of the limited sourced components and materials used in our products, any interruption or delay in the supply of components or materials, or our inability to obtain components or materials from alternate sources at acceptable prices in a timely manner, could impair our ability to meet the demand of our customers and cause them to cancel orders. Given our reliance on certain limited source suppliers, we are especially susceptible to supply shortages because we have limited alternate suppliers currently available.</w:t>
      </w:r>
    </w:p>
    <w:p>
      <w:pPr>
        <w:spacing w:after="0" w:line="158" w:lineRule="exact"/>
        <w:rPr>
          <w:sz w:val="20"/>
          <w:szCs w:val="20"/>
          <w:color w:val="auto"/>
        </w:rPr>
      </w:pPr>
    </w:p>
    <w:p>
      <w:pPr>
        <w:ind w:left="60" w:right="239"/>
        <w:spacing w:after="0" w:line="256" w:lineRule="auto"/>
        <w:rPr>
          <w:sz w:val="20"/>
          <w:szCs w:val="20"/>
          <w:color w:val="auto"/>
        </w:rPr>
      </w:pPr>
      <w:r>
        <w:rPr>
          <w:rFonts w:ascii="Arial" w:cs="Arial" w:eastAsia="Arial" w:hAnsi="Arial"/>
          <w:sz w:val="18"/>
          <w:szCs w:val="18"/>
          <w:b w:val="1"/>
          <w:bCs w:val="1"/>
          <w:i w:val="1"/>
          <w:iCs w:val="1"/>
          <w:color w:val="231F20"/>
        </w:rPr>
        <w:t>Manufacturing risks may adversely affect our ability to manufacture our product and could reduce our gross margin and profitability.</w:t>
      </w:r>
    </w:p>
    <w:p>
      <w:pPr>
        <w:spacing w:after="0" w:line="201" w:lineRule="exact"/>
        <w:rPr>
          <w:sz w:val="20"/>
          <w:szCs w:val="20"/>
          <w:color w:val="auto"/>
        </w:rPr>
      </w:pPr>
    </w:p>
    <w:p>
      <w:pPr>
        <w:ind w:left="60" w:right="159"/>
        <w:spacing w:after="0" w:line="264" w:lineRule="auto"/>
        <w:rPr>
          <w:sz w:val="20"/>
          <w:szCs w:val="20"/>
          <w:color w:val="auto"/>
        </w:rPr>
      </w:pPr>
      <w:r>
        <w:rPr>
          <w:rFonts w:ascii="Arial" w:cs="Arial" w:eastAsia="Arial" w:hAnsi="Arial"/>
          <w:sz w:val="18"/>
          <w:szCs w:val="18"/>
          <w:color w:val="231F20"/>
        </w:rPr>
        <w:t>Our business strategy depends on our ability to manufacture our current and future products in sufficient quantities and on a timely basis so as to meet consumer demand, while adhering to product quality standards, complying with regulatory requirements and managing manufacturing costs. We are subject to numerous risks relating to our manufacturing capabilities, including:</w:t>
      </w:r>
    </w:p>
    <w:p>
      <w:pPr>
        <w:spacing w:after="0" w:line="88" w:lineRule="exact"/>
        <w:rPr>
          <w:sz w:val="20"/>
          <w:szCs w:val="20"/>
          <w:color w:val="auto"/>
        </w:rPr>
      </w:pPr>
    </w:p>
    <w:p>
      <w:pPr>
        <w:ind w:left="540" w:right="439" w:hanging="139"/>
        <w:spacing w:after="0" w:line="277" w:lineRule="auto"/>
        <w:tabs>
          <w:tab w:leader="none" w:pos="5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quality or reliability defects in product components that we source from third-party suppliers, including manufacturing compliance with federal and state regulations;</w:t>
      </w:r>
    </w:p>
    <w:p>
      <w:pPr>
        <w:spacing w:after="0" w:line="75" w:lineRule="exact"/>
        <w:rPr>
          <w:rFonts w:ascii="Arial" w:cs="Arial" w:eastAsia="Arial" w:hAnsi="Arial"/>
          <w:sz w:val="18"/>
          <w:szCs w:val="18"/>
          <w:color w:val="231F20"/>
        </w:rPr>
      </w:pPr>
    </w:p>
    <w:p>
      <w:pPr>
        <w:ind w:left="540" w:right="219" w:hanging="139"/>
        <w:spacing w:after="0" w:line="277" w:lineRule="auto"/>
        <w:tabs>
          <w:tab w:leader="none" w:pos="5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our inability to secure product components in a timely manner, in sufficient quantities or on commercially reasonable terms;</w:t>
      </w:r>
    </w:p>
    <w:p>
      <w:pPr>
        <w:spacing w:after="0" w:line="62" w:lineRule="exact"/>
        <w:rPr>
          <w:rFonts w:ascii="Arial" w:cs="Arial" w:eastAsia="Arial" w:hAnsi="Arial"/>
          <w:sz w:val="18"/>
          <w:szCs w:val="18"/>
          <w:color w:val="231F20"/>
        </w:rPr>
      </w:pPr>
    </w:p>
    <w:p>
      <w:pPr>
        <w:ind w:left="540" w:hanging="139"/>
        <w:spacing w:after="0"/>
        <w:tabs>
          <w:tab w:leader="none" w:pos="5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our failure to increase production of products to meet demand;</w:t>
      </w:r>
    </w:p>
    <w:p>
      <w:pPr>
        <w:spacing w:after="0" w:line="117" w:lineRule="exact"/>
        <w:rPr>
          <w:rFonts w:ascii="Arial" w:cs="Arial" w:eastAsia="Arial" w:hAnsi="Arial"/>
          <w:sz w:val="18"/>
          <w:szCs w:val="18"/>
          <w:color w:val="231F20"/>
        </w:rPr>
      </w:pPr>
    </w:p>
    <w:p>
      <w:pPr>
        <w:ind w:left="540" w:right="419" w:hanging="139"/>
        <w:spacing w:after="0" w:line="277" w:lineRule="auto"/>
        <w:tabs>
          <w:tab w:leader="none" w:pos="5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our inability to modify production lines to enable us to efficiently produce future products or implement changes in current products in response to regulatory requirements; and</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potential damage to or destruction of our manufacturing equipment or manufacturing facility.</w:t>
      </w:r>
    </w:p>
    <w:p>
      <w:pPr>
        <w:spacing w:after="0" w:line="252" w:lineRule="exact"/>
        <w:rPr>
          <w:sz w:val="20"/>
          <w:szCs w:val="20"/>
          <w:color w:val="auto"/>
        </w:rPr>
      </w:pPr>
    </w:p>
    <w:p>
      <w:pPr>
        <w:ind w:left="60" w:right="99"/>
        <w:spacing w:after="0" w:line="265" w:lineRule="auto"/>
        <w:rPr>
          <w:sz w:val="20"/>
          <w:szCs w:val="20"/>
          <w:color w:val="auto"/>
        </w:rPr>
      </w:pPr>
      <w:r>
        <w:rPr>
          <w:rFonts w:ascii="Arial" w:cs="Arial" w:eastAsia="Arial" w:hAnsi="Arial"/>
          <w:sz w:val="18"/>
          <w:szCs w:val="18"/>
          <w:color w:val="231F20"/>
        </w:rPr>
        <w:t>If demand for Barostim increases, we will have to invest additional resources to purchase components, hire and train employees and enhance our manufacturing processes. If we fail to increase our production capacity efficiently, our sales may not increase in line with our forecasts and our operating margins could fluctuate or decline. In addition, although we expect some of our product candidates in development to share product features and components with Barostim, manufacturing of these product candidates may require the modification of our production lines, the hiring of specialized employees, the identification of new suppliers for specific components, or the development of new manufacturing technologies. It may not be possible for us to manufacture these product candidates at a cost or in quantities sufficient to make these product candidates commercially viable. Any of these factors may affect our ability to manufacture our product and could reduce our gross margin and profitability.</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operate at a facility in one location and any disruption at this facility could harm our business.</w:t>
      </w:r>
    </w:p>
    <w:p>
      <w:pPr>
        <w:spacing w:after="0" w:line="193" w:lineRule="exact"/>
        <w:rPr>
          <w:sz w:val="20"/>
          <w:szCs w:val="20"/>
          <w:color w:val="auto"/>
        </w:rPr>
      </w:pPr>
    </w:p>
    <w:p>
      <w:pPr>
        <w:jc w:val="both"/>
        <w:ind w:left="60" w:right="119"/>
        <w:spacing w:after="0"/>
        <w:rPr>
          <w:sz w:val="20"/>
          <w:szCs w:val="20"/>
          <w:color w:val="auto"/>
        </w:rPr>
      </w:pPr>
      <w:r>
        <w:rPr>
          <w:rFonts w:ascii="Arial" w:cs="Arial" w:eastAsia="Arial" w:hAnsi="Arial"/>
          <w:sz w:val="18"/>
          <w:szCs w:val="18"/>
          <w:color w:val="auto"/>
        </w:rPr>
        <w:t>Our principal offices and our only manufacturing facility are located in Minneapolis, Minnesota. Substantially all of our operations are conducted at this location, including our manufacturing processes, research, development and engineering activities, customer and technical support and management and administrative</w:t>
      </w:r>
    </w:p>
    <w:p>
      <w:pPr>
        <w:sectPr>
          <w:pgSz w:w="11900" w:h="16838" w:orient="portrait"/>
          <w:cols w:equalWidth="0" w:num="1">
            <w:col w:w="9019"/>
          </w:cols>
          <w:pgMar w:left="1440" w:top="517" w:right="1440"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auto"/>
        </w:rPr>
        <w:t>functions. In addition, substantially all of our inventory of component supplies and finished goods is held at the manufacturing facility. Vandalism, terrorism or a natural or other disaster, such as a fire or flood, could damage or destroy our manufacturing equipment or our inventory of component supplies or finished goods, cause substantial delays in our operations, result in the loss of key information and cause us to incur additional expenses. Our manufacturing facility in Minneapolis, Minnesota is our only manufacturing facility, and if it is damaged or rendered inoperable or inaccessible due to political, social or economic upheaval or due to natural or other disasters, it would be difficult or impossible for us to manufacture our product for a period of time, which may lead to a loss of customers and significant impairment of our financial condition and operating results.</w:t>
      </w:r>
    </w:p>
    <w:p>
      <w:pPr>
        <w:spacing w:after="0" w:line="181"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We take precautions to safeguard this facility, including acquiring insurance, employing back-up generators, adopting health and safety protocols and utilizing off-site storage of computer data. Our insurance may not cover our losses in any particular case. In addition, regardless of the level of insurance coverage, damage to our facility may harm our business, financial condition and operating results.</w:t>
      </w:r>
    </w:p>
    <w:p>
      <w:pPr>
        <w:spacing w:after="0" w:line="169" w:lineRule="exact"/>
        <w:rPr>
          <w:sz w:val="20"/>
          <w:szCs w:val="20"/>
          <w:color w:val="auto"/>
        </w:rPr>
      </w:pPr>
    </w:p>
    <w:p>
      <w:pPr>
        <w:ind w:left="60" w:right="459"/>
        <w:spacing w:after="0" w:line="318" w:lineRule="auto"/>
        <w:rPr>
          <w:sz w:val="20"/>
          <w:szCs w:val="20"/>
          <w:color w:val="auto"/>
        </w:rPr>
      </w:pPr>
      <w:r>
        <w:rPr>
          <w:rFonts w:ascii="Arial" w:cs="Arial" w:eastAsia="Arial" w:hAnsi="Arial"/>
          <w:sz w:val="17"/>
          <w:szCs w:val="17"/>
          <w:b w:val="1"/>
          <w:bCs w:val="1"/>
          <w:i w:val="1"/>
          <w:iCs w:val="1"/>
          <w:color w:val="231F20"/>
        </w:rPr>
        <w:t>A pandemic, epidemic or outbreak of an infectious disease in the U.S. or worldwide, including the outbreak of the novel strain of coronavirus disease, COVID-19, could adversely affect our business.</w:t>
      </w:r>
    </w:p>
    <w:p>
      <w:pPr>
        <w:spacing w:after="0" w:line="98"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Pandemics, epidemics or outbreaks of an infectious disease may adversely affect our business. The COVID-19 pandemic has negatively impacted our business, financial condition and results of operations by decreasing and delaying the number of procedures performed using Barostim and the pandemic may continue to negatively impact our business, financial condition and results of operations. Similar to the general trend in elective and other surgical procedures, the number of procedures performed using Barostim decreased significantly when healthcare organizations in the U.S. prioritized the treatment of patients with COVID-19 or altered their operations to prepare for and respond to the pandemic. By the beginning of the fourth quarter of 2020, implant centers had resumed procedures in the U.S. and Europe; however, procedure volumes were again negatively impacted by the Delta and Omicron variants of COVID-19 in the third and fourth quarters of 2021 and continuing into the first quarter of 2022. By March 2022 and continuing through the date of this Annual Report on Form 10-K, implant centers resumed procedures at more normal levels.</w:t>
      </w:r>
    </w:p>
    <w:p>
      <w:pPr>
        <w:spacing w:after="0" w:line="191"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Numerous state and local jurisdictions have imposed, and others in the future may impose, “shelter-in-place” orders, quarantines, executive orders and similar government orders and restrictions for their residents to control the spread of COVID-19. Such orders or restrictions previously resulted in reduced operations at our headquarters, slowdowns and delays, travel restrictions and cancellation of events and restricted the ability of our front-line sales representatives to attend procedures in which our products are used, among other effects, thereby negatively impacting our operations. Other disruptions or potential disruptions include restrictions on the ability of our sales representatives and other personnel to travel and access customers for training and case support; inability of our suppliers to manufacture components and parts and to deliver these to us on a timely basis, or at all; disruptions in our production schedule and ability to manufacture and assemble products; inventory shortages or obsolescence; delays in actions of regulatory bodies; and delays in clinical trials and studies, especially if study subjects are reluctant to present themselves at medical facilities. The extent to which the COVID-19 pandemic impacts our business will depend on future developments, which are highly uncertain and cannot be predicted, including new information which may emerge concerning the severity and spread of COVID-19 and its variants and the durability of immunity offered by vaccines developed to prevent infection, as well as other actions to contain COVID-19 and its variants or treat its impact, among others.</w:t>
      </w:r>
    </w:p>
    <w:p>
      <w:pPr>
        <w:spacing w:after="0" w:line="200"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While the potential economic impact brought by and the duration of any pandemic, epidemic or outbreak of an infectious disease, including COVID-19, may be difficult to assess or predict, the widespread COVID-19 pandemic has resulted in and may in the future result in, significant disruption of global financial markets, reducing our ability to access capital, which could in the future negatively affect our liquidity. To the extent a pandemic adversely affects our business and financial results, it may also have the effect of heightening many of the other risks described in this “Risk Factors” section.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419"/>
        <w:spacing w:after="0" w:line="287" w:lineRule="auto"/>
        <w:rPr>
          <w:sz w:val="20"/>
          <w:szCs w:val="20"/>
          <w:color w:val="auto"/>
        </w:rPr>
      </w:pPr>
      <w:r>
        <w:rPr>
          <w:rFonts w:ascii="Arial" w:cs="Arial" w:eastAsia="Arial" w:hAnsi="Arial"/>
          <w:sz w:val="18"/>
          <w:szCs w:val="18"/>
          <w:b w:val="1"/>
          <w:bCs w:val="1"/>
          <w:i w:val="1"/>
          <w:iCs w:val="1"/>
          <w:color w:val="231F20"/>
        </w:rPr>
        <w:t>Our international operations subject us to certain operating risks, which could adversely impact our results of operations and financial condition.</w:t>
      </w:r>
    </w:p>
    <w:p>
      <w:pPr>
        <w:spacing w:after="0" w:line="161"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The sale and shipment of Barostim across international borders, as well as the purchase of components from international sources, subjects us to U.S. and foreign governmental trade, import and export and customs regulations and laws.</w:t>
      </w:r>
    </w:p>
    <w:p>
      <w:pPr>
        <w:spacing w:after="0" w:line="189" w:lineRule="exact"/>
        <w:rPr>
          <w:sz w:val="20"/>
          <w:szCs w:val="20"/>
          <w:color w:val="auto"/>
        </w:rPr>
      </w:pPr>
    </w:p>
    <w:p>
      <w:pPr>
        <w:ind w:left="60" w:right="179"/>
        <w:spacing w:after="0" w:line="253" w:lineRule="auto"/>
        <w:rPr>
          <w:sz w:val="20"/>
          <w:szCs w:val="20"/>
          <w:color w:val="auto"/>
        </w:rPr>
      </w:pPr>
      <w:r>
        <w:rPr>
          <w:rFonts w:ascii="Arial" w:cs="Arial" w:eastAsia="Arial" w:hAnsi="Arial"/>
          <w:sz w:val="17"/>
          <w:szCs w:val="17"/>
          <w:color w:val="auto"/>
        </w:rPr>
        <w:t>Compliance with these regulations and laws is costly and exposes us to penalties for non-compliance. Other laws and regulations that can significantly impact us include various anti-bribery laws, including the FCPA, as well as export controls laws.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restrictions on certain business activities and exclusion or debarment from government contracting.</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international operations expose us and our distributors to risks inherent in operating in foreign jurisdictions.</w:t>
      </w:r>
    </w:p>
    <w:p>
      <w:pPr>
        <w:ind w:left="60"/>
        <w:spacing w:after="0"/>
        <w:rPr>
          <w:sz w:val="20"/>
          <w:szCs w:val="20"/>
          <w:color w:val="auto"/>
        </w:rPr>
      </w:pPr>
      <w:r>
        <w:rPr>
          <w:rFonts w:ascii="Arial" w:cs="Arial" w:eastAsia="Arial" w:hAnsi="Arial"/>
          <w:sz w:val="18"/>
          <w:szCs w:val="18"/>
          <w:color w:val="auto"/>
        </w:rPr>
        <w:t>These risks include, among others:</w:t>
      </w:r>
    </w:p>
    <w:p>
      <w:pPr>
        <w:spacing w:after="0" w:line="198" w:lineRule="exact"/>
        <w:rPr>
          <w:sz w:val="20"/>
          <w:szCs w:val="20"/>
          <w:color w:val="auto"/>
        </w:rPr>
      </w:pPr>
    </w:p>
    <w:p>
      <w:pPr>
        <w:ind w:left="540" w:right="299" w:hanging="139"/>
        <w:spacing w:after="0" w:line="274" w:lineRule="auto"/>
        <w:tabs>
          <w:tab w:leader="none" w:pos="540" w:val="left"/>
        </w:tabs>
        <w:numPr>
          <w:ilvl w:val="0"/>
          <w:numId w:val="29"/>
        </w:numPr>
        <w:rPr>
          <w:rFonts w:ascii="Arial" w:cs="Arial" w:eastAsia="Arial" w:hAnsi="Arial"/>
          <w:sz w:val="17"/>
          <w:szCs w:val="17"/>
          <w:color w:val="231F20"/>
        </w:rPr>
      </w:pPr>
      <w:r>
        <w:rPr>
          <w:rFonts w:ascii="Arial" w:cs="Arial" w:eastAsia="Arial" w:hAnsi="Arial"/>
          <w:sz w:val="17"/>
          <w:szCs w:val="17"/>
          <w:color w:val="auto"/>
        </w:rPr>
        <w:t>difficulties in enforcing our intellectual property rights and in defending against third-party threats and intellectual property enforcement actions against us, our distributors, or any of our third-party suppliers;</w:t>
      </w:r>
    </w:p>
    <w:p>
      <w:pPr>
        <w:spacing w:after="0" w:line="39" w:lineRule="exact"/>
        <w:rPr>
          <w:rFonts w:ascii="Arial" w:cs="Arial" w:eastAsia="Arial" w:hAnsi="Arial"/>
          <w:sz w:val="17"/>
          <w:szCs w:val="17"/>
          <w:color w:val="231F20"/>
        </w:rPr>
      </w:pPr>
    </w:p>
    <w:p>
      <w:pPr>
        <w:ind w:left="540" w:hanging="139"/>
        <w:spacing w:after="0"/>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reduced or varied protection for intellectual property rights in some countries;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potential pricing pressure;</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a shortage of high-quality sales representatives and distributors;</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competitive disadvantage to competition with established business and customer relationships;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foreign currency exchange rate fluctuations;</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the imposition of additional U.S. and foreign governmental controls or regulations;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economic instability;</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changes in duties and tariffs, license obligations and other non-tariff barriers to trade;</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the imposition of restrictions on the activities of foreign agents, representatives and distributors;</w:t>
      </w:r>
    </w:p>
    <w:p>
      <w:pPr>
        <w:spacing w:after="0" w:line="90" w:lineRule="exact"/>
        <w:rPr>
          <w:rFonts w:ascii="Arial" w:cs="Arial" w:eastAsia="Arial" w:hAnsi="Arial"/>
          <w:sz w:val="18"/>
          <w:szCs w:val="18"/>
          <w:color w:val="231F20"/>
        </w:rPr>
      </w:pPr>
    </w:p>
    <w:p>
      <w:pPr>
        <w:ind w:left="540" w:right="159" w:hanging="139"/>
        <w:spacing w:after="0" w:line="246" w:lineRule="auto"/>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scrutiny of U.S. and foreign tax authorities, which could result in significant fines, penalties and additional taxes being imposed on us;</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laws and business practices favoring local companies;</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difficulties in maintaining consistency with our internal guidelines;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difficulties in enforcing agreements and collecting receivables through certain foreign legal systems;</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the imposition of costly and lengthy new export licensing requirements;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the imposition of U.S. or international sanctions against a country, company, person or entity; and</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the imposition of new trade restrictions.</w:t>
      </w:r>
    </w:p>
    <w:p>
      <w:pPr>
        <w:spacing w:after="0" w:line="90" w:lineRule="exact"/>
        <w:rPr>
          <w:sz w:val="20"/>
          <w:szCs w:val="20"/>
          <w:color w:val="auto"/>
        </w:rPr>
      </w:pPr>
    </w:p>
    <w:p>
      <w:pPr>
        <w:ind w:left="60" w:right="79"/>
        <w:spacing w:after="0" w:line="293" w:lineRule="auto"/>
        <w:rPr>
          <w:sz w:val="20"/>
          <w:szCs w:val="20"/>
          <w:color w:val="auto"/>
        </w:rPr>
      </w:pPr>
      <w:r>
        <w:rPr>
          <w:rFonts w:ascii="Arial" w:cs="Arial" w:eastAsia="Arial" w:hAnsi="Arial"/>
          <w:sz w:val="18"/>
          <w:szCs w:val="18"/>
          <w:color w:val="231F20"/>
        </w:rPr>
        <w:t>If any of these risks are realized, our sales in non-U.S. jurisdictions may be adversely affected and our results of operations would suffer.</w:t>
      </w:r>
    </w:p>
    <w:p>
      <w:pPr>
        <w:spacing w:after="0" w:line="161"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b w:val="1"/>
          <w:bCs w:val="1"/>
          <w:i w:val="1"/>
          <w:iCs w:val="1"/>
          <w:color w:val="231F20"/>
        </w:rPr>
        <w:t>Consolidation in the healthcare industry or group purchasing organizations could lead to demands for price concessions, which may affect our ability to sell Barostim at prices necessary to support our current business strategies.</w:t>
      </w:r>
    </w:p>
    <w:p>
      <w:pPr>
        <w:spacing w:after="0" w:line="191" w:lineRule="exact"/>
        <w:rPr>
          <w:sz w:val="20"/>
          <w:szCs w:val="20"/>
          <w:color w:val="auto"/>
        </w:rPr>
      </w:pPr>
    </w:p>
    <w:p>
      <w:pPr>
        <w:ind w:left="60" w:right="319"/>
        <w:spacing w:after="0" w:line="274" w:lineRule="auto"/>
        <w:rPr>
          <w:sz w:val="20"/>
          <w:szCs w:val="20"/>
          <w:color w:val="auto"/>
        </w:rPr>
      </w:pPr>
      <w:r>
        <w:rPr>
          <w:rFonts w:ascii="Arial" w:cs="Arial" w:eastAsia="Arial" w:hAnsi="Arial"/>
          <w:sz w:val="17"/>
          <w:szCs w:val="17"/>
          <w:color w:val="auto"/>
        </w:rPr>
        <w:t>Healthcare costs have risen significantly over the past decade, which has resulted in or led to numerous cost reform initiatives by legislators, regulators and third-party payors. Cost reform has triggered a consolidation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trend in the healthcare industry to aggregate purchasing power, which may create more requests for price concessions in the future. Additionally, group purchasing organizations, independent delivery networks and large single accounts may continue to use their market power to consolidate purchasing decisions for hospitals. We expect that market demand, government regulation, third-party coverage and reimbursement policies and societal pressures will continue to change the healthcare industry worldwide, resulting in further business consolidations and alliances among our future customers, which may exert further downward pressure on the prices of Barostim.</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If we fail to properly manage our growth effectively, our business could suffer.</w:t>
      </w:r>
    </w:p>
    <w:p>
      <w:pPr>
        <w:spacing w:after="0" w:line="247"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intend to continue to grow and may experience periods of rapid growth and expansion, which could place a significant additional strain on our limited personnel, information technology systems and other resources. In particular, the hiring of our direct sales force requires significant management, financial and other supporting resources. Any failure by us to manage our growth effectively could have an adverse effect on our ability to achieve our development and commercialization goals.</w:t>
      </w:r>
    </w:p>
    <w:p>
      <w:pPr>
        <w:spacing w:after="0" w:line="189"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To achieve our revenue goals, we must continue to successfully increase manufacturing output to meet expected customer demand. We may experience difficulties with manufacturing yields, quality control, component supply and shortages of qualified personnel, among other problems. Any of these problems could result in delays in product availability and increases in expenses. Any such delay or increased expense could adversely affect our ability to generate revenue.</w:t>
      </w:r>
    </w:p>
    <w:p>
      <w:pPr>
        <w:spacing w:after="0" w:line="189"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Future growth will continue to impose significant added responsibilities on management, including the need to identify, recruit, train and integrate additional employees. In addition, rapid and significant growth will place a strain on our administrative and operational infrastructure.</w:t>
      </w:r>
    </w:p>
    <w:p>
      <w:pPr>
        <w:spacing w:after="0" w:line="18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In order to manage our operations and growth we will need to continue to improve our operational and management controls, reporting and information technology systems and financial internal control procedures. If we are unable to manage our growth effectively, it may be difficult for us to execute our business strategy and our operating results and may have an adverse effect on our business, financial condition and results of operations.</w:t>
      </w:r>
    </w:p>
    <w:p>
      <w:pPr>
        <w:spacing w:after="0" w:line="167" w:lineRule="exact"/>
        <w:rPr>
          <w:sz w:val="20"/>
          <w:szCs w:val="20"/>
          <w:color w:val="auto"/>
        </w:rPr>
      </w:pPr>
    </w:p>
    <w:p>
      <w:pPr>
        <w:ind w:left="60" w:right="499"/>
        <w:spacing w:after="0" w:line="253" w:lineRule="auto"/>
        <w:rPr>
          <w:sz w:val="20"/>
          <w:szCs w:val="20"/>
          <w:color w:val="auto"/>
        </w:rPr>
      </w:pPr>
      <w:r>
        <w:rPr>
          <w:rFonts w:ascii="Arial" w:cs="Arial" w:eastAsia="Arial" w:hAnsi="Arial"/>
          <w:sz w:val="18"/>
          <w:szCs w:val="18"/>
          <w:b w:val="1"/>
          <w:bCs w:val="1"/>
          <w:i w:val="1"/>
          <w:iCs w:val="1"/>
          <w:color w:val="231F20"/>
        </w:rPr>
        <w:t>If clinical studies for future indications do not produce results necessary to support regulatory clearance or approval in the U.S. or elsewhere, we will be unable to commercialize our products for these indications.</w:t>
      </w:r>
    </w:p>
    <w:p>
      <w:pPr>
        <w:spacing w:after="0" w:line="15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will likely need to conduct additional clinical studies in the future to support approval for new indications. For example, we are currently pursuing a morbidity and mortality indication for patients with HFrEF, which, if successful, could significantly expand our addressable patient population. However, we cannot assure you that the morbidity and mortality data will be sufficient to allow us to achieve FDA approval for including a morbidity and mortality benefit in this indication. In addition, if the morbidity and mortality data is perceived to be negative, such data may impact the adoption of Barostim, notwithstanding our existing clinical data and FDA approval. Clinical testing takes many years, is expensive and carries uncertain outcomes. The initiation and completion of any of these studies, including the post-market stage of our BeAT-HF pivotal trial, may be prevented, delayed, or halted for numerous reasons, including, but not limited to, the following:</w:t>
      </w:r>
    </w:p>
    <w:p>
      <w:pPr>
        <w:spacing w:after="0" w:line="207" w:lineRule="exact"/>
        <w:rPr>
          <w:sz w:val="20"/>
          <w:szCs w:val="20"/>
          <w:color w:val="auto"/>
        </w:rPr>
      </w:pPr>
    </w:p>
    <w:p>
      <w:pPr>
        <w:ind w:left="540" w:right="419" w:hanging="139"/>
        <w:spacing w:after="0" w:line="279" w:lineRule="auto"/>
        <w:tabs>
          <w:tab w:leader="none" w:pos="54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the FDA, IRBs, ethics committees, EU competent authorities or other regulatory authorities do not approve a clinical study protocol, force us to modify a previously approved protocol, or place a clinical study on hold;</w:t>
      </w:r>
    </w:p>
    <w:p>
      <w:pPr>
        <w:spacing w:after="0" w:line="74" w:lineRule="exact"/>
        <w:rPr>
          <w:rFonts w:ascii="Arial" w:cs="Arial" w:eastAsia="Arial" w:hAnsi="Arial"/>
          <w:sz w:val="18"/>
          <w:szCs w:val="18"/>
          <w:color w:val="231F20"/>
        </w:rPr>
      </w:pPr>
    </w:p>
    <w:p>
      <w:pPr>
        <w:ind w:left="540" w:hanging="139"/>
        <w:spacing w:after="0"/>
        <w:tabs>
          <w:tab w:leader="none" w:pos="54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patients do not enroll in, or enroll at a lower rate than we expect, or do not complete a clinical study;</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patients or investigators do not comply with study protocols;</w:t>
      </w:r>
    </w:p>
    <w:p>
      <w:pPr>
        <w:spacing w:after="0" w:line="117" w:lineRule="exact"/>
        <w:rPr>
          <w:rFonts w:ascii="Arial" w:cs="Arial" w:eastAsia="Arial" w:hAnsi="Arial"/>
          <w:sz w:val="18"/>
          <w:szCs w:val="18"/>
          <w:color w:val="231F20"/>
        </w:rPr>
      </w:pPr>
    </w:p>
    <w:p>
      <w:pPr>
        <w:ind w:left="540" w:hanging="139"/>
        <w:spacing w:after="0"/>
        <w:tabs>
          <w:tab w:leader="none" w:pos="54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patients do not return for post-treatment follow-up at the expected rate;</w:t>
      </w:r>
    </w:p>
    <w:p>
      <w:pPr>
        <w:spacing w:after="0" w:line="117" w:lineRule="exact"/>
        <w:rPr>
          <w:rFonts w:ascii="Arial" w:cs="Arial" w:eastAsia="Arial" w:hAnsi="Arial"/>
          <w:sz w:val="18"/>
          <w:szCs w:val="18"/>
          <w:color w:val="231F20"/>
        </w:rPr>
      </w:pPr>
    </w:p>
    <w:p>
      <w:pPr>
        <w:ind w:left="540" w:hanging="139"/>
        <w:spacing w:after="0"/>
        <w:tabs>
          <w:tab w:leader="none" w:pos="54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patients experience serious or unexpected adverse side effects for a variety of reasons that may or may</w:t>
      </w:r>
    </w:p>
    <w:p>
      <w:pPr>
        <w:sectPr>
          <w:pgSz w:w="11900" w:h="16838" w:orient="portrait"/>
          <w:cols w:equalWidth="0" w:num="1">
            <w:col w:w="9019"/>
          </w:cols>
          <w:pgMar w:left="1440" w:top="517"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right="179"/>
        <w:spacing w:after="0" w:line="293" w:lineRule="auto"/>
        <w:rPr>
          <w:sz w:val="20"/>
          <w:szCs w:val="20"/>
          <w:color w:val="auto"/>
        </w:rPr>
      </w:pPr>
      <w:r>
        <w:rPr>
          <w:rFonts w:ascii="Arial" w:cs="Arial" w:eastAsia="Arial" w:hAnsi="Arial"/>
          <w:sz w:val="18"/>
          <w:szCs w:val="18"/>
          <w:color w:val="auto"/>
        </w:rPr>
        <w:t>not be related to our products, such as the advanced stage of co-morbidities that may exist at the time of treatment, causing a clinical study to be put on hold;</w:t>
      </w:r>
    </w:p>
    <w:p>
      <w:pPr>
        <w:spacing w:after="0" w:line="62" w:lineRule="exact"/>
        <w:rPr>
          <w:sz w:val="20"/>
          <w:szCs w:val="20"/>
          <w:color w:val="auto"/>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sites participating in an ongoing clinical study withdraw, requiring us to engage new sites;</w:t>
      </w:r>
    </w:p>
    <w:p>
      <w:pPr>
        <w:spacing w:after="0" w:line="117"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difficulties or delays associated with establishing additional clinical sites;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third-party clinical investigators decline to participate in our clinical studies, do not perform the clinical</w:t>
      </w:r>
    </w:p>
    <w:p>
      <w:pPr>
        <w:spacing w:after="0" w:line="36" w:lineRule="exact"/>
        <w:rPr>
          <w:rFonts w:ascii="Arial" w:cs="Arial" w:eastAsia="Arial" w:hAnsi="Arial"/>
          <w:sz w:val="18"/>
          <w:szCs w:val="18"/>
          <w:color w:val="231F20"/>
        </w:rPr>
      </w:pPr>
    </w:p>
    <w:p>
      <w:pPr>
        <w:jc w:val="both"/>
        <w:ind w:left="540" w:right="119"/>
        <w:spacing w:after="0" w:line="279" w:lineRule="auto"/>
        <w:rPr>
          <w:rFonts w:ascii="Arial" w:cs="Arial" w:eastAsia="Arial" w:hAnsi="Arial"/>
          <w:sz w:val="18"/>
          <w:szCs w:val="18"/>
          <w:color w:val="231F20"/>
        </w:rPr>
      </w:pPr>
      <w:r>
        <w:rPr>
          <w:rFonts w:ascii="Arial" w:cs="Arial" w:eastAsia="Arial" w:hAnsi="Arial"/>
          <w:sz w:val="18"/>
          <w:szCs w:val="18"/>
          <w:color w:val="auto"/>
        </w:rPr>
        <w:t>studies on the anticipated schedule, or perform in a manner inconsistent with the investigator agreement, clinical study protocol, good clinical practices, other FDA, IRB or ethics committee requirements and EEA member state or other foreign regulations governing clinical trials;</w:t>
      </w:r>
    </w:p>
    <w:p>
      <w:pPr>
        <w:spacing w:after="0" w:line="74"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third-party organizations do not perform data collection and analysis in a timely or accurate manner;</w:t>
      </w:r>
    </w:p>
    <w:p>
      <w:pPr>
        <w:spacing w:after="0" w:line="117" w:lineRule="exact"/>
        <w:rPr>
          <w:rFonts w:ascii="Arial" w:cs="Arial" w:eastAsia="Arial" w:hAnsi="Arial"/>
          <w:sz w:val="18"/>
          <w:szCs w:val="18"/>
          <w:color w:val="231F20"/>
        </w:rPr>
      </w:pPr>
    </w:p>
    <w:p>
      <w:pPr>
        <w:ind w:left="540" w:right="199" w:hanging="139"/>
        <w:spacing w:after="0" w:line="277" w:lineRule="auto"/>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regulatory inspections of our clinical studies or manufacturing facilities require us to undertake corrective action or suspend or terminate our clinical studies;</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changes in federal, state, or foreign governmental statutes, regulations or policies;</w:t>
      </w:r>
    </w:p>
    <w:p>
      <w:pPr>
        <w:spacing w:after="0" w:line="117"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interim results are inconclusive or unfavorable as to immediate and long-term safety or efficacy;</w:t>
      </w:r>
    </w:p>
    <w:p>
      <w:pPr>
        <w:spacing w:after="0" w:line="117"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the study design is inadequate to demonstrate safety and efficacy; or</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the statistical endpoints are not met.</w:t>
      </w:r>
    </w:p>
    <w:p>
      <w:pPr>
        <w:spacing w:after="0" w:line="10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Clinical trials can fail at any stage. Our clinical studies, including the post-market stage of our BeAT-HF pivotal trial related to the morbidity and mortality indication for patients with HFrEF, may produce negative or inconclusive results and we may decide, or regulators may require us, to conduct additional clinical or non-clinical studies in addition to those we have planned. The impacts of the COVID-19 pandemic, which may have afflicted certain participants in the post-market pivotal trial, are unknown, but they may exacerbate certain risks described above. In addition, if the FDA determines for any reason, including safety or their risk-benefit analysis, that the results of the post-market stage of our BeAT-HF pivotal trial or any other future trial are negative, the FDA may decide to modify or revoke our existing approval or such data may impact the adoption of Barostim. Moreover, a negative perception of clinical results for one indication for use could impact the use of Barostim for other FDA approved and clinically supported indications for use.</w:t>
      </w:r>
    </w:p>
    <w:p>
      <w:pPr>
        <w:spacing w:after="0" w:line="192"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We could also encounter delays if the FDA concludes that our financial relationships with investigators result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compensation in connection with such services. If these relationships and any related compensation to or ownership interest by the clinical investigator carrying out the study result in perceived or actual conflicts of interest, or if the FDA concludes that the financial relationship may have affected interpretation of the study, the integrity of the data generated at the applicable clinical trial site may be questioned and the utility of the clinical trial itself may be jeopardized.</w:t>
      </w:r>
    </w:p>
    <w:p>
      <w:pPr>
        <w:spacing w:after="0" w:line="193" w:lineRule="exact"/>
        <w:rPr>
          <w:sz w:val="20"/>
          <w:szCs w:val="20"/>
          <w:color w:val="auto"/>
        </w:rPr>
      </w:pPr>
    </w:p>
    <w:p>
      <w:pPr>
        <w:ind w:left="60" w:right="199"/>
        <w:spacing w:after="0" w:line="255" w:lineRule="auto"/>
        <w:rPr>
          <w:sz w:val="20"/>
          <w:szCs w:val="20"/>
          <w:color w:val="auto"/>
        </w:rPr>
      </w:pPr>
      <w:r>
        <w:rPr>
          <w:rFonts w:ascii="Arial" w:cs="Arial" w:eastAsia="Arial" w:hAnsi="Arial"/>
          <w:sz w:val="17"/>
          <w:szCs w:val="17"/>
          <w:color w:val="auto"/>
        </w:rPr>
        <w:t>Even if our products are approved in the U.S. and the EEA, comparable regulatory authorities of additional foreign countries must also approve the manufacturing and marketing of our products in those countries. Approval procedures vary among jurisdictions and can involve requirements and administrative review periods different from, and greater than, those in the U.S. or the EEA, including additional preclinical studies or clinical trials. Any of these occurrences may harm our business, financial condition and prospects significantly.</w:t>
      </w:r>
    </w:p>
    <w:p>
      <w:pPr>
        <w:spacing w:after="0" w:line="168" w:lineRule="exact"/>
        <w:rPr>
          <w:sz w:val="20"/>
          <w:szCs w:val="20"/>
          <w:color w:val="auto"/>
        </w:rPr>
      </w:pPr>
    </w:p>
    <w:p>
      <w:pPr>
        <w:ind w:left="60" w:right="239"/>
        <w:spacing w:after="0" w:line="318" w:lineRule="auto"/>
        <w:rPr>
          <w:sz w:val="20"/>
          <w:szCs w:val="20"/>
          <w:color w:val="auto"/>
        </w:rPr>
      </w:pPr>
      <w:r>
        <w:rPr>
          <w:rFonts w:ascii="Arial" w:cs="Arial" w:eastAsia="Arial" w:hAnsi="Arial"/>
          <w:sz w:val="18"/>
          <w:szCs w:val="18"/>
          <w:b w:val="1"/>
          <w:bCs w:val="1"/>
          <w:i w:val="1"/>
          <w:iCs w:val="1"/>
          <w:color w:val="231F20"/>
        </w:rPr>
        <w:t>We may face product liability claims that could be costly, divert management’s attention and harm our reputation.</w:t>
      </w:r>
    </w:p>
    <w:p>
      <w:pPr>
        <w:spacing w:after="0" w:line="148" w:lineRule="exact"/>
        <w:rPr>
          <w:sz w:val="20"/>
          <w:szCs w:val="20"/>
          <w:color w:val="auto"/>
        </w:rPr>
      </w:pPr>
    </w:p>
    <w:p>
      <w:pPr>
        <w:ind w:left="60" w:right="379"/>
        <w:spacing w:after="0" w:line="261" w:lineRule="auto"/>
        <w:rPr>
          <w:sz w:val="20"/>
          <w:szCs w:val="20"/>
          <w:color w:val="auto"/>
        </w:rPr>
      </w:pPr>
      <w:r>
        <w:rPr>
          <w:rFonts w:ascii="Arial" w:cs="Arial" w:eastAsia="Arial" w:hAnsi="Arial"/>
          <w:sz w:val="17"/>
          <w:szCs w:val="17"/>
          <w:color w:val="auto"/>
        </w:rPr>
        <w:t>Manufacturing and marketing of Barostim and clinical testing of Barostim Therapy may expose us to product liability claims. The coverage limits of our liability insurance policies may not be adequate and one or more successful claims brought against us may have a material adverse effect on our business and results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operations. Further, interpretation of product liability laws may change in the future due to court rulings. It is possible evolving interpretations of product liability laws could further expose us to increased litigation risk in connection with our products. These product liability claims could, among other things, divert management’s attention from our primary business and negatively affect our reputation, continued product sales and our ability to obtain and maintain regulatory approval for our products.</w:t>
      </w:r>
    </w:p>
    <w:p>
      <w:pPr>
        <w:spacing w:after="0" w:line="167" w:lineRule="exact"/>
        <w:rPr>
          <w:sz w:val="20"/>
          <w:szCs w:val="20"/>
          <w:color w:val="auto"/>
        </w:rPr>
      </w:pPr>
    </w:p>
    <w:p>
      <w:pPr>
        <w:ind w:left="60" w:right="359"/>
        <w:spacing w:after="0" w:line="287" w:lineRule="auto"/>
        <w:rPr>
          <w:sz w:val="20"/>
          <w:szCs w:val="20"/>
          <w:color w:val="auto"/>
        </w:rPr>
      </w:pPr>
      <w:r>
        <w:rPr>
          <w:rFonts w:ascii="Arial" w:cs="Arial" w:eastAsia="Arial" w:hAnsi="Arial"/>
          <w:sz w:val="18"/>
          <w:szCs w:val="18"/>
          <w:b w:val="1"/>
          <w:bCs w:val="1"/>
          <w:i w:val="1"/>
          <w:iCs w:val="1"/>
          <w:color w:val="231F20"/>
        </w:rPr>
        <w:t>If we fail to retain our key executives or recruit and hire new employees, our operations and financial results may be adversely affected while we attract other highly qualified personnel.</w:t>
      </w:r>
    </w:p>
    <w:p>
      <w:pPr>
        <w:spacing w:after="0" w:line="161"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Our future success depends, in part, on our ability to continue to retain our executive officers and other key employees and recruit and hire new employees. All of our executive officers and other employees are at-will employees, and therefore may terminate employment with us at any time with no advance notice. In particular, we are highly dependent upon our management team, especially our President and Chief Executive Officer and the rest of our senior management. The replacement of key personnel involves significant time and costs, may significantly delay or prevent the achievement of our business objectives and may harm our business. In addition, we do not carry any “key person” insurance policies that could offset potential loss of service under applicable circumstances.</w:t>
      </w:r>
    </w:p>
    <w:p>
      <w:pPr>
        <w:spacing w:after="0" w:line="194" w:lineRule="exact"/>
        <w:rPr>
          <w:sz w:val="20"/>
          <w:szCs w:val="20"/>
          <w:color w:val="auto"/>
        </w:rPr>
      </w:pPr>
    </w:p>
    <w:p>
      <w:pPr>
        <w:jc w:val="both"/>
        <w:ind w:left="60" w:right="319"/>
        <w:spacing w:after="0" w:line="238" w:lineRule="auto"/>
        <w:rPr>
          <w:sz w:val="20"/>
          <w:szCs w:val="20"/>
          <w:color w:val="auto"/>
        </w:rPr>
      </w:pPr>
      <w:r>
        <w:rPr>
          <w:rFonts w:ascii="Arial" w:cs="Arial" w:eastAsia="Arial" w:hAnsi="Arial"/>
          <w:sz w:val="18"/>
          <w:szCs w:val="18"/>
          <w:color w:val="auto"/>
        </w:rPr>
        <w:t>In addition, many of our employees have become vested in a substantial amount of stock or number of stock options. Our employees may be more likely to leave us if the shares they own or the shares underlying their vested options have significantly appreciated in value relative to the original purchase prices of the shares or the exercise prices of the options, or if the exercise prices of the options that they hold are significantly below the market price of our common stock.</w:t>
      </w:r>
    </w:p>
    <w:p>
      <w:pPr>
        <w:spacing w:after="0" w:line="189"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Many executive officers and employees in the medical device industry are subject to strict non-compete or confidentiality agreements with their employers. In addition, some of our existing and future employees are subject to confidentiality agreements with previous employers. Our competitors may allege breaches of and seek to enforce such non-compete agreements or initiate litigation based on such confidentiality agreements. Such litigation, whether or not meritorious, may impede our ability to attract or use executive officers and other key employees who have been employed by our competitors and may result in claims against us.</w:t>
      </w:r>
    </w:p>
    <w:p>
      <w:pPr>
        <w:spacing w:after="0" w:line="156"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b w:val="1"/>
          <w:bCs w:val="1"/>
          <w:i w:val="1"/>
          <w:iCs w:val="1"/>
          <w:color w:val="231F20"/>
        </w:rPr>
        <w:t>Failure to protect our information technology infrastructure against cyber-based attacks, network security breaches, service interruptions, or data corruption could significantly disrupt our operations and adversely affect our business and operating results.</w:t>
      </w:r>
    </w:p>
    <w:p>
      <w:pPr>
        <w:spacing w:after="0" w:line="20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rely on information technology and telephone networks and systems, including the Internet, to process and transmit sensitive electronic information and to manage or support a variety of business processes and activities, including sales, billing, marketing, procurement and supply chain, manufacturing and distribution. We use enterprise information technology systems to record, process and summarize financial information and results of operations for internal reporting purposes and to comply with regulatory, financial reporting, legal and tax requirements. Our information technology systems, some of which are managed by third parties, may be susceptible to damage, disruptions or shutdowns due to computer viruses, attacks by computer hackers, failures during the process of upgrading or replacing software, databases or components thereof, power outages, hardware failures, telecommunication failures, user errors or catastrophic events. If our systems suffer severe damage, disruption or shutdown and we are unable to effectively resolve the issues in a timely manner, our business and operating results may suffer.</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If important assumptions about the potential market for our product are inaccurate, or if we have failed</w:t>
      </w:r>
    </w:p>
    <w:p>
      <w:pPr>
        <w:spacing w:after="0" w:line="18" w:lineRule="exact"/>
        <w:rPr>
          <w:sz w:val="20"/>
          <w:szCs w:val="20"/>
          <w:color w:val="auto"/>
        </w:rPr>
      </w:pPr>
    </w:p>
    <w:p>
      <w:pPr>
        <w:ind w:left="60" w:right="619"/>
        <w:spacing w:after="0" w:line="235" w:lineRule="auto"/>
        <w:rPr>
          <w:sz w:val="20"/>
          <w:szCs w:val="20"/>
          <w:color w:val="auto"/>
        </w:rPr>
      </w:pPr>
      <w:r>
        <w:rPr>
          <w:rFonts w:ascii="Arial" w:cs="Arial" w:eastAsia="Arial" w:hAnsi="Arial"/>
          <w:sz w:val="18"/>
          <w:szCs w:val="18"/>
          <w:b w:val="1"/>
          <w:bCs w:val="1"/>
          <w:i w:val="1"/>
          <w:iCs w:val="1"/>
          <w:color w:val="231F20"/>
        </w:rPr>
        <w:t>to understand what people with HF are seeking in a treatment, we may not be able to increase our revenue or achieve profitability.</w:t>
      </w:r>
    </w:p>
    <w:p>
      <w:pPr>
        <w:spacing w:after="0" w:line="202" w:lineRule="exact"/>
        <w:rPr>
          <w:sz w:val="20"/>
          <w:szCs w:val="20"/>
          <w:color w:val="auto"/>
        </w:rPr>
      </w:pPr>
    </w:p>
    <w:p>
      <w:pPr>
        <w:jc w:val="both"/>
        <w:ind w:left="60" w:right="399"/>
        <w:spacing w:after="0" w:line="248" w:lineRule="auto"/>
        <w:rPr>
          <w:sz w:val="20"/>
          <w:szCs w:val="20"/>
          <w:color w:val="auto"/>
        </w:rPr>
      </w:pPr>
      <w:r>
        <w:rPr>
          <w:rFonts w:ascii="Arial" w:cs="Arial" w:eastAsia="Arial" w:hAnsi="Arial"/>
          <w:sz w:val="17"/>
          <w:szCs w:val="17"/>
          <w:color w:val="auto"/>
        </w:rPr>
        <w:t>Our business strategy was developed based on a number of important assumptions about the HF market in general, any one or more of which may prove to be inaccurate. For example, we believe that the benefits of Barostim as compared to other common HF devices will continue to drive growth in the market for Barostim.</w:t>
      </w:r>
    </w:p>
    <w:p>
      <w:pPr>
        <w:spacing w:after="0" w:line="2"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Despite our review of studies reporting on the trends of HF incidence in the U.S., the actual incidence of HF and the actual demand for our product or competitive products could differ materially from our expectations.</w:t>
      </w:r>
    </w:p>
    <w:p>
      <w:pPr>
        <w:sectPr>
          <w:pgSz w:w="11900" w:h="16838" w:orient="portrait"/>
          <w:cols w:equalWidth="0" w:num="1">
            <w:col w:w="9019"/>
          </w:cols>
          <w:pgMar w:left="1440" w:top="517" w:right="1440"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addition, our strategy of focusing exclusively on patients with HFrEF who are looking for an improvement in the symptoms associated with HFrEF may limit our ability to increase sales or achieve profitability, especially if there are any significant clinical breakthroughs or product or drug introductions that significantly delay or reduce the need for heart disease therapy. Moreover, a percentage of our indicated patients may be ineligible to undergo a Barostim procedure if they have certain co-morbidities or other disqualifying factors as determined by their physicians.</w:t>
      </w:r>
    </w:p>
    <w:p>
      <w:pPr>
        <w:spacing w:after="0" w:line="191"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Our estimates of the annual total addressable market for Barostim are based on a number of internal and third-party estimates, including, without limitation, the number of patients with HFrEF and the assumed prices at which we can sell our device.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Barostim may prove to be incorrect. If the actual number of patients who would benefit from our product, the price at which we can sell our product, or the annual total addressable market for our product is smaller than we have estimated, it may impair our sales growth and have an adverse impact on our business.</w:t>
      </w:r>
    </w:p>
    <w:p>
      <w:pPr>
        <w:spacing w:after="0" w:line="158"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b w:val="1"/>
          <w:bCs w:val="1"/>
          <w:i w:val="1"/>
          <w:iCs w:val="1"/>
          <w:color w:val="231F20"/>
        </w:rPr>
        <w:t>Unfavorable economic conditions could adversely affect our business, financial condition or results of operations.</w:t>
      </w:r>
    </w:p>
    <w:p>
      <w:pPr>
        <w:spacing w:after="0" w:line="176"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results of operations could be adversely affected by general conditions in the economy and the financial markets. Concerns over economic and political stability, inflation levels and related efforts to mitigate inflation, a potential recession, the level of U.S. national debt, currency fluctuations and volatility, the rate of growth of Japan, China and other Asian economies, unemployment, the availability and cost of credit, trade relations, including the imposition of various sanctions and tariffs, the recovery from the COVID-19 pandemic, energy costs and geopolitical uncertainty and conflict have contributed to increased volatility and diminished expectations for the economy and markets in general. An economic downturn could result in a variety of risks to our business, including weakened demand for Barostim, a delayed time to meet clinical endpoints and our ability to raise additional capital when needed on acceptable terms, if at all. A weak or declining economy could also strain our manufacturers or suppliers, resulting in supply disruption, or causing our customers to delay making payments for our services. Certain of the foregoing have harmed and could in the future harm our business, and we cannot anticipate all of the ways in which the economic climate and financial market conditions may further affect our business.</w:t>
      </w:r>
    </w:p>
    <w:p>
      <w:pPr>
        <w:spacing w:after="0" w:line="167"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b w:val="1"/>
          <w:bCs w:val="1"/>
          <w:i w:val="1"/>
          <w:iCs w:val="1"/>
          <w:color w:val="231F20"/>
        </w:rPr>
        <w:t>We may enter into strategic collaborations, in-licensing arrangements or alliances with third parties that may not result in the development of commercially viable products or the generation of significant future revenue.</w:t>
      </w:r>
    </w:p>
    <w:p>
      <w:pPr>
        <w:spacing w:after="0" w:line="191"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In the ordinary course of our business, we may enter into strategic collaborations, in-licensing arrangements or alliances to develop product candidates and to pursue new markets. Proposing, negotiating and implementing strategic collaborations, in-licensing arrangements or alliances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9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We have limited control over the amount and timing of resources that our current collaborators or any future collaborators devote to our collaborators’ or our future products. Disputes between us and our collaborators may result in litigation or arbitration which would increase our expenses and divert the attention of our management. Further, these transactions and arrangements are contractual in nature and</w:t>
      </w:r>
    </w:p>
    <w:p>
      <w:pPr>
        <w:sectPr>
          <w:pgSz w:w="11900" w:h="16838" w:orient="portrait"/>
          <w:cols w:equalWidth="0" w:num="1">
            <w:col w:w="9019"/>
          </w:cols>
          <w:pgMar w:left="1440" w:top="517" w:right="1440"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may be terminated or dissolved under the terms of the applicable agreements and, in such event, we may not continue to have rights to the products relating to such transaction or arrangement or may need to purchase such rights at a premium.</w:t>
      </w:r>
    </w:p>
    <w:p>
      <w:pPr>
        <w:spacing w:after="0" w:line="167" w:lineRule="exact"/>
        <w:rPr>
          <w:sz w:val="20"/>
          <w:szCs w:val="20"/>
          <w:color w:val="auto"/>
        </w:rPr>
      </w:pPr>
    </w:p>
    <w:p>
      <w:pPr>
        <w:ind w:left="60" w:right="99"/>
        <w:spacing w:after="0" w:line="261" w:lineRule="auto"/>
        <w:rPr>
          <w:sz w:val="20"/>
          <w:szCs w:val="20"/>
          <w:color w:val="auto"/>
        </w:rPr>
      </w:pPr>
      <w:r>
        <w:rPr>
          <w:rFonts w:ascii="Arial" w:cs="Arial" w:eastAsia="Arial" w:hAnsi="Arial"/>
          <w:sz w:val="18"/>
          <w:szCs w:val="18"/>
          <w:b w:val="1"/>
          <w:bCs w:val="1"/>
          <w:i w:val="1"/>
          <w:iCs w:val="1"/>
          <w:color w:val="231F20"/>
        </w:rPr>
        <w:t>We may seek to grow our business through acquisitions of complementary products or technologies, and the failure to manage acquisitions, or the failure to integrate them with our existing business, could impair our ability to execute our business strategies.</w:t>
      </w:r>
    </w:p>
    <w:p>
      <w:pPr>
        <w:spacing w:after="0" w:line="184"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From time to time, we may consider opportunities to acquire other products or technologies that may enhance our Barostim platform technology, expand the breadth of our markets or customer base, or advance our business strategies. Potential acquisitions involve numerous risks, including, among others:</w:t>
      </w:r>
    </w:p>
    <w:p>
      <w:pPr>
        <w:spacing w:after="0" w:line="189" w:lineRule="exact"/>
        <w:rPr>
          <w:sz w:val="20"/>
          <w:szCs w:val="20"/>
          <w:color w:val="auto"/>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problems assimilating the acquired products or technologies;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issues maintaining uniform standards, procedures, controls and policies;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unanticipated costs associated with acquisitions;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diversion of management’s attention from our existing business;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risks associated with entering new markets in which we have limited or no experience;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increased legal and accounting costs relating to the acquisitions or compliance with regulatory matters.</w:t>
      </w:r>
    </w:p>
    <w:p>
      <w:pPr>
        <w:spacing w:after="0" w:line="104"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Our inability to integrate any acquired products or technologies effectively could impair our ability to execute our business strategies. In addition, any amortization or charges resulting from the costs of acquisitions could increase our expenses</w:t>
      </w:r>
      <w:r>
        <w:rPr>
          <w:rFonts w:ascii="Arial" w:cs="Arial" w:eastAsia="Arial" w:hAnsi="Arial"/>
          <w:sz w:val="18"/>
          <w:szCs w:val="18"/>
          <w:color w:val="231F20"/>
        </w:rPr>
        <w:t>.</w:t>
      </w:r>
    </w:p>
    <w:p>
      <w:pPr>
        <w:spacing w:after="0" w:line="156" w:lineRule="exact"/>
        <w:rPr>
          <w:sz w:val="20"/>
          <w:szCs w:val="20"/>
          <w:color w:val="auto"/>
        </w:rPr>
      </w:pPr>
    </w:p>
    <w:p>
      <w:pPr>
        <w:ind w:left="60" w:right="159"/>
        <w:spacing w:after="0" w:line="256" w:lineRule="auto"/>
        <w:rPr>
          <w:sz w:val="20"/>
          <w:szCs w:val="20"/>
          <w:color w:val="auto"/>
        </w:rPr>
      </w:pPr>
      <w:r>
        <w:rPr>
          <w:rFonts w:ascii="Arial" w:cs="Arial" w:eastAsia="Arial" w:hAnsi="Arial"/>
          <w:sz w:val="18"/>
          <w:szCs w:val="18"/>
          <w:b w:val="1"/>
          <w:bCs w:val="1"/>
          <w:i w:val="1"/>
          <w:iCs w:val="1"/>
          <w:color w:val="231F20"/>
        </w:rPr>
        <w:t>If third-party payors do not provide adequate coverage and reimbursement for the use of Barostim, our revenue will be negatively impacted.</w:t>
      </w:r>
    </w:p>
    <w:p>
      <w:pPr>
        <w:spacing w:after="0" w:line="188"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Medicare reimbursement levels are important to increasing adoption of Barostim because nearly two-thirds of the target patient population for Barostim is over the age of 65. Effective January 2021, CMS awarded Barostim a TPT payment for outpatient procedures that adds the device cost as a pass-through payment to the calculated procedure payment, which will remain in place through 2023. The calculated procedure payment depends on many factors, including the location of the hospitals and their billing practices, and may not adequately cover hospital costs associated with the procedure. While we intend to request that Barostim be reclassified into a higher Medicare reimbursement level, there can be no assurance that such efforts will be successful. Any future decline in the amount Medicare is willing to reimburse our customers for procedures using Barostim could make it difficult for new customers to adopt Barostim and could create additional pricing pressure for us, which could adversely affect our ability to invest in and grow our business. From time to time, physicians and hospitals have in the past experienced, and others may experience, delays in Medicare reimbursement, which have delayed or may delay their willingness to schedule additional Barostim procedures.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intellectual property</w:t>
      </w:r>
    </w:p>
    <w:p>
      <w:pPr>
        <w:spacing w:after="0" w:line="212" w:lineRule="exact"/>
        <w:rPr>
          <w:sz w:val="20"/>
          <w:szCs w:val="20"/>
          <w:color w:val="auto"/>
        </w:rPr>
      </w:pPr>
    </w:p>
    <w:p>
      <w:pPr>
        <w:ind w:left="60" w:right="79"/>
        <w:spacing w:after="0" w:line="252" w:lineRule="auto"/>
        <w:rPr>
          <w:sz w:val="20"/>
          <w:szCs w:val="20"/>
          <w:color w:val="auto"/>
        </w:rPr>
      </w:pPr>
      <w:r>
        <w:rPr>
          <w:rFonts w:ascii="Arial" w:cs="Arial" w:eastAsia="Arial" w:hAnsi="Arial"/>
          <w:sz w:val="18"/>
          <w:szCs w:val="18"/>
          <w:b w:val="1"/>
          <w:bCs w:val="1"/>
          <w:i w:val="1"/>
          <w:iCs w:val="1"/>
          <w:color w:val="231F20"/>
        </w:rPr>
        <w:t>We may in the future become involved in lawsuits to protect or enforce our intellectual property or defend ourselves against intellectual property disputes, which could be expensive, time consuming and ultimately unsuccessful, and could result in the diversion of significant resources, thereby hindering our ability to effectively commercialize our existing or future products.</w:t>
      </w:r>
    </w:p>
    <w:p>
      <w:pPr>
        <w:spacing w:after="0" w:line="192" w:lineRule="exact"/>
        <w:rPr>
          <w:sz w:val="20"/>
          <w:szCs w:val="20"/>
          <w:color w:val="auto"/>
        </w:rPr>
      </w:pPr>
    </w:p>
    <w:p>
      <w:pPr>
        <w:ind w:left="60" w:right="419"/>
        <w:spacing w:after="0" w:line="257" w:lineRule="auto"/>
        <w:rPr>
          <w:sz w:val="20"/>
          <w:szCs w:val="20"/>
          <w:color w:val="auto"/>
        </w:rPr>
      </w:pPr>
      <w:r>
        <w:rPr>
          <w:rFonts w:ascii="Arial" w:cs="Arial" w:eastAsia="Arial" w:hAnsi="Arial"/>
          <w:sz w:val="17"/>
          <w:szCs w:val="17"/>
          <w:color w:val="auto"/>
        </w:rPr>
        <w:t>Our success depends in part on obtaining, maintaining and enforcing patents and other intellectual property rights and not infringing the patents or violating the other proprietary rights of others. Intellectual property disputes can be costly to defend and may cause our business, operating results and financial condition to suffer. Significant litigation regarding patent rights occurs in the medical device industry. Whether merited 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not, it is possible that third parties controlling U.S. and foreign patents allege such patents cover our products, or we may decide to initiate infringement claims or litigation to protect our patents or other intellectual property rights. We may also face allegations that our employees have misappropriated the intellectual property rights of their former employers or other third parties. Our competitors in both the U.S.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sell, or export our products. These competitors may have one or more patents for which they can threaten or initiate patent infringement actions against us or any of our third-party suppliers. Further, if such patents are successfully asserted against us, this may result in an adverse impact on our business, including injunctions, damages or attorneys’ fees. Moreover, if we initiate an infringement proceeding, a court may decide that the patent we seek to enforce is invalid or unenforceable or that the patent in question does not cover the technology at issue. From time to time and in the ordinary course of business, we may develop noninfringement or invalidity positions with respect to third-party patents, which may or may not be ultimately adjudicated as successful by a judge or jury if such patents were asserted against us.</w:t>
      </w:r>
    </w:p>
    <w:p>
      <w:pPr>
        <w:spacing w:after="0" w:line="200"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auto"/>
        </w:rPr>
        <w:t>We may receive in the future, particularly as a public company, communications from patent holders, including non-practicing entities, alleging infringement of patents or other intellectual property rights or misappropriation of trade secrets, or offering licenses to such intellectual property. Any claims that we assert against perceived infringers could also provoke these parties to assert counterclaims against us alleging that we infringe their intellectual property rights. At any given time, we may be involved as either a plaintiff or a defendant in a number of patent infringement actions, the outcomes of which may not be known for prolonged periods of time.</w:t>
      </w:r>
    </w:p>
    <w:p>
      <w:pPr>
        <w:spacing w:after="0" w:line="181"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The large number of patents, the rapid rate of new patent applications and issuances, the complexities of the technologies involved and the uncertainty of litigation significantly increase the risks related to any patent litigation. Any potential intellectual property litigation also could require us to do one or more of the following:</w:t>
      </w:r>
    </w:p>
    <w:p>
      <w:pPr>
        <w:spacing w:after="0" w:line="189" w:lineRule="exact"/>
        <w:rPr>
          <w:sz w:val="20"/>
          <w:szCs w:val="20"/>
          <w:color w:val="auto"/>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stop selling, making, using or exporting products that use the disputed intellectual property;</w:t>
      </w:r>
    </w:p>
    <w:p>
      <w:pPr>
        <w:spacing w:after="0" w:line="103" w:lineRule="exact"/>
        <w:rPr>
          <w:rFonts w:ascii="Arial" w:cs="Arial" w:eastAsia="Arial" w:hAnsi="Arial"/>
          <w:sz w:val="18"/>
          <w:szCs w:val="18"/>
          <w:color w:val="231F20"/>
        </w:rPr>
      </w:pPr>
    </w:p>
    <w:p>
      <w:pPr>
        <w:ind w:left="540" w:right="679"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obtain a license from the intellectual property owner to continue selling, making, exporting or using products, which license may require substantial royalty payments and may not be available on reasonable terms, or at all;</w:t>
      </w:r>
    </w:p>
    <w:p>
      <w:pPr>
        <w:spacing w:after="0" w:line="94"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incur significant legal expenses;</w:t>
      </w:r>
    </w:p>
    <w:p>
      <w:pPr>
        <w:spacing w:after="0" w:line="103" w:lineRule="exact"/>
        <w:rPr>
          <w:rFonts w:ascii="Arial" w:cs="Arial" w:eastAsia="Arial" w:hAnsi="Arial"/>
          <w:sz w:val="18"/>
          <w:szCs w:val="18"/>
          <w:color w:val="231F20"/>
        </w:rPr>
      </w:pPr>
    </w:p>
    <w:p>
      <w:pPr>
        <w:ind w:left="540" w:right="319" w:hanging="139"/>
        <w:spacing w:after="0" w:line="246" w:lineRule="auto"/>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pay substantial damages or royalties to the party whose intellectual property rights we may be found to be infringing, potentially including treble damages if the court finds that the infringement was willful;</w:t>
      </w:r>
    </w:p>
    <w:p>
      <w:pPr>
        <w:spacing w:after="0" w:line="88" w:lineRule="exact"/>
        <w:rPr>
          <w:rFonts w:ascii="Arial" w:cs="Arial" w:eastAsia="Arial" w:hAnsi="Arial"/>
          <w:sz w:val="18"/>
          <w:szCs w:val="18"/>
          <w:color w:val="231F20"/>
        </w:rPr>
      </w:pPr>
    </w:p>
    <w:p>
      <w:pPr>
        <w:ind w:left="540" w:right="239" w:hanging="139"/>
        <w:spacing w:after="0" w:line="246" w:lineRule="auto"/>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if a license is available from a third party, we may have to pay substantial royalties, upfront fees or grant cross-licenses to intellectual property rights for our products and services;</w:t>
      </w:r>
    </w:p>
    <w:p>
      <w:pPr>
        <w:spacing w:after="0" w:line="88" w:lineRule="exact"/>
        <w:rPr>
          <w:rFonts w:ascii="Arial" w:cs="Arial" w:eastAsia="Arial" w:hAnsi="Arial"/>
          <w:sz w:val="18"/>
          <w:szCs w:val="18"/>
          <w:color w:val="231F20"/>
        </w:rPr>
      </w:pPr>
    </w:p>
    <w:p>
      <w:pPr>
        <w:ind w:left="540" w:right="539" w:hanging="139"/>
        <w:spacing w:after="0" w:line="246" w:lineRule="auto"/>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pay the attorney fees and costs of litigation to the party whose intellectual property rights we may be found to be infringing;</w:t>
      </w:r>
    </w:p>
    <w:p>
      <w:pPr>
        <w:spacing w:after="0" w:line="88" w:lineRule="exact"/>
        <w:rPr>
          <w:rFonts w:ascii="Arial" w:cs="Arial" w:eastAsia="Arial" w:hAnsi="Arial"/>
          <w:sz w:val="18"/>
          <w:szCs w:val="18"/>
          <w:color w:val="231F20"/>
        </w:rPr>
      </w:pPr>
    </w:p>
    <w:p>
      <w:pPr>
        <w:ind w:left="540" w:right="159" w:hanging="139"/>
        <w:spacing w:after="0" w:line="246" w:lineRule="auto"/>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find non-infringing substitute products, which could be costly and create significant delay due to the need for FDA regulatory clearance;</w:t>
      </w:r>
    </w:p>
    <w:p>
      <w:pPr>
        <w:spacing w:after="0" w:line="88" w:lineRule="exact"/>
        <w:rPr>
          <w:rFonts w:ascii="Arial" w:cs="Arial" w:eastAsia="Arial" w:hAnsi="Arial"/>
          <w:sz w:val="18"/>
          <w:szCs w:val="18"/>
          <w:color w:val="231F20"/>
        </w:rPr>
      </w:pPr>
    </w:p>
    <w:p>
      <w:pPr>
        <w:ind w:left="540" w:right="199" w:hanging="139"/>
        <w:spacing w:after="0" w:line="246" w:lineRule="auto"/>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find alternative supplies for infringing products or processes, which could be costly and create significant delay due to the need for FDA regulatory clearance; or</w:t>
      </w:r>
    </w:p>
    <w:p>
      <w:pPr>
        <w:spacing w:after="0" w:line="88" w:lineRule="exact"/>
        <w:rPr>
          <w:rFonts w:ascii="Arial" w:cs="Arial" w:eastAsia="Arial" w:hAnsi="Arial"/>
          <w:sz w:val="18"/>
          <w:szCs w:val="18"/>
          <w:color w:val="231F20"/>
        </w:rPr>
      </w:pPr>
    </w:p>
    <w:p>
      <w:pPr>
        <w:ind w:left="540" w:right="399" w:hanging="139"/>
        <w:spacing w:after="0" w:line="246" w:lineRule="auto"/>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redesign those products or processes that infringe any third-party intellectual property, which could be costly, disruptive or infeasible.</w:t>
      </w:r>
    </w:p>
    <w:p>
      <w:pPr>
        <w:spacing w:after="0" w:line="89" w:lineRule="exact"/>
        <w:rPr>
          <w:sz w:val="20"/>
          <w:szCs w:val="20"/>
          <w:color w:val="auto"/>
        </w:rPr>
      </w:pPr>
    </w:p>
    <w:p>
      <w:pPr>
        <w:ind w:left="60" w:right="179"/>
        <w:spacing w:after="0" w:line="234" w:lineRule="auto"/>
        <w:rPr>
          <w:sz w:val="20"/>
          <w:szCs w:val="20"/>
          <w:color w:val="auto"/>
        </w:rPr>
      </w:pPr>
      <w:r>
        <w:rPr>
          <w:rFonts w:ascii="Arial" w:cs="Arial" w:eastAsia="Arial" w:hAnsi="Arial"/>
          <w:sz w:val="18"/>
          <w:szCs w:val="18"/>
          <w:color w:val="auto"/>
        </w:rPr>
        <w:t>If a court determines that we failed to secure necessary patents, competitors may be able to market competing products and make, use or sell products that are substantially the same as ours without incurring the sizeable development costs that we have incurred, which would adversely affect our ability to compete.</w:t>
      </w:r>
    </w:p>
    <w:p>
      <w:pPr>
        <w:spacing w:after="0" w:line="2" w:lineRule="exact"/>
        <w:rPr>
          <w:sz w:val="20"/>
          <w:szCs w:val="20"/>
          <w:color w:val="auto"/>
        </w:rPr>
      </w:pPr>
    </w:p>
    <w:p>
      <w:pPr>
        <w:ind w:left="60" w:right="299"/>
        <w:spacing w:after="0" w:line="261"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99"/>
        <w:spacing w:after="0" w:line="246" w:lineRule="auto"/>
        <w:rPr>
          <w:sz w:val="20"/>
          <w:szCs w:val="20"/>
          <w:color w:val="auto"/>
        </w:rPr>
      </w:pPr>
      <w:r>
        <w:rPr>
          <w:rFonts w:ascii="Arial" w:cs="Arial" w:eastAsia="Arial" w:hAnsi="Arial"/>
          <w:sz w:val="18"/>
          <w:szCs w:val="18"/>
          <w:color w:val="auto"/>
        </w:rPr>
        <w:t>or other interim proceedings or developments, and if securities analysts or investors perceive these results to be negative, it could have a material adverse effect on the price of our common stock.</w:t>
      </w:r>
    </w:p>
    <w:p>
      <w:pPr>
        <w:spacing w:after="0" w:line="183" w:lineRule="exact"/>
        <w:rPr>
          <w:sz w:val="20"/>
          <w:szCs w:val="20"/>
          <w:color w:val="auto"/>
        </w:rPr>
      </w:pPr>
    </w:p>
    <w:p>
      <w:pPr>
        <w:ind w:left="60" w:right="479"/>
        <w:spacing w:after="0" w:line="246" w:lineRule="auto"/>
        <w:rPr>
          <w:sz w:val="20"/>
          <w:szCs w:val="20"/>
          <w:color w:val="auto"/>
        </w:rPr>
      </w:pPr>
      <w:r>
        <w:rPr>
          <w:rFonts w:ascii="Arial" w:cs="Arial" w:eastAsia="Arial" w:hAnsi="Arial"/>
          <w:sz w:val="18"/>
          <w:szCs w:val="18"/>
          <w:color w:val="auto"/>
        </w:rPr>
        <w:t>Finally, any uncertainties resulting from the initiation and continuation of any litigation could have a material adverse effect on our ability to raise the funds necessary to continue our operations.</w:t>
      </w:r>
    </w:p>
    <w:p>
      <w:pPr>
        <w:spacing w:after="0" w:line="183"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If any of the foregoing occurs, we may have to withdraw existing products from the market or may be unable to commercialize one or more of our products, all of which could have a material adverse effect on our business, results of operations and financial condition.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our industry grows, the possibility of intellectual property infringement disputes increases.</w:t>
      </w:r>
    </w:p>
    <w:p>
      <w:pPr>
        <w:spacing w:after="0" w:line="191"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addition, we may indemnify our customers, suppliers and international distributors against claims relating to the infringement of the intellectual property rights of third parties relating to our products, methods and/or manufacturing processes. Third parties may assert infringement claims against our customers, suppliers or distributors. These claims may require us to initiate or defend protracted and costly litigation on behalf of our customers, suppliers or distributors, regardless of the merits of these claims. If any of these claims succeed, we may be forced to pay damages on behalf of our customers, suppliers or distributors or may be required to obtain licenses for the products they use. If we cannot obtain all necessary licenses on commercially reasonable terms, our customers may be forced to stop using our products, or our suppliers may be forced to stop providing us with products.</w:t>
      </w:r>
    </w:p>
    <w:p>
      <w:pPr>
        <w:spacing w:after="0" w:line="19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Similarly, interference or derivation proceedings provoked by third parties or brought by the USPTO or any foreign patent authority may be necessary to determine the priority of inventions or other matters of inventorship with respect to our patents or patent applications.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168" w:lineRule="exact"/>
        <w:rPr>
          <w:sz w:val="20"/>
          <w:szCs w:val="20"/>
          <w:color w:val="auto"/>
        </w:rPr>
      </w:pPr>
    </w:p>
    <w:p>
      <w:pPr>
        <w:ind w:left="60" w:right="139"/>
        <w:spacing w:after="0" w:line="287" w:lineRule="auto"/>
        <w:rPr>
          <w:sz w:val="20"/>
          <w:szCs w:val="20"/>
          <w:color w:val="auto"/>
        </w:rPr>
      </w:pPr>
      <w:r>
        <w:rPr>
          <w:rFonts w:ascii="Arial" w:cs="Arial" w:eastAsia="Arial" w:hAnsi="Arial"/>
          <w:sz w:val="18"/>
          <w:szCs w:val="18"/>
          <w:b w:val="1"/>
          <w:bCs w:val="1"/>
          <w:i w:val="1"/>
          <w:iCs w:val="1"/>
          <w:color w:val="231F20"/>
        </w:rPr>
        <w:t>Changes in patent law could diminish the value of patents in general, thereby impairing our ability to protect our existing and future products.</w:t>
      </w:r>
    </w:p>
    <w:p>
      <w:pPr>
        <w:spacing w:after="0" w:line="161"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On September 16, 2011, the Leahy-Smith America Invents Act (the “Leahy-Smith Act”) was signed into law. The Leahy-Smith Act includes a number of significant changes to U.S. patent law. These include provisions that affect the way patent applications are prosecuted, redefine prior art, may affect patent litigation and switched the U.S.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in particular, the first-to-file provisions, became effective on March 16, 2013.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639"/>
        <w:spacing w:after="0" w:line="274" w:lineRule="auto"/>
        <w:rPr>
          <w:sz w:val="20"/>
          <w:szCs w:val="20"/>
          <w:color w:val="auto"/>
        </w:rPr>
      </w:pPr>
      <w:r>
        <w:rPr>
          <w:rFonts w:ascii="Arial" w:cs="Arial" w:eastAsia="Arial" w:hAnsi="Arial"/>
          <w:sz w:val="17"/>
          <w:szCs w:val="17"/>
          <w:color w:val="auto"/>
        </w:rPr>
        <w:t>In addition, patent reform legislation may pass in the future that could lead to additional uncertainties and increased costs surrounding the prosecution, enforcement and defense of our patents and applications.</w:t>
      </w:r>
    </w:p>
    <w:p>
      <w:pPr>
        <w:spacing w:after="0" w:line="161"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Furthermore, the U.S. and foreign courts are continually interpreting various aspects of patent law. We cannot predict with any reasonable certainty how the evolution of the interpretation of these laws will affect our business. However, it is possible that changes may materially affect our patents or patent applications and our ability to obtain additional patent protection in the future.</w:t>
      </w:r>
    </w:p>
    <w:p>
      <w:pPr>
        <w:spacing w:after="0" w:line="169"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b w:val="1"/>
          <w:bCs w:val="1"/>
          <w:i w:val="1"/>
          <w:iCs w:val="1"/>
          <w:color w:val="231F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own, which would have a material adverse effect on our business.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may not be able to adequately protect our intellectual property rights throughout the world.</w:t>
      </w:r>
    </w:p>
    <w:p>
      <w:pPr>
        <w:spacing w:after="0" w:line="27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U.S. Consequently, we may not be able to prevent third parties from practicing our inventions in all countries outside the U.S.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spacing w:after="0" w:line="19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do not have patent rights in certain foreign countries in which a market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lawsuits that we initiate, and the damages or other remedies awarded, if any, may not be commercially meaningful. Thus, we may not be able to stop a competitor from marketing and selling in foreign countries products that are the same as or similar to our products, and our competitive position in the international market would be harmed.</w:t>
      </w:r>
    </w:p>
    <w:p>
      <w:pPr>
        <w:spacing w:after="0" w:line="172"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b w:val="1"/>
          <w:bCs w:val="1"/>
          <w:i w:val="1"/>
          <w:iCs w:val="1"/>
          <w:color w:val="231F20"/>
        </w:rPr>
        <w:t>We may be subject to damages resulting from claims that we or our employees have wrongfully used or disclosed alleged trade secrets of our competitors or are in breach of non-disclosure or confidentiality agreements with our competitors.</w:t>
      </w:r>
    </w:p>
    <w:p>
      <w:pPr>
        <w:spacing w:after="0" w:line="191"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We could in the future be subject to claims that we or our employees have inadvertently or otherwise used or disclosed alleged trade secrets or other proprietary information about former employers or competitors. Although we have procedures in place that seek to prevent our employees and consultants from using the intellectual property, proprietary information, know-how or trade secrets of others in their work for us, we may in the future be subject to claims that we caused an employee to breach the terms of his or her non-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disclosure or confidentiality agreement, or that we or these individuals have, inadvertently or otherwise, used or disclosed the alleged trade secrets or other proprietary information of a former employer or competitor, resulting in litigation. Even if we are successful in defending against these claims, the litigation could be costly and a distraction to management. If we are unsuccessful in defending against these claims,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would have a material adverse effect on our business, and may prevent us from selling our products or from practicing our processes. In addition, we may lose valuable intellectual property rights.</w:t>
      </w:r>
    </w:p>
    <w:p>
      <w:pPr>
        <w:spacing w:after="0" w:line="170" w:lineRule="exact"/>
        <w:rPr>
          <w:sz w:val="20"/>
          <w:szCs w:val="20"/>
          <w:color w:val="auto"/>
        </w:rPr>
      </w:pPr>
    </w:p>
    <w:p>
      <w:pPr>
        <w:ind w:left="60" w:right="119"/>
        <w:spacing w:after="0" w:line="287"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161"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Our registered or unregistered trademarks or trade names may be challenged, infringed, circumvented, declared generic or determined to be infringing on other marks. We may not be able to protect our rights in these trademarks and trade names, which we need in order to build name recognition with potential partners or customers in our markets of interest. In addition, third parties have registered trademarks similar and identical to our trademarks in foreign jurisdictions, and may in the future file for registration of such trademarks. If they succeed in registering or developing common law rights in such trademarks, and if we were not successful in challenging such third-party rights, we may not be able to use these trademarks to market our products in those countries. In any case, if we are unable to establish name recognition based on our trademarks and trade names, then we may not be able to compete effectively and our business may be adversely affected.</w:t>
      </w:r>
    </w:p>
    <w:p>
      <w:pPr>
        <w:spacing w:after="0" w:line="185" w:lineRule="exact"/>
        <w:rPr>
          <w:sz w:val="20"/>
          <w:szCs w:val="20"/>
          <w:color w:val="auto"/>
        </w:rPr>
      </w:pPr>
    </w:p>
    <w:p>
      <w:pPr>
        <w:ind w:left="60" w:right="779"/>
        <w:spacing w:after="0" w:line="303" w:lineRule="auto"/>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may be harmed</w:t>
      </w:r>
      <w:r>
        <w:rPr>
          <w:rFonts w:ascii="Arial" w:cs="Arial" w:eastAsia="Arial" w:hAnsi="Arial"/>
          <w:sz w:val="18"/>
          <w:szCs w:val="18"/>
          <w:i w:val="1"/>
          <w:iCs w:val="1"/>
          <w:color w:val="231F20"/>
        </w:rPr>
        <w:t>.</w:t>
      </w:r>
    </w:p>
    <w:p>
      <w:pPr>
        <w:spacing w:after="0" w:line="17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 addition to patent and trademark protection,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consultants and vendors and our employees. We also enter into confidentiality and invention or patent assignment agreements with our employees and consultants. Despite these efforts, however, any of these parties may breach the agreements and disclose our trade secrets and other unpatented or unregistered proprietary information, and once disclosed, we are likely to lose trade secret protection. Monitoring unauthorized uses and disclosures of our intellectual property is difficult, and we do not know whether the steps we have taken to protect our intellectual property will be sufficient.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U.S. are reluctant or unwilling to enforce trade secret protection.</w:t>
      </w:r>
    </w:p>
    <w:p>
      <w:pPr>
        <w:spacing w:after="0" w:line="19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Further, our competitors may independently develop knowledge, methods and know-how similar, equivalent or superior to our proprietary technology. Competitors could purchase our products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trade secrets were to be lawfully obtained or independently developed by a competitor, we would have no right to prevent them, or those with whom they share it, from using that technology or information to compete with us and our competitive position could be adversely affected. If our intellectual property is not adequately protected to protect our market against competitors’ products and methods, our competitive position and business could be adversely affected.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our financial and operating results</w:t>
      </w:r>
    </w:p>
    <w:p>
      <w:pPr>
        <w:spacing w:after="0" w:line="198"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b w:val="1"/>
          <w:bCs w:val="1"/>
          <w:i w:val="1"/>
          <w:iCs w:val="1"/>
          <w:color w:val="231F20"/>
        </w:rPr>
        <w:t>We may be required to obtain additional funds in the future, and these funds may not be available on acceptable terms or at all.</w:t>
      </w:r>
    </w:p>
    <w:p>
      <w:pPr>
        <w:spacing w:after="0" w:line="176"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Our operations have consumed substantial amounts of cash since inception, and we anticipate our expenses will increase as we continue to build our commercial sales force in the U.S., investigate the potential use of Barostim for the treatment of other HF conditions, continue to grow our business and operate as a public company. We believe that our growth will depend, in part, on our ability to fund our commercialization and research and development efforts. We believe that our existing cash, cash equivalents, short-term investments and revenue will be sufficient to meet our capital requirements and fund our operations for at least the next three years. However, we have based these estimates on assumptions that may prove to be incorrect, and we could spend our available financial resources much faster than we currently expect. As a result, we may need to seek additional funds in the future. If we are unable to raise funds on favorable terms, or at all, we may not be able to support our commercialization efforts or increase our research and development activities and the growth of our business may be negatively impacted. As a result, we may be unable to compete effectively. For the fiscal years ended December 31, 2022 and 2021, net cash used in operating activities was $ 42.7 million and $27.7 million, respectively. Our cash requirements in the future may be significantly different from our current estimates and depend on many factors, including, among others:</w:t>
      </w:r>
    </w:p>
    <w:p>
      <w:pPr>
        <w:spacing w:after="0" w:line="200" w:lineRule="exact"/>
        <w:rPr>
          <w:sz w:val="20"/>
          <w:szCs w:val="20"/>
          <w:color w:val="auto"/>
        </w:rPr>
      </w:pPr>
    </w:p>
    <w:p>
      <w:pPr>
        <w:ind w:left="540" w:hanging="139"/>
        <w:spacing w:after="0"/>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scope and timing of our continued investment in our U.S. commercial infrastructure and sales force;</w:t>
      </w:r>
    </w:p>
    <w:p>
      <w:pPr>
        <w:spacing w:after="0" w:line="103" w:lineRule="exact"/>
        <w:rPr>
          <w:rFonts w:ascii="Arial" w:cs="Arial" w:eastAsia="Arial" w:hAnsi="Arial"/>
          <w:sz w:val="18"/>
          <w:szCs w:val="18"/>
          <w:color w:val="231F20"/>
        </w:rPr>
      </w:pPr>
    </w:p>
    <w:p>
      <w:pPr>
        <w:ind w:left="540" w:right="919" w:hanging="139"/>
        <w:spacing w:after="0" w:line="274" w:lineRule="auto"/>
        <w:tabs>
          <w:tab w:leader="none" w:pos="540" w:val="left"/>
        </w:tabs>
        <w:numPr>
          <w:ilvl w:val="0"/>
          <w:numId w:val="34"/>
        </w:numPr>
        <w:rPr>
          <w:rFonts w:ascii="Arial" w:cs="Arial" w:eastAsia="Arial" w:hAnsi="Arial"/>
          <w:sz w:val="17"/>
          <w:szCs w:val="17"/>
          <w:color w:val="231F20"/>
        </w:rPr>
      </w:pPr>
      <w:r>
        <w:rPr>
          <w:rFonts w:ascii="Arial" w:cs="Arial" w:eastAsia="Arial" w:hAnsi="Arial"/>
          <w:sz w:val="17"/>
          <w:szCs w:val="17"/>
          <w:color w:val="auto"/>
        </w:rPr>
        <w:t>the costs of commercialization activities, including product sales, marketing, manufacturing and distribution and hiring additional members for our direct sales and marketing team in the U.S.;</w:t>
      </w:r>
    </w:p>
    <w:p>
      <w:pPr>
        <w:spacing w:after="0" w:line="66" w:lineRule="exact"/>
        <w:rPr>
          <w:rFonts w:ascii="Arial" w:cs="Arial" w:eastAsia="Arial" w:hAnsi="Arial"/>
          <w:sz w:val="17"/>
          <w:szCs w:val="17"/>
          <w:color w:val="231F20"/>
        </w:rPr>
      </w:pPr>
    </w:p>
    <w:p>
      <w:pPr>
        <w:ind w:left="540" w:hanging="139"/>
        <w:spacing w:after="0"/>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degree and rate of market acceptance of Barostim;</w:t>
      </w:r>
    </w:p>
    <w:p>
      <w:pPr>
        <w:spacing w:after="0" w:line="103" w:lineRule="exact"/>
        <w:rPr>
          <w:rFonts w:ascii="Arial" w:cs="Arial" w:eastAsia="Arial" w:hAnsi="Arial"/>
          <w:sz w:val="18"/>
          <w:szCs w:val="18"/>
          <w:color w:val="231F20"/>
        </w:rPr>
      </w:pPr>
    </w:p>
    <w:p>
      <w:pPr>
        <w:ind w:left="540" w:right="99" w:hanging="139"/>
        <w:spacing w:after="0" w:line="246" w:lineRule="auto"/>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research and development activities we intend to undertake in order to pursue product enhancements and expand HF indications;</w:t>
      </w:r>
    </w:p>
    <w:p>
      <w:pPr>
        <w:spacing w:after="0" w:line="88" w:lineRule="exact"/>
        <w:rPr>
          <w:rFonts w:ascii="Arial" w:cs="Arial" w:eastAsia="Arial" w:hAnsi="Arial"/>
          <w:sz w:val="18"/>
          <w:szCs w:val="18"/>
          <w:color w:val="231F20"/>
        </w:rPr>
      </w:pPr>
    </w:p>
    <w:p>
      <w:pPr>
        <w:ind w:left="540" w:right="219" w:hanging="139"/>
        <w:spacing w:after="0" w:line="246" w:lineRule="auto"/>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costs of filing, prosecuting, defending and enforcing any patent claims and other intellectual property rights;</w:t>
      </w:r>
    </w:p>
    <w:p>
      <w:pPr>
        <w:spacing w:after="0" w:line="88" w:lineRule="exact"/>
        <w:rPr>
          <w:rFonts w:ascii="Arial" w:cs="Arial" w:eastAsia="Arial" w:hAnsi="Arial"/>
          <w:sz w:val="18"/>
          <w:szCs w:val="18"/>
          <w:color w:val="231F20"/>
        </w:rPr>
      </w:pPr>
    </w:p>
    <w:p>
      <w:pPr>
        <w:ind w:left="540" w:hanging="139"/>
        <w:spacing w:after="0"/>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our need to implement additional infrastructure and internal systems;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our ability to hire additional personnel to support our operations as a public company;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emergence of competing technologies or other adverse market developments.</w:t>
      </w:r>
    </w:p>
    <w:p>
      <w:pPr>
        <w:spacing w:after="0" w:line="104" w:lineRule="exact"/>
        <w:rPr>
          <w:sz w:val="20"/>
          <w:szCs w:val="20"/>
          <w:color w:val="auto"/>
        </w:rPr>
      </w:pPr>
    </w:p>
    <w:p>
      <w:pPr>
        <w:jc w:val="both"/>
        <w:ind w:left="60" w:right="399"/>
        <w:spacing w:after="0"/>
        <w:rPr>
          <w:sz w:val="20"/>
          <w:szCs w:val="20"/>
          <w:color w:val="auto"/>
        </w:rPr>
      </w:pPr>
      <w:r>
        <w:rPr>
          <w:rFonts w:ascii="Arial" w:cs="Arial" w:eastAsia="Arial" w:hAnsi="Arial"/>
          <w:sz w:val="18"/>
          <w:szCs w:val="18"/>
          <w:color w:val="auto"/>
        </w:rPr>
        <w:t>To finance certain of these activities, we may seek funds through borrowings or through additional rounds of financing, including private or public equity or debt offerings and collaborative arrangements with corporate partners. We may be unable to raise funds on favorable terms, or at all.</w:t>
      </w:r>
    </w:p>
    <w:p>
      <w:pPr>
        <w:spacing w:after="0" w:line="18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sale of additional equity or convertible debt securities could result in additional dilution to our stockholders. If we borrow additional funds or issue debt securities, these securities could have rights superior to holders of our common stock and could contain covenants that will restrict our operations, including limitations on our ability to incur liens or additional debt, pay dividends, repurchase our common stock, make certain investments and engage in certain merger, consolidation or asset sale transactions. For example, our Loan and Security Agreement (the “Loan Agreement”) with Innovatus Life Sciences Fund I, LP (“Innovatus”) restricts us from paying dividends or making other distributions or payments on our capital stock, subject to limited exceptions. We might have to obtain funds through arrangements with collaborative partners or others that may require us to relinquish rights to our technologies, product candidates or products that we otherwise would not relinquish. If we do not obtain additional resources, our ability to capitalize on business opportunities will be limited, we may be unable to compete effectively and the growth of our business may be adversely affected.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b w:val="1"/>
          <w:bCs w:val="1"/>
          <w:i w:val="1"/>
          <w:iCs w:val="1"/>
          <w:color w:val="231F20"/>
        </w:rPr>
        <w:t>Our operating results may vary significantly annually or from quarter to quarter, which may negatively impact our stock price in the future.</w:t>
      </w:r>
    </w:p>
    <w:p>
      <w:pPr>
        <w:spacing w:after="0" w:line="176"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auto"/>
        </w:rPr>
        <w:t>Our revenue and results of operations may fluctuate annually or from quarter to quarter due to, among others, the following reasons:</w:t>
      </w:r>
    </w:p>
    <w:p>
      <w:pPr>
        <w:spacing w:after="0" w:line="183" w:lineRule="exact"/>
        <w:rPr>
          <w:sz w:val="20"/>
          <w:szCs w:val="20"/>
          <w:color w:val="auto"/>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physician and payor acceptance of Barostim and Barostim Therapy;</w:t>
      </w:r>
    </w:p>
    <w:p>
      <w:pPr>
        <w:spacing w:after="0" w:line="103" w:lineRule="exact"/>
        <w:rPr>
          <w:rFonts w:ascii="Arial" w:cs="Arial" w:eastAsia="Arial" w:hAnsi="Arial"/>
          <w:sz w:val="18"/>
          <w:szCs w:val="18"/>
          <w:color w:val="231F20"/>
        </w:rPr>
      </w:pPr>
    </w:p>
    <w:p>
      <w:pPr>
        <w:ind w:left="540" w:right="599" w:hanging="139"/>
        <w:spacing w:after="0" w:line="246" w:lineRule="auto"/>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the timing, expense and results of research and development activities, clinical trials and regulatory approvals;</w:t>
      </w:r>
    </w:p>
    <w:p>
      <w:pPr>
        <w:spacing w:after="0" w:line="88" w:lineRule="exact"/>
        <w:rPr>
          <w:rFonts w:ascii="Arial" w:cs="Arial" w:eastAsia="Arial" w:hAnsi="Arial"/>
          <w:sz w:val="18"/>
          <w:szCs w:val="18"/>
          <w:color w:val="231F20"/>
        </w:rPr>
      </w:pPr>
    </w:p>
    <w:p>
      <w:pPr>
        <w:ind w:left="540" w:right="379" w:hanging="139"/>
        <w:spacing w:after="0" w:line="246" w:lineRule="auto"/>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fluctuations in our expenses associated with expanding our commercial operations and operating as a public company;</w:t>
      </w:r>
    </w:p>
    <w:p>
      <w:pPr>
        <w:spacing w:after="0" w:line="88"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the introduction of new products and technologies by our competitors;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the productivity of our sales representatives;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supplier, manufacturing or quality problems with our products;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the timing of stocking orders from our distributors;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changes in our pricing policies or in the pricing policies of our competitors or suppliers;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changes in coverage amounts or government and third-party payors’ reimbursement policies.</w:t>
      </w:r>
    </w:p>
    <w:p>
      <w:pPr>
        <w:spacing w:after="0" w:line="104" w:lineRule="exact"/>
        <w:rPr>
          <w:sz w:val="20"/>
          <w:szCs w:val="20"/>
          <w:color w:val="auto"/>
        </w:rPr>
      </w:pPr>
    </w:p>
    <w:p>
      <w:pPr>
        <w:ind w:left="60" w:right="259"/>
        <w:spacing w:after="0" w:line="246" w:lineRule="auto"/>
        <w:rPr>
          <w:sz w:val="20"/>
          <w:szCs w:val="20"/>
          <w:color w:val="auto"/>
        </w:rPr>
      </w:pPr>
      <w:r>
        <w:rPr>
          <w:rFonts w:ascii="Arial" w:cs="Arial" w:eastAsia="Arial" w:hAnsi="Arial"/>
          <w:sz w:val="18"/>
          <w:szCs w:val="18"/>
          <w:color w:val="auto"/>
        </w:rPr>
        <w:t>Because of these and other factors, it is possible that our operating results will not meet investor expectations or those of public market analysts.</w:t>
      </w:r>
    </w:p>
    <w:p>
      <w:pPr>
        <w:spacing w:after="0" w:line="183"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Any unanticipated change in revenues or operating results is likely to cause our stock price to fluctuate. New information may cause investors and analysts to revalue our business, which could also cause a fluctuation in our stock price.</w:t>
      </w:r>
    </w:p>
    <w:p>
      <w:pPr>
        <w:spacing w:after="0" w:line="140" w:lineRule="exact"/>
        <w:rPr>
          <w:sz w:val="20"/>
          <w:szCs w:val="20"/>
          <w:color w:val="auto"/>
        </w:rPr>
      </w:pPr>
    </w:p>
    <w:p>
      <w:pPr>
        <w:ind w:left="60" w:right="219"/>
        <w:spacing w:after="0" w:line="318" w:lineRule="auto"/>
        <w:rPr>
          <w:sz w:val="20"/>
          <w:szCs w:val="20"/>
          <w:color w:val="auto"/>
        </w:rPr>
      </w:pPr>
      <w:r>
        <w:rPr>
          <w:rFonts w:ascii="Arial" w:cs="Arial" w:eastAsia="Arial" w:hAnsi="Arial"/>
          <w:sz w:val="18"/>
          <w:szCs w:val="18"/>
          <w:b w:val="1"/>
          <w:bCs w:val="1"/>
          <w:i w:val="1"/>
          <w:iCs w:val="1"/>
          <w:color w:val="231F20"/>
        </w:rPr>
        <w:t>We are required to maintain high levels of inventory, which could consume a significant amount of our resources, reduce our cash flows and lead to inventory impairment charges.</w:t>
      </w:r>
    </w:p>
    <w:p>
      <w:pPr>
        <w:spacing w:after="0" w:line="148"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auto"/>
        </w:rPr>
        <w:t>Our product consists of a substantial number of individual components. In order to market and sell Barostim effectively, we often must maintain high levels of inventory. The manufacturing process requires lengthy lead times, during which components of our products may become obsolete, and we may over- or under-estimate the amount needed of a given component, in which case we may expend extra resources or be constrained in the amount of end product that we can produce. As compared to direct manufacturers, our dependence on third-party manufacturers for our component parts exposes us to greater lead times.</w:t>
      </w:r>
    </w:p>
    <w:p>
      <w:pPr>
        <w:spacing w:after="0" w:line="156" w:lineRule="exact"/>
        <w:rPr>
          <w:sz w:val="20"/>
          <w:szCs w:val="20"/>
          <w:color w:val="auto"/>
        </w:rPr>
      </w:pPr>
    </w:p>
    <w:p>
      <w:pPr>
        <w:ind w:left="60" w:right="359"/>
        <w:spacing w:after="0" w:line="303" w:lineRule="auto"/>
        <w:rPr>
          <w:sz w:val="20"/>
          <w:szCs w:val="20"/>
          <w:color w:val="auto"/>
        </w:rPr>
      </w:pPr>
      <w:r>
        <w:rPr>
          <w:rFonts w:ascii="Arial" w:cs="Arial" w:eastAsia="Arial" w:hAnsi="Arial"/>
          <w:sz w:val="18"/>
          <w:szCs w:val="18"/>
          <w:b w:val="1"/>
          <w:bCs w:val="1"/>
          <w:i w:val="1"/>
          <w:iCs w:val="1"/>
          <w:color w:val="231F20"/>
        </w:rPr>
        <w:t>The seasonality of our business creates variance in our quarterly revenue, which makes it difficult to compare or forecast our financial results.</w:t>
      </w:r>
    </w:p>
    <w:p>
      <w:pPr>
        <w:spacing w:after="0" w:line="17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expect that any revenue we generate could fluctuate from quarter to quarter as a result of timing and seasonality. We anticipate mild seasonality based on national holiday patterns specific to certain nations. These seasonal variations are difficult to predict accurately, may vary amongst different markets, and at times may be entirely unpredictable. In addition to the above factors, in the U.S. it is possible that we may experience seasonality based on patients’ annual deductibility limits under their health insurance coverage. While historically seasonality has been minimal, we anticipate increased seasonality due to our increased focus on sales within the U.S. These seasonal variations are difficult to predict accurately, may vary among different markets and at times may be entirely unpredictable, which introduces additional risk into our business as we rely upon forecasts of customer demand to build inventory in advance of anticipated sales. In addition, we believe our limited history commercializing our products has, in part, made our seasonal patterns more difficult to discern and therefore predict.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859"/>
        <w:spacing w:after="0" w:line="318" w:lineRule="auto"/>
        <w:rPr>
          <w:sz w:val="20"/>
          <w:szCs w:val="20"/>
          <w:color w:val="auto"/>
        </w:rPr>
      </w:pPr>
      <w:r>
        <w:rPr>
          <w:rFonts w:ascii="Arial" w:cs="Arial" w:eastAsia="Arial" w:hAnsi="Arial"/>
          <w:sz w:val="18"/>
          <w:szCs w:val="18"/>
          <w:b w:val="1"/>
          <w:bCs w:val="1"/>
          <w:i w:val="1"/>
          <w:iCs w:val="1"/>
          <w:color w:val="231F20"/>
        </w:rPr>
        <w:t>We are subject to risks associated with currency fluctuations, and changes in foreign currency exchange rates could impact our results of operations.</w:t>
      </w:r>
    </w:p>
    <w:p>
      <w:pPr>
        <w:spacing w:after="0" w:line="148"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A portion of our current business is located outside the U.S. and, as a result, we generate revenue and incur expenses denominated in currencies other than the U.S. dollar, a majority of which is denominated in Euros. As a result, changes in the exchange rates between such foreign currencies, particularly the Euro and the U.S. dollar, could materially impact our reported results of operations and distort period to period comparisons. Fluctuations in foreign currency exchange rates also impact the reporting of our receivables and payables in non-U.S. currencies.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could be adversely affected. In the future, we may engage in exchange rate hedging activities in an effort to mitigate the impact of exchange rate fluctuations. If our hedging activities are not effective, changes in currency exchange rates may have a more significant impact on our results of operations.</w:t>
      </w:r>
    </w:p>
    <w:p>
      <w:pPr>
        <w:spacing w:after="0" w:line="155" w:lineRule="exact"/>
        <w:rPr>
          <w:sz w:val="20"/>
          <w:szCs w:val="20"/>
          <w:color w:val="auto"/>
        </w:rPr>
      </w:pPr>
    </w:p>
    <w:p>
      <w:pPr>
        <w:ind w:left="60" w:right="79"/>
        <w:spacing w:after="0" w:line="292" w:lineRule="auto"/>
        <w:rPr>
          <w:sz w:val="20"/>
          <w:szCs w:val="20"/>
          <w:color w:val="auto"/>
        </w:rPr>
      </w:pPr>
      <w:r>
        <w:rPr>
          <w:rFonts w:ascii="Arial" w:cs="Arial" w:eastAsia="Arial" w:hAnsi="Arial"/>
          <w:sz w:val="18"/>
          <w:szCs w:val="18"/>
          <w:b w:val="1"/>
          <w:bCs w:val="1"/>
          <w:i w:val="1"/>
          <w:iCs w:val="1"/>
          <w:color w:val="231F20"/>
        </w:rPr>
        <w:t>Our ability to use our net operating losses and tax credits to offset future taxable income and taxes may be subject to certain limitations, and we may not be able to utilize a significant portion of our net operating loss and tax credit carryforwards prior to their expiration.</w:t>
      </w:r>
    </w:p>
    <w:p>
      <w:pPr>
        <w:spacing w:after="0" w:line="171"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have generated and expect to continue to generate significant federal and state net operating loss (“NOLs”) and tax credit carryforwards. As of December 31, 2022, we had federal and state NOL carryforwards of approximately $361.0 million and $6.2 million, respectively. The federal NOLs began expiring in 2021 and state NOLs began expiring in 2020. As of December 31, 2022, we had federal and state tax credit carryforwards of approximately $9.3 million and $1.8 million, respectively. The federal and state tax credit carryforwards began expiring in 2021 and begin expiring in 2028, respectively. These NOL and tax credit carryforwards could expire unused and be unavailable to offset future income tax liabilities. Under the legislation enacted on December 22, 2017 commonly referred to as the “Tax Cuts and Jobs Act,” as modified by the Coronavirus Aid, Relief, and Economic Security Act, federal NOLs incurred in taxable years beginning after December 31, 2017 may be carried forward indefinitely, but the deductibility of such federal NOLs incurred in taxable years beginning after December 31, 2020 is limited.</w:t>
      </w:r>
    </w:p>
    <w:p>
      <w:pPr>
        <w:spacing w:after="0" w:line="19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addition, under Sections 382 and 383 of the U.S. Internal Revenue Code of 1986, as amended (the “Code”), a corporation that undergoes an “ownership change” is subject to limitations on its ability to utilize its pre-change NOLs and specified other tax credit carryforwards, such as research and development tax credits, to offset future taxable income and taxes. We may have previously experienced, and may in the future experience, one or more “ownership changes” for purposes of the rules under Section 382 and 383 of the Code, including in connection with our IPO. If so, or if we do not generate sufficient taxable income, we may not be able to utilize a material portion of our NOLs and tax credits, even if we achieve profitability. If we are limited in our ability to use our NOLs and tax credits in future years in which we have taxable income, we will pay more taxes than if we were able to fully utilize our NOLs and tax credits. This could materially and adversely affect our results of operations by effectively increasing our future tax obligations.</w:t>
      </w:r>
    </w:p>
    <w:p>
      <w:pPr>
        <w:spacing w:after="0" w:line="143" w:lineRule="exact"/>
        <w:rPr>
          <w:sz w:val="20"/>
          <w:szCs w:val="20"/>
          <w:color w:val="auto"/>
        </w:rPr>
      </w:pPr>
    </w:p>
    <w:p>
      <w:pPr>
        <w:ind w:left="60" w:right="439"/>
        <w:spacing w:after="0" w:line="318" w:lineRule="auto"/>
        <w:rPr>
          <w:sz w:val="20"/>
          <w:szCs w:val="20"/>
          <w:color w:val="auto"/>
        </w:rPr>
      </w:pPr>
      <w:r>
        <w:rPr>
          <w:rFonts w:ascii="Arial" w:cs="Arial" w:eastAsia="Arial" w:hAnsi="Arial"/>
          <w:sz w:val="18"/>
          <w:szCs w:val="18"/>
          <w:b w:val="1"/>
          <w:bCs w:val="1"/>
          <w:i w:val="1"/>
          <w:iCs w:val="1"/>
          <w:color w:val="231F20"/>
        </w:rPr>
        <w:t>We are subject to complex tax rules, and any audits, investigations or tax proceedings could have a material adverse effect on our business, results of operations and financial condition.</w:t>
      </w:r>
    </w:p>
    <w:p>
      <w:pPr>
        <w:spacing w:after="0" w:line="148"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are subject to income and/or non-income taxes in the U.S., Switzerland, Italy, Germany, France and the Netherlands, as well as the tax laws and regulations related to such matters. Tax accounting and compliance often involves complex issues, and judgment and interpretation is required in determining our provision for income taxes and other tax liabilities as well as the application of tax laws and regulations. In that respect, many jurisdictions have detailed transfer pricing rules, which require that all transactions with related parties be priced using arm’s length pricing principles within the meaning of such rules. The application of such transfer pricing rules, as well as of withholding taxes, goods and services taxes, sales taxes and other taxes is not always clear, and we may be subject to tax audits relating to such rules or taxes.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believe that our tax positions are reasonable, and our tax provisions and reserves are adequate to cover any potential liability. However, various items cannot be accurately forecasted, and future events may be treated as discrete to the period in which they occur. In addition, the Internal Revenue Service or other taxing authorities may disagree with our positions. If the Internal Revenue Service or any other tax authorities were successful in challenging our positions, we may be liable for additional tax and penalties and interest related thereto or other taxes, as applicable, in excess of any reserves established therefor, which may have a significant impact on our results, operations and future cash flow.</w:t>
      </w:r>
    </w:p>
    <w:p>
      <w:pPr>
        <w:spacing w:after="0" w:line="154" w:lineRule="exact"/>
        <w:rPr>
          <w:sz w:val="20"/>
          <w:szCs w:val="20"/>
          <w:color w:val="auto"/>
        </w:rPr>
      </w:pPr>
    </w:p>
    <w:p>
      <w:pPr>
        <w:ind w:left="60" w:right="539"/>
        <w:spacing w:after="0" w:line="303" w:lineRule="auto"/>
        <w:rPr>
          <w:sz w:val="20"/>
          <w:szCs w:val="20"/>
          <w:color w:val="auto"/>
        </w:rPr>
      </w:pPr>
      <w:r>
        <w:rPr>
          <w:rFonts w:ascii="Arial" w:cs="Arial" w:eastAsia="Arial" w:hAnsi="Arial"/>
          <w:sz w:val="18"/>
          <w:szCs w:val="18"/>
          <w:b w:val="1"/>
          <w:bCs w:val="1"/>
          <w:i w:val="1"/>
          <w:iCs w:val="1"/>
          <w:color w:val="231F20"/>
        </w:rPr>
        <w:t>Changes in U.S. and non-U.S. tax laws could adversely affect our financial condition and results of operations.</w:t>
      </w:r>
    </w:p>
    <w:p>
      <w:pPr>
        <w:spacing w:after="0" w:line="17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rules dealing with U.S. and non-U.S. tax matters are constantly under review by persons involved in the legislative, judicial, administrative, regulatory and related governmental processes and authorities. Changes to tax laws or the interpretation and application thereof (which changes may have retroactive application) could adversely affect us or holders of our common stock. In recent years, many such changes have been made and changes are likely to continue to occur in the future. Future changes in U.S. and non-U.S. tax laws could have a material adverse effect on our business, cash flow, financial condition or results of operations. We urge investors to consult with their legal and tax advisors regarding the implications of potential changes in U.S. and non-U.S. tax laws on an investment in our common stock.</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regulation of our industry</w:t>
      </w:r>
    </w:p>
    <w:p>
      <w:pPr>
        <w:spacing w:after="0" w:line="225" w:lineRule="exact"/>
        <w:rPr>
          <w:sz w:val="20"/>
          <w:szCs w:val="20"/>
          <w:color w:val="auto"/>
        </w:rPr>
      </w:pPr>
    </w:p>
    <w:p>
      <w:pPr>
        <w:ind w:left="60" w:right="479"/>
        <w:spacing w:after="0" w:line="303" w:lineRule="auto"/>
        <w:rPr>
          <w:sz w:val="20"/>
          <w:szCs w:val="20"/>
          <w:color w:val="auto"/>
        </w:rPr>
      </w:pPr>
      <w:r>
        <w:rPr>
          <w:rFonts w:ascii="Arial" w:cs="Arial" w:eastAsia="Arial" w:hAnsi="Arial"/>
          <w:sz w:val="18"/>
          <w:szCs w:val="18"/>
          <w:b w:val="1"/>
          <w:bCs w:val="1"/>
          <w:i w:val="1"/>
          <w:iCs w:val="1"/>
          <w:color w:val="231F20"/>
        </w:rPr>
        <w:t>Barostim is subject to extensive governmental regulation, and our failure to comply with applicable requirements could cause our business to suffer.</w:t>
      </w:r>
    </w:p>
    <w:p>
      <w:pPr>
        <w:spacing w:after="0" w:line="174"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and foreign regulatory agencies and authorities, such as the EU legislative bodies and the EEA member state competent authorities. The FDA and other U.S., EEA and foreign governmental agencies and authorities regulate and oversee, among other things, with respect to medical devices:</w:t>
      </w:r>
    </w:p>
    <w:p>
      <w:pPr>
        <w:spacing w:after="0" w:line="191" w:lineRule="exact"/>
        <w:rPr>
          <w:sz w:val="20"/>
          <w:szCs w:val="20"/>
          <w:color w:val="auto"/>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design, development and manufacturing;</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testing, labeling, content and language of instructions for use and storage;</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clinical trials;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product safety;</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marketing, sales and distribution;</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pre-market regulatory clearance and approval;</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conformity assessment procedures;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record-keeping procedures;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advertising and promotion;</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recalls and other field safety corrective actions;</w:t>
      </w:r>
    </w:p>
    <w:p>
      <w:pPr>
        <w:spacing w:after="0" w:line="103" w:lineRule="exact"/>
        <w:rPr>
          <w:rFonts w:ascii="Arial" w:cs="Arial" w:eastAsia="Arial" w:hAnsi="Arial"/>
          <w:sz w:val="18"/>
          <w:szCs w:val="18"/>
          <w:color w:val="231F20"/>
        </w:rPr>
      </w:pPr>
    </w:p>
    <w:p>
      <w:pPr>
        <w:ind w:left="540" w:right="379" w:hanging="139"/>
        <w:spacing w:after="0" w:line="246" w:lineRule="auto"/>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88" w:lineRule="exact"/>
        <w:rPr>
          <w:rFonts w:ascii="Arial" w:cs="Arial" w:eastAsia="Arial" w:hAnsi="Arial"/>
          <w:sz w:val="18"/>
          <w:szCs w:val="18"/>
          <w:color w:val="231F20"/>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post-market studies;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product import and export.</w:t>
      </w:r>
    </w:p>
    <w:p>
      <w:pPr>
        <w:spacing w:after="0" w:line="10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laws and regulations to which we are subject are complex and have tended to become more stringent over time. Legislative or regulatory changes could result in restrictions on our ability to carry on or expand our operations, higher than anticipated costs or lower than anticipated sales.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color w:val="auto"/>
        </w:rPr>
        <w:t>Our failure to comply with U.S. federal and state regulations or EEA or other foreign regulations applicable in the countries where we operate could lead to the issuance of warning letters or untitled letters, fines, injunctions, suspensions or loss of regulatory clearance or approvals, recalls or seizures of products, termination of distribution, or civil penalties. In the most extreme cases, criminal sanctions or closure of our manufacturing facilities are possible. If any of these risks materialize, our business would be adversely affected.</w:t>
      </w:r>
    </w:p>
    <w:p>
      <w:pPr>
        <w:spacing w:after="0" w:line="141"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b w:val="1"/>
          <w:bCs w:val="1"/>
          <w:i w:val="1"/>
          <w:iCs w:val="1"/>
          <w:color w:val="231F20"/>
        </w:rPr>
        <w:t>Barostim is also subject to extensive governmental regulation in foreign jurisdictions, such as Europe, and our failure to comply with applicable requirements could cause our business to suffer.</w:t>
      </w:r>
    </w:p>
    <w:p>
      <w:pPr>
        <w:spacing w:after="0" w:line="176"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In the EEA, Barostim was required to comply with the Essential Requirements laid down in Annex I to the EU Active Implantable Medical Devices Directive. Compliance with these requirements was a prerequisite to affixing the CE mark to Barostim. To demonstrate compliance with the Essential Requirements and obtain the right to affix the CE Mark to Barostim, we underwent a conformity assessment procedure, which varied according to the type of medical device and its classification. Except for low-risk medical devices (Class I with no measuring function and which are not sterile), where the manufacturer could issue an EU Declaration of Conformity based on a self-assessment of the conformity of its products with the Essential Requirements, a conformity assessment procedure required the intervention of a Notified Body, which is an organization designated by a competent authority of an EEA country to conduct conformity assessments. Depending on the relevant conformity assessment procedure, the Notified Body would audit the QMS and examine the Technical File for the manufacture, design and final inspection of our devices. The Notified Body would issue a CE Certificate of Conformity following successful completion of this conformity assessment procedure conducted in relation to the medical device and its manufacturer and their conformity with the Essential Requirements. This Certificate would entitle the manufacturer to affix the CE mark to its medical devices after having prepared and signed a related EU Declaration of Conformity.</w:t>
      </w:r>
    </w:p>
    <w:p>
      <w:pPr>
        <w:spacing w:after="0" w:line="200" w:lineRule="exact"/>
        <w:rPr>
          <w:sz w:val="20"/>
          <w:szCs w:val="20"/>
          <w:color w:val="auto"/>
        </w:rPr>
      </w:pPr>
    </w:p>
    <w:p>
      <w:pPr>
        <w:ind w:left="60" w:right="99"/>
        <w:spacing w:after="0" w:line="234" w:lineRule="auto"/>
        <w:rPr>
          <w:sz w:val="20"/>
          <w:szCs w:val="20"/>
          <w:color w:val="auto"/>
        </w:rPr>
      </w:pPr>
      <w:r>
        <w:rPr>
          <w:rFonts w:ascii="Arial" w:cs="Arial" w:eastAsia="Arial" w:hAnsi="Arial"/>
          <w:sz w:val="18"/>
          <w:szCs w:val="18"/>
          <w:color w:val="auto"/>
        </w:rPr>
        <w:t>As a general rule, demonstration of conformity of medical devices and their manufacturers with the Essential Requirements must be based on, among other things,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w:t>
      </w:r>
    </w:p>
    <w:p>
      <w:pPr>
        <w:spacing w:after="0" w:line="6" w:lineRule="exact"/>
        <w:rPr>
          <w:sz w:val="20"/>
          <w:szCs w:val="20"/>
          <w:color w:val="auto"/>
        </w:rPr>
      </w:pPr>
    </w:p>
    <w:p>
      <w:pPr>
        <w:ind w:left="60" w:right="259" w:hanging="10"/>
        <w:spacing w:after="0" w:line="237" w:lineRule="auto"/>
        <w:tabs>
          <w:tab w:leader="none" w:pos="33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both clinical studies and scientific literature.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9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order to continue to sell Barostim in Europe, we must comply with the MDR and its evolving transition requirements. We have submitted our application for Barostim to comply with the general safety and performance requirements of the EU MDR (which are similar to the Essential Requirements of the AIMDD); however, there is no guarantee that Barostim will be approved by the end of 2023. If approved, the proposal to extend the expiration of AIMDD CE certificates until May 31, 2027 would mitigate the risk of compliance with the MDR by the end of 2023. Failing to continue to comply with applicable foreign regulatory requirements, including those administered by authorities of the EEA countries, could result in enforcement actions against us, including refusal, suspension or withdrawal of our CE Certificates of Conformity by our Notified Body (the National Standards Authority of Ireland, or NSAI), which could impair our ability to market products in the EEA in the future.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b w:val="1"/>
          <w:bCs w:val="1"/>
          <w:i w:val="1"/>
          <w:iCs w:val="1"/>
          <w:color w:val="231F20"/>
        </w:rPr>
        <w:t>Our business is subject to extensive governmental regulation that could make it more expensive and time consuming for us to market Barostim in the U.S. and introduce new or improved products.</w:t>
      </w:r>
    </w:p>
    <w:p>
      <w:pPr>
        <w:spacing w:after="0" w:line="17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Our products must comply with regulatory requirements imposed by the FDA in the U.S. and similar agencies in foreign jurisdictions. These requirements involve lengthy and detailed laboratory and clinical testing procedures, sampling activities, extensive agency review processes and other costly and time-consuming procedures. It often takes several years to satisfy these requirements, depending on the complexity and novelty of the product. We also are subject to numerous additional licensing and regulatory requirements relating to safe working conditions, manufacturing practices, environmental protection, fire hazard control and disposal of hazardous or potentially hazardous substances. Some of the most important requirements we must comply with include:</w:t>
      </w:r>
    </w:p>
    <w:p>
      <w:pPr>
        <w:spacing w:after="0" w:line="194" w:lineRule="exact"/>
        <w:rPr>
          <w:sz w:val="20"/>
          <w:szCs w:val="20"/>
          <w:color w:val="auto"/>
        </w:rPr>
      </w:pPr>
    </w:p>
    <w:p>
      <w:pPr>
        <w:ind w:left="540" w:hanging="139"/>
        <w:spacing w:after="0"/>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FDCA and the FDA’s implementing regulations (Title 21 CFR);</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EU CE mark requirements;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Medical Device Quality Management System Requirements (ISO 13485:2003);</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Occupational Safety and Health Administration requirements;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California Department of Health Services requirements.</w:t>
      </w:r>
    </w:p>
    <w:p>
      <w:pPr>
        <w:spacing w:after="0" w:line="104"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Current or evolving government regulation may impede our ability to conduct clinical studies and to manufacture and sell our existing and future products. Such government regulation also could delay our marketing of new products for a considerable period of time and impose costly procedures on our activities.</w:t>
      </w:r>
    </w:p>
    <w:p>
      <w:pPr>
        <w:spacing w:after="0" w:line="189"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Our products remain subject to strict regulatory controls on manufacturing, marketing and use. We may be forced to modify or recall a product after release in response to regulatory action or unanticipated difficulties encountered in general use. Any such action could have a material effect on the reputation of our products and on our business and financial position. Further, regulations may change, and any additional regulation could limit or restrict our ability to use any of our technologies, which could harm our business. We could also be subject to new international, federal, state or local regulations that could affect our research and development programs and harm our business in unforeseen ways. If this happens, we may have to incur significant costs to comply with such laws and regulations, which will harm our results of operations.</w:t>
      </w:r>
    </w:p>
    <w:p>
      <w:pPr>
        <w:spacing w:after="0" w:line="159" w:lineRule="exact"/>
        <w:rPr>
          <w:sz w:val="20"/>
          <w:szCs w:val="20"/>
          <w:color w:val="auto"/>
        </w:rPr>
      </w:pPr>
    </w:p>
    <w:p>
      <w:pPr>
        <w:ind w:left="60" w:right="439"/>
        <w:spacing w:after="0" w:line="247" w:lineRule="auto"/>
        <w:rPr>
          <w:sz w:val="20"/>
          <w:szCs w:val="20"/>
          <w:color w:val="auto"/>
        </w:rPr>
      </w:pPr>
      <w:r>
        <w:rPr>
          <w:rFonts w:ascii="Arial" w:cs="Arial" w:eastAsia="Arial" w:hAnsi="Arial"/>
          <w:sz w:val="18"/>
          <w:szCs w:val="18"/>
          <w:b w:val="1"/>
          <w:bCs w:val="1"/>
          <w:i w:val="1"/>
          <w:iCs w:val="1"/>
          <w:color w:val="231F20"/>
        </w:rPr>
        <w:t>The misuse or off-label use of our product may harm our image in the marketplace, result in injuries that lead to product liability suits, which could be costly to our business, or result in costly</w:t>
      </w:r>
    </w:p>
    <w:p>
      <w:pPr>
        <w:spacing w:after="0" w:line="1" w:lineRule="exact"/>
        <w:rPr>
          <w:sz w:val="20"/>
          <w:szCs w:val="20"/>
          <w:color w:val="auto"/>
        </w:rPr>
      </w:pPr>
    </w:p>
    <w:p>
      <w:pPr>
        <w:ind w:left="60" w:right="699"/>
        <w:spacing w:after="0" w:line="235" w:lineRule="auto"/>
        <w:rPr>
          <w:sz w:val="20"/>
          <w:szCs w:val="20"/>
          <w:color w:val="auto"/>
        </w:rPr>
      </w:pPr>
      <w:r>
        <w:rPr>
          <w:rFonts w:ascii="Arial" w:cs="Arial" w:eastAsia="Arial" w:hAnsi="Arial"/>
          <w:sz w:val="18"/>
          <w:szCs w:val="18"/>
          <w:b w:val="1"/>
          <w:bCs w:val="1"/>
          <w:i w:val="1"/>
          <w:iCs w:val="1"/>
          <w:color w:val="231F20"/>
        </w:rPr>
        <w:t>investigations and sanctions from the FDA and other regulatory bodies if we are deemed to have engaged in inappropriate promotion.</w:t>
      </w:r>
    </w:p>
    <w:p>
      <w:pPr>
        <w:spacing w:after="0" w:line="216"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Barostim has been indicated for the improvement of symptoms of HFrEF by the FDA and the treatment of HFrEF in the EEA. We may only promote or market Barostim for its specifically approved indications as described on the approved label. We train our marketing and sales force against promoting our products for uses outside of the approved indications for use, known as “off-label uses.” We cannot, however, prevent a physician from using our product off-label when, in the physician’s independent professional medical judgment, he or she deems appropriate. There may be increased risk of injury to patients if physicians attempt to use our product off-label. Furthermore, the use of our product for indications other than those approved by the applicable regulatory body may not effectively treat such conditions, which could harm our reputation in the marketplace among physicians and patients.</w:t>
      </w:r>
    </w:p>
    <w:p>
      <w:pPr>
        <w:spacing w:after="0" w:line="19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Physicians may also misuse our product or use improper techniques, potentially leading to injury and an increased risk of product liability. If our product is misused or used with improper technique, we may become subject to costly product liability claims or other litigation by our customers or their patients. In addition, if the FDA determines that our promotional materials or training constitute promotion of an off-label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business activities to constitute inappropriate promotion, including promotion of an off-label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use, which could result in significant penalties, including, but not limited to, criminal, civil and/or administrative penalties, damages, fines, disgorgement, exclusion from participation in government healthcare programs and the curtailment of our operations. Any of these events could significantly harm our business and results of operations and cause our stock price to decline.</w:t>
      </w:r>
    </w:p>
    <w:p>
      <w:pPr>
        <w:spacing w:after="0" w:line="191"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Further, the advertising and promotion of our products is subject to EEA member state laws implementing the MDD, Directive 2006/114/EC concerning misleading and comparative advertising and Directive 2005/29/EC on unfair commercial practices, as well as other EEA member state legislation governing the advertising and promotion of medical devices. EEA member state legislation may also restrict or impose limitations on our ability to advertise our products directly to the general public. In addition, voluntary EU and national codes of conduct provide guidelines on the advertising and promotion of our products to the general public and may impose limitations on our promotional activities with healthcare professionals.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The discovery of serious safety issues with Barostim, or a recall of Barostim either voluntarily or at the</w:t>
      </w:r>
    </w:p>
    <w:p>
      <w:pPr>
        <w:spacing w:after="0" w:line="18" w:lineRule="exact"/>
        <w:rPr>
          <w:sz w:val="20"/>
          <w:szCs w:val="20"/>
          <w:color w:val="auto"/>
        </w:rPr>
      </w:pPr>
    </w:p>
    <w:p>
      <w:pPr>
        <w:ind w:left="60" w:right="679"/>
        <w:spacing w:after="0" w:line="235" w:lineRule="auto"/>
        <w:rPr>
          <w:sz w:val="20"/>
          <w:szCs w:val="20"/>
          <w:color w:val="auto"/>
        </w:rPr>
      </w:pPr>
      <w:r>
        <w:rPr>
          <w:rFonts w:ascii="Arial" w:cs="Arial" w:eastAsia="Arial" w:hAnsi="Arial"/>
          <w:sz w:val="18"/>
          <w:szCs w:val="18"/>
          <w:b w:val="1"/>
          <w:bCs w:val="1"/>
          <w:i w:val="1"/>
          <w:iCs w:val="1"/>
          <w:color w:val="231F20"/>
        </w:rPr>
        <w:t>direction of the FDA or another governmental authority, could harm our reputation, business and financial results.</w:t>
      </w:r>
    </w:p>
    <w:p>
      <w:pPr>
        <w:spacing w:after="0" w:line="216"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The FDA, the competent authorities of the EEA and similar foreign governmental authorities have the authority to require the recall of commercialized products in the event of material deficiencies or defects in design or manufacture that could affect patient safety or in the event that a product poses an unacceptable risk to health. In the case of the FDA, the authority to require a recall must be based on an FDA finding that there is a reasonable probability that the device would cause serious adverse health consequences or death. We may also choose to conduct a product notification or recall to inform physicians of changes to instructions for use, or if a deficiency in a device is found or suspected. A government-mandated recall or voluntary recall by us or one of our distributors could occur as a result of an unacceptable risk to health, component failures, malfunctions, manufacturing errors, design or labeling defects, packaging defects or failures to comply with applicable regulations. Product defects or other errors may occur in the future. Recalls, which include certain notifications and corrections as well as removals, of Barostim could divert managerial and financial resources and could have an adverse effect on our financial condition, harm our reputation and reduce our ability to achieve expected revenue.</w:t>
      </w:r>
    </w:p>
    <w:p>
      <w:pPr>
        <w:spacing w:after="0" w:line="189"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addition, the manufacturing of our products is subject to extensive post-market regulation by the FDA and foreign regulatory authorities, and any failure by us or our contract manufacturers or suppliers to comply with regulatory requirements could result in recalls, facility closures and other penalties. We and our suppliers and contract manufacturers are subject to the FDA’s QSR, and comparable foreign regulations which govern the methods used in, and the facilities and controls used for, the design, manufacture, quality assurance, labeling, packaging, sterilization, storage, shipping and servicing of medical devices. These regulations are enforced through periodic inspections of manufacturing facilities. Any manufacturing issues at our or our suppliers’ or contract manufacturers’ facilities, including failure to comply with regulatory requirements, may result in warning or untitled letters, manufacturing restrictions, voluntary or mandatory recalls or corrections, fines, withdrawals of regulatory clearances or approvals, product seizures, injunctions or the imposition of civil or criminal penalties, which would adversely affect our business results and prospects.</w:t>
      </w:r>
    </w:p>
    <w:p>
      <w:pPr>
        <w:spacing w:after="0" w:line="191"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Depending on the corrective action we take to redress a product’s deficiencies or defects, the FDA may require, or we may decide, that we will need to obtain new approvals for the device before we may market or distribute the corrected device. Seeking such approvals may delay our ability to replace the recalled devices in a timely manner. Moreover, if we do not adequately address problems associated with our devices, we may face additional regulatory enforcement actions, including FDA warning letters, product seizure, injunctions, administrative penalties or civil or criminal fines.</w:t>
      </w:r>
    </w:p>
    <w:p>
      <w:pPr>
        <w:spacing w:after="0" w:line="191"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w:t>
      </w:r>
    </w:p>
    <w:p>
      <w:pPr>
        <w:sectPr>
          <w:pgSz w:w="11900" w:h="16838" w:orient="portrait"/>
          <w:cols w:equalWidth="0" w:num="1">
            <w:col w:w="9019"/>
          </w:cols>
          <w:pgMar w:left="1440" w:top="517" w:right="1440"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19"/>
        <w:spacing w:after="0" w:line="246" w:lineRule="auto"/>
        <w:rPr>
          <w:sz w:val="20"/>
          <w:szCs w:val="20"/>
          <w:color w:val="auto"/>
        </w:rPr>
      </w:pPr>
      <w:r>
        <w:rPr>
          <w:rFonts w:ascii="Arial" w:cs="Arial" w:eastAsia="Arial" w:hAnsi="Arial"/>
          <w:sz w:val="18"/>
          <w:szCs w:val="18"/>
          <w:color w:val="auto"/>
        </w:rPr>
        <w:t>ourselves in a lawsuit, will require the dedication of our time and capital, distract management from operating our business and may harm our reputation and financial results.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products may cause or contribute to adverse medical events or be subject to failures or</w:t>
      </w:r>
    </w:p>
    <w:p>
      <w:pPr>
        <w:spacing w:after="0" w:line="18" w:lineRule="exact"/>
        <w:rPr>
          <w:sz w:val="20"/>
          <w:szCs w:val="20"/>
          <w:color w:val="auto"/>
        </w:rPr>
      </w:pPr>
    </w:p>
    <w:p>
      <w:pPr>
        <w:ind w:left="60" w:right="179"/>
        <w:spacing w:after="0"/>
        <w:rPr>
          <w:sz w:val="20"/>
          <w:szCs w:val="20"/>
          <w:color w:val="auto"/>
        </w:rPr>
      </w:pPr>
      <w:r>
        <w:rPr>
          <w:rFonts w:ascii="Arial" w:cs="Arial" w:eastAsia="Arial" w:hAnsi="Arial"/>
          <w:sz w:val="17"/>
          <w:szCs w:val="17"/>
          <w:b w:val="1"/>
          <w:bCs w:val="1"/>
          <w:i w:val="1"/>
          <w:iCs w:val="1"/>
          <w:color w:val="231F20"/>
        </w:rPr>
        <w:t>malfunctions that we are required to report to the FDA and European regulators, and if we fail to do so, we would be subject to sanctions that could harm our reputation, business, financial condition and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results of operations.</w:t>
      </w:r>
    </w:p>
    <w:p>
      <w:pPr>
        <w:spacing w:after="0" w:line="225"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Under the FDA medical device reporting regulations, medical device manufacturers are required to submit information to the FDA when they receive a report or become aware that a device has or may have caused or contributed to a death or serious injury or has or may have a malfunction that would likely cause or contribute to death or serious injury if the malfunction were to recur. All manufacturers placing medical devices on the market in the EEA are legally bound to report incidents involving devices they produce or sell to the regulatory agency, or competent authority, in whose jurisdiction the incident occurred. Under the MDD,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European regulators could take action, including warning letters, untitled letters, administrative actions, criminal prosecution, imposition of civil monetary penalties, revocation of our device approval, seizure of our products or delay in clearance or approval of future products.</w:t>
      </w:r>
    </w:p>
    <w:p>
      <w:pPr>
        <w:spacing w:after="0" w:line="164" w:lineRule="exact"/>
        <w:rPr>
          <w:sz w:val="20"/>
          <w:szCs w:val="20"/>
          <w:color w:val="auto"/>
        </w:rPr>
      </w:pPr>
    </w:p>
    <w:p>
      <w:pPr>
        <w:ind w:left="60" w:right="419"/>
        <w:spacing w:after="0" w:line="253" w:lineRule="auto"/>
        <w:rPr>
          <w:sz w:val="20"/>
          <w:szCs w:val="20"/>
          <w:color w:val="auto"/>
        </w:rPr>
      </w:pPr>
      <w:r>
        <w:rPr>
          <w:rFonts w:ascii="Arial" w:cs="Arial" w:eastAsia="Arial" w:hAnsi="Arial"/>
          <w:sz w:val="17"/>
          <w:szCs w:val="17"/>
          <w:b w:val="1"/>
          <w:bCs w:val="1"/>
          <w:i w:val="1"/>
          <w:iCs w:val="1"/>
          <w:color w:val="231F20"/>
        </w:rPr>
        <w:t>We are subject to certain federal, state and foreign fraud and abuse laws, health information privacy and security laws and transparency laws and regulations, which, if violated, could subject us to</w:t>
      </w:r>
    </w:p>
    <w:p>
      <w:pPr>
        <w:spacing w:after="0" w:line="1" w:lineRule="exact"/>
        <w:rPr>
          <w:sz w:val="20"/>
          <w:szCs w:val="20"/>
          <w:color w:val="auto"/>
        </w:rPr>
      </w:pPr>
    </w:p>
    <w:p>
      <w:pPr>
        <w:ind w:left="60" w:right="99"/>
        <w:spacing w:after="0"/>
        <w:rPr>
          <w:sz w:val="20"/>
          <w:szCs w:val="20"/>
          <w:color w:val="auto"/>
        </w:rPr>
      </w:pPr>
      <w:r>
        <w:rPr>
          <w:rFonts w:ascii="Arial" w:cs="Arial" w:eastAsia="Arial" w:hAnsi="Arial"/>
          <w:sz w:val="17"/>
          <w:szCs w:val="17"/>
          <w:b w:val="1"/>
          <w:bCs w:val="1"/>
          <w:i w:val="1"/>
          <w:iCs w:val="1"/>
          <w:color w:val="231F20"/>
        </w:rPr>
        <w:t>substantial penalties. Additionally, any challenge to or investigation into our practices under these laws and regulations could cause adverse publicity and be costly to respond to, and thus could harm our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business.</w:t>
      </w:r>
    </w:p>
    <w:p>
      <w:pPr>
        <w:spacing w:after="0" w:line="21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There are numerous U.S. federal and state, as well as foreign, laws pertaining to healthcare fraud and abuse, including anti-kickback, false claims and physician transparency laws. Our business practices and relationships with providers are subject to scrutiny under these laws. We are subject to privacy and security regulation related to patient, customer, employee and other third-party information by both the federal government and the states and foreign jurisdictions in which we conduct our business. In the U.S., the laws that may affect our ability to operate include, but are not limited to:</w:t>
      </w:r>
    </w:p>
    <w:p>
      <w:pPr>
        <w:spacing w:after="0" w:line="205" w:lineRule="exact"/>
        <w:rPr>
          <w:sz w:val="20"/>
          <w:szCs w:val="20"/>
          <w:color w:val="auto"/>
        </w:rPr>
      </w:pPr>
    </w:p>
    <w:p>
      <w:pPr>
        <w:ind w:left="380" w:hanging="127"/>
        <w:spacing w:after="0"/>
        <w:tabs>
          <w:tab w:leader="none" w:pos="38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the federal Anti-Kickback Statute, which prohibits, among other things, persons and entities from knowingly</w:t>
      </w:r>
    </w:p>
    <w:p>
      <w:pPr>
        <w:spacing w:after="0" w:line="36" w:lineRule="exact"/>
        <w:rPr>
          <w:rFonts w:ascii="Arial" w:cs="Arial" w:eastAsia="Arial" w:hAnsi="Arial"/>
          <w:sz w:val="18"/>
          <w:szCs w:val="18"/>
          <w:color w:val="231F20"/>
        </w:rPr>
      </w:pPr>
    </w:p>
    <w:p>
      <w:pPr>
        <w:ind w:left="380" w:right="239"/>
        <w:spacing w:after="0" w:line="273" w:lineRule="auto"/>
        <w:rPr>
          <w:rFonts w:ascii="Arial" w:cs="Arial" w:eastAsia="Arial" w:hAnsi="Arial"/>
          <w:sz w:val="18"/>
          <w:szCs w:val="18"/>
          <w:color w:val="231F20"/>
        </w:rPr>
      </w:pPr>
      <w:r>
        <w:rPr>
          <w:rFonts w:ascii="Arial" w:cs="Arial" w:eastAsia="Arial" w:hAnsi="Arial"/>
          <w:sz w:val="18"/>
          <w:szCs w:val="18"/>
          <w:color w:val="auto"/>
        </w:rPr>
        <w:t>and willfully soliciting, receiving, offering or paying remuneration, directly or indirectly, in cash or in kind, in exchange for or to induce either the referral of an individual for, or the purchase, lease, order or</w:t>
      </w:r>
    </w:p>
    <w:p>
      <w:pPr>
        <w:spacing w:after="0" w:line="1" w:lineRule="exact"/>
        <w:rPr>
          <w:rFonts w:ascii="Arial" w:cs="Arial" w:eastAsia="Arial" w:hAnsi="Arial"/>
          <w:sz w:val="18"/>
          <w:szCs w:val="18"/>
          <w:color w:val="231F20"/>
        </w:rPr>
      </w:pPr>
    </w:p>
    <w:p>
      <w:pPr>
        <w:ind w:left="380" w:right="179"/>
        <w:spacing w:after="0" w:line="279" w:lineRule="auto"/>
        <w:rPr>
          <w:rFonts w:ascii="Arial" w:cs="Arial" w:eastAsia="Arial" w:hAnsi="Arial"/>
          <w:sz w:val="18"/>
          <w:szCs w:val="18"/>
          <w:color w:val="231F20"/>
        </w:rPr>
      </w:pPr>
      <w:r>
        <w:rPr>
          <w:rFonts w:ascii="Arial" w:cs="Arial" w:eastAsia="Arial" w:hAnsi="Arial"/>
          <w:sz w:val="18"/>
          <w:szCs w:val="18"/>
          <w:color w:val="auto"/>
        </w:rPr>
        <w:t>recommendation of, any good, facility, item or service for which payment may be made, in whole or in part, under federal healthcare programs such as Medicare and Medicaid. A person or entity does not need to have actual knowledge of this statute or specific intent to violate it;</w:t>
      </w:r>
    </w:p>
    <w:p>
      <w:pPr>
        <w:spacing w:after="0" w:line="88" w:lineRule="exact"/>
        <w:rPr>
          <w:rFonts w:ascii="Arial" w:cs="Arial" w:eastAsia="Arial" w:hAnsi="Arial"/>
          <w:sz w:val="18"/>
          <w:szCs w:val="18"/>
          <w:color w:val="231F20"/>
        </w:rPr>
      </w:pPr>
    </w:p>
    <w:p>
      <w:pPr>
        <w:ind w:left="380" w:hanging="127"/>
        <w:spacing w:after="0"/>
        <w:tabs>
          <w:tab w:leader="none" w:pos="38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federal civil and criminal false claims laws and civil monetary penalty laws, including civil whistleblower or</w:t>
      </w:r>
    </w:p>
    <w:p>
      <w:pPr>
        <w:spacing w:after="0" w:line="36" w:lineRule="exact"/>
        <w:rPr>
          <w:rFonts w:ascii="Arial" w:cs="Arial" w:eastAsia="Arial" w:hAnsi="Arial"/>
          <w:sz w:val="18"/>
          <w:szCs w:val="18"/>
          <w:color w:val="231F20"/>
        </w:rPr>
      </w:pPr>
    </w:p>
    <w:p>
      <w:pPr>
        <w:ind w:left="380" w:right="119"/>
        <w:spacing w:after="0" w:line="273" w:lineRule="auto"/>
        <w:rPr>
          <w:rFonts w:ascii="Arial" w:cs="Arial" w:eastAsia="Arial" w:hAnsi="Arial"/>
          <w:sz w:val="18"/>
          <w:szCs w:val="18"/>
          <w:color w:val="231F20"/>
        </w:rPr>
      </w:pPr>
      <w:r>
        <w:rPr>
          <w:rFonts w:ascii="Arial" w:cs="Arial" w:eastAsia="Arial" w:hAnsi="Arial"/>
          <w:sz w:val="18"/>
          <w:szCs w:val="18"/>
          <w:color w:val="auto"/>
        </w:rPr>
        <w:t>qui tam actions, that prohibit, among other things, knowingly presenting, or causing to be presented, claims for payment or approval to the federal government that are false or fraudulent, knowingly making a false</w:t>
      </w:r>
    </w:p>
    <w:p>
      <w:pPr>
        <w:spacing w:after="0" w:line="1" w:lineRule="exact"/>
        <w:rPr>
          <w:rFonts w:ascii="Arial" w:cs="Arial" w:eastAsia="Arial" w:hAnsi="Arial"/>
          <w:sz w:val="18"/>
          <w:szCs w:val="18"/>
          <w:color w:val="231F20"/>
        </w:rPr>
      </w:pPr>
    </w:p>
    <w:p>
      <w:pPr>
        <w:ind w:left="380" w:right="279"/>
        <w:spacing w:after="0" w:line="279" w:lineRule="auto"/>
        <w:rPr>
          <w:rFonts w:ascii="Arial" w:cs="Arial" w:eastAsia="Arial" w:hAnsi="Arial"/>
          <w:sz w:val="18"/>
          <w:szCs w:val="18"/>
          <w:color w:val="231F20"/>
        </w:rPr>
      </w:pPr>
      <w:r>
        <w:rPr>
          <w:rFonts w:ascii="Arial" w:cs="Arial" w:eastAsia="Arial" w:hAnsi="Arial"/>
          <w:sz w:val="18"/>
          <w:szCs w:val="18"/>
          <w:color w:val="auto"/>
        </w:rPr>
        <w:t>statement material to an obligation to pay or transmit money or property to the federal government or knowingly concealing or knowingly and improperly avoiding or decreasing an obligation to pay or transmit money or property to the federal government;</w:t>
      </w:r>
    </w:p>
    <w:p>
      <w:pPr>
        <w:spacing w:after="0" w:line="88" w:lineRule="exact"/>
        <w:rPr>
          <w:rFonts w:ascii="Arial" w:cs="Arial" w:eastAsia="Arial" w:hAnsi="Arial"/>
          <w:sz w:val="18"/>
          <w:szCs w:val="18"/>
          <w:color w:val="231F20"/>
        </w:rPr>
      </w:pPr>
    </w:p>
    <w:p>
      <w:pPr>
        <w:ind w:left="380" w:right="299" w:hanging="127"/>
        <w:spacing w:after="0" w:line="324" w:lineRule="auto"/>
        <w:tabs>
          <w:tab w:leader="none" w:pos="380" w:val="left"/>
        </w:tabs>
        <w:numPr>
          <w:ilvl w:val="0"/>
          <w:numId w:val="39"/>
        </w:numPr>
        <w:rPr>
          <w:rFonts w:ascii="Arial" w:cs="Arial" w:eastAsia="Arial" w:hAnsi="Arial"/>
          <w:sz w:val="17"/>
          <w:szCs w:val="17"/>
          <w:color w:val="231F20"/>
        </w:rPr>
      </w:pPr>
      <w:r>
        <w:rPr>
          <w:rFonts w:ascii="Arial" w:cs="Arial" w:eastAsia="Arial" w:hAnsi="Arial"/>
          <w:sz w:val="17"/>
          <w:szCs w:val="17"/>
          <w:color w:val="auto"/>
        </w:rPr>
        <w:t>the federal Civil Monetary Penalties Law, which prohibits, among other things, offering or transferring remuneration to a federal healthcare beneficiary that a person knows or should know is likely to influence</w:t>
      </w:r>
    </w:p>
    <w:p>
      <w:pPr>
        <w:sectPr>
          <w:pgSz w:w="11900" w:h="16838" w:orient="portrait"/>
          <w:cols w:equalWidth="0" w:num="1">
            <w:col w:w="9019"/>
          </w:cols>
          <w:pgMar w:left="1440" w:top="517"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80" w:right="519"/>
        <w:spacing w:after="0" w:line="293" w:lineRule="auto"/>
        <w:rPr>
          <w:sz w:val="20"/>
          <w:szCs w:val="20"/>
          <w:color w:val="auto"/>
        </w:rPr>
      </w:pPr>
      <w:r>
        <w:rPr>
          <w:rFonts w:ascii="Arial" w:cs="Arial" w:eastAsia="Arial" w:hAnsi="Arial"/>
          <w:sz w:val="18"/>
          <w:szCs w:val="18"/>
          <w:color w:val="auto"/>
        </w:rPr>
        <w:t>the beneficiary’s decision to order or receive items or services reimbursable by the government from a particular provider or supplier;</w:t>
      </w:r>
    </w:p>
    <w:p>
      <w:pPr>
        <w:spacing w:after="0" w:line="75" w:lineRule="exact"/>
        <w:rPr>
          <w:sz w:val="20"/>
          <w:szCs w:val="20"/>
          <w:color w:val="auto"/>
        </w:rPr>
      </w:pPr>
    </w:p>
    <w:p>
      <w:pPr>
        <w:ind w:left="380" w:right="339" w:hanging="127"/>
        <w:spacing w:after="0" w:line="298" w:lineRule="auto"/>
        <w:tabs>
          <w:tab w:leader="none" w:pos="380" w:val="left"/>
        </w:tabs>
        <w:numPr>
          <w:ilvl w:val="0"/>
          <w:numId w:val="40"/>
        </w:numPr>
        <w:rPr>
          <w:rFonts w:ascii="Arial" w:cs="Arial" w:eastAsia="Arial" w:hAnsi="Arial"/>
          <w:sz w:val="17"/>
          <w:szCs w:val="17"/>
          <w:color w:val="231F20"/>
        </w:rPr>
      </w:pPr>
      <w:r>
        <w:rPr>
          <w:rFonts w:ascii="Arial" w:cs="Arial" w:eastAsia="Arial" w:hAnsi="Arial"/>
          <w:sz w:val="17"/>
          <w:szCs w:val="17"/>
          <w:color w:val="auto"/>
        </w:rPr>
        <w:t>the federal HIPAA, which created federal criminal laws that prohibit executing a scheme to defraud any healthcare benefit program or making false statements relating to healthcare matters. Similar to the Anti-</w:t>
      </w:r>
    </w:p>
    <w:p>
      <w:pPr>
        <w:ind w:left="380" w:right="299"/>
        <w:spacing w:after="0" w:line="277" w:lineRule="auto"/>
        <w:rPr>
          <w:rFonts w:ascii="Arial" w:cs="Arial" w:eastAsia="Arial" w:hAnsi="Arial"/>
          <w:sz w:val="17"/>
          <w:szCs w:val="17"/>
          <w:color w:val="231F20"/>
        </w:rPr>
      </w:pPr>
      <w:r>
        <w:rPr>
          <w:rFonts w:ascii="Arial" w:cs="Arial" w:eastAsia="Arial" w:hAnsi="Arial"/>
          <w:sz w:val="18"/>
          <w:szCs w:val="18"/>
          <w:color w:val="auto"/>
        </w:rPr>
        <w:t>Kickback Statute, a person or entity does not need to have actual knowledge of these statutes or specific intent to violate them;</w:t>
      </w:r>
    </w:p>
    <w:p>
      <w:pPr>
        <w:spacing w:after="0" w:line="89" w:lineRule="exact"/>
        <w:rPr>
          <w:rFonts w:ascii="Arial" w:cs="Arial" w:eastAsia="Arial" w:hAnsi="Arial"/>
          <w:sz w:val="17"/>
          <w:szCs w:val="17"/>
          <w:color w:val="231F20"/>
        </w:rPr>
      </w:pPr>
    </w:p>
    <w:p>
      <w:pPr>
        <w:ind w:left="380" w:right="199" w:hanging="127"/>
        <w:spacing w:after="0" w:line="281" w:lineRule="auto"/>
        <w:tabs>
          <w:tab w:leader="none" w:pos="38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HIPAA, as amended by HITECH, and their respective implementing regulations, which impose requirements on certain covered healthcare providers, health plans and healthcare clearinghouses as well</w:t>
      </w:r>
    </w:p>
    <w:p>
      <w:pPr>
        <w:spacing w:after="0" w:line="1" w:lineRule="exact"/>
        <w:rPr>
          <w:rFonts w:ascii="Arial" w:cs="Arial" w:eastAsia="Arial" w:hAnsi="Arial"/>
          <w:sz w:val="18"/>
          <w:szCs w:val="18"/>
          <w:color w:val="231F20"/>
        </w:rPr>
      </w:pPr>
    </w:p>
    <w:p>
      <w:pPr>
        <w:ind w:left="380" w:right="299"/>
        <w:spacing w:after="0" w:line="290" w:lineRule="auto"/>
        <w:rPr>
          <w:rFonts w:ascii="Arial" w:cs="Arial" w:eastAsia="Arial" w:hAnsi="Arial"/>
          <w:sz w:val="18"/>
          <w:szCs w:val="18"/>
          <w:color w:val="231F20"/>
        </w:rPr>
      </w:pPr>
      <w:r>
        <w:rPr>
          <w:rFonts w:ascii="Arial" w:cs="Arial" w:eastAsia="Arial" w:hAnsi="Arial"/>
          <w:sz w:val="17"/>
          <w:szCs w:val="17"/>
          <w:color w:val="auto"/>
        </w:rPr>
        <w:t>as their business associates that perform services for them that involve individually identifiable health information, relating to the privacy, security and transmission of individually identifiable health information</w:t>
      </w:r>
    </w:p>
    <w:p>
      <w:pPr>
        <w:ind w:left="380" w:right="559"/>
        <w:spacing w:after="0" w:line="277" w:lineRule="auto"/>
        <w:rPr>
          <w:rFonts w:ascii="Arial" w:cs="Arial" w:eastAsia="Arial" w:hAnsi="Arial"/>
          <w:sz w:val="18"/>
          <w:szCs w:val="18"/>
          <w:color w:val="231F20"/>
        </w:rPr>
      </w:pPr>
      <w:r>
        <w:rPr>
          <w:rFonts w:ascii="Arial" w:cs="Arial" w:eastAsia="Arial" w:hAnsi="Arial"/>
          <w:sz w:val="18"/>
          <w:szCs w:val="18"/>
          <w:color w:val="auto"/>
        </w:rPr>
        <w:t>without appropriate authorization, including mandatory contractual terms as well as directly applicable privacy and security standards and requirements;</w:t>
      </w:r>
    </w:p>
    <w:p>
      <w:pPr>
        <w:spacing w:after="0" w:line="89" w:lineRule="exact"/>
        <w:rPr>
          <w:rFonts w:ascii="Arial" w:cs="Arial" w:eastAsia="Arial" w:hAnsi="Arial"/>
          <w:sz w:val="18"/>
          <w:szCs w:val="18"/>
          <w:color w:val="231F20"/>
        </w:rPr>
      </w:pPr>
    </w:p>
    <w:p>
      <w:pPr>
        <w:ind w:left="380" w:right="99" w:hanging="127"/>
        <w:spacing w:after="0" w:line="311" w:lineRule="auto"/>
        <w:tabs>
          <w:tab w:leader="none" w:pos="380" w:val="left"/>
        </w:tabs>
        <w:numPr>
          <w:ilvl w:val="0"/>
          <w:numId w:val="40"/>
        </w:numPr>
        <w:rPr>
          <w:rFonts w:ascii="Arial" w:cs="Arial" w:eastAsia="Arial" w:hAnsi="Arial"/>
          <w:sz w:val="17"/>
          <w:szCs w:val="17"/>
          <w:color w:val="231F20"/>
        </w:rPr>
      </w:pPr>
      <w:r>
        <w:rPr>
          <w:rFonts w:ascii="Arial" w:cs="Arial" w:eastAsia="Arial" w:hAnsi="Arial"/>
          <w:sz w:val="17"/>
          <w:szCs w:val="17"/>
          <w:color w:val="auto"/>
        </w:rPr>
        <w:t>the federal physician payments sunshine requirements under the Affordable Care Act, which require certain manufacturers of drugs, devices, biologics and medical supplies to report annually to HHS information related to payments and other transfers of value to certain healthcare providers and teaching hospitals;</w:t>
      </w:r>
    </w:p>
    <w:p>
      <w:pPr>
        <w:spacing w:after="0" w:line="63" w:lineRule="exact"/>
        <w:rPr>
          <w:rFonts w:ascii="Arial" w:cs="Arial" w:eastAsia="Arial" w:hAnsi="Arial"/>
          <w:sz w:val="17"/>
          <w:szCs w:val="17"/>
          <w:color w:val="231F20"/>
        </w:rPr>
      </w:pPr>
    </w:p>
    <w:p>
      <w:pPr>
        <w:jc w:val="both"/>
        <w:ind w:left="380" w:right="239" w:hanging="127"/>
        <w:spacing w:after="0" w:line="298" w:lineRule="auto"/>
        <w:tabs>
          <w:tab w:leader="none" w:pos="380" w:val="left"/>
        </w:tabs>
        <w:numPr>
          <w:ilvl w:val="0"/>
          <w:numId w:val="40"/>
        </w:numPr>
        <w:rPr>
          <w:rFonts w:ascii="Arial" w:cs="Arial" w:eastAsia="Arial" w:hAnsi="Arial"/>
          <w:sz w:val="17"/>
          <w:szCs w:val="17"/>
          <w:color w:val="231F20"/>
        </w:rPr>
      </w:pPr>
      <w:r>
        <w:rPr>
          <w:rFonts w:ascii="Arial" w:cs="Arial" w:eastAsia="Arial" w:hAnsi="Arial"/>
          <w:sz w:val="17"/>
          <w:szCs w:val="17"/>
          <w:color w:val="auto"/>
        </w:rPr>
        <w:t>state and foreign law equivalents of each of the above federal laws, such as state anti-kickback and false claims laws that may apply to items or services reimbursed by any third-party payor, including commercial</w:t>
      </w:r>
    </w:p>
    <w:p>
      <w:pPr>
        <w:ind w:left="380" w:right="479"/>
        <w:spacing w:after="0" w:line="290" w:lineRule="auto"/>
        <w:rPr>
          <w:rFonts w:ascii="Arial" w:cs="Arial" w:eastAsia="Arial" w:hAnsi="Arial"/>
          <w:sz w:val="17"/>
          <w:szCs w:val="17"/>
          <w:color w:val="231F20"/>
        </w:rPr>
      </w:pPr>
      <w:r>
        <w:rPr>
          <w:rFonts w:ascii="Arial" w:cs="Arial" w:eastAsia="Arial" w:hAnsi="Arial"/>
          <w:sz w:val="17"/>
          <w:szCs w:val="17"/>
          <w:color w:val="auto"/>
        </w:rPr>
        <w:t>insurers; state laws that require device companies to comply with the industry’s voluntary compliance guidelines and the relevant compliance guidance promulgated by the federal government, or otherwise</w:t>
      </w:r>
    </w:p>
    <w:p>
      <w:pPr>
        <w:ind w:left="380" w:right="139"/>
        <w:spacing w:after="0" w:line="292" w:lineRule="auto"/>
        <w:rPr>
          <w:rFonts w:ascii="Arial" w:cs="Arial" w:eastAsia="Arial" w:hAnsi="Arial"/>
          <w:sz w:val="17"/>
          <w:szCs w:val="17"/>
          <w:color w:val="231F20"/>
        </w:rPr>
      </w:pPr>
      <w:r>
        <w:rPr>
          <w:rFonts w:ascii="Arial" w:cs="Arial" w:eastAsia="Arial" w:hAnsi="Arial"/>
          <w:sz w:val="17"/>
          <w:szCs w:val="17"/>
          <w:color w:val="auto"/>
        </w:rPr>
        <w:t>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state and foreign laws governing</w:t>
      </w:r>
    </w:p>
    <w:p>
      <w:pPr>
        <w:spacing w:after="0" w:line="2" w:lineRule="exact"/>
        <w:rPr>
          <w:rFonts w:ascii="Arial" w:cs="Arial" w:eastAsia="Arial" w:hAnsi="Arial"/>
          <w:sz w:val="17"/>
          <w:szCs w:val="17"/>
          <w:color w:val="231F20"/>
        </w:rPr>
      </w:pPr>
    </w:p>
    <w:p>
      <w:pPr>
        <w:ind w:left="380" w:right="79"/>
        <w:spacing w:after="0" w:line="277" w:lineRule="auto"/>
        <w:rPr>
          <w:rFonts w:ascii="Arial" w:cs="Arial" w:eastAsia="Arial" w:hAnsi="Arial"/>
          <w:sz w:val="17"/>
          <w:szCs w:val="17"/>
          <w:color w:val="231F20"/>
        </w:rPr>
      </w:pPr>
      <w:r>
        <w:rPr>
          <w:rFonts w:ascii="Arial" w:cs="Arial" w:eastAsia="Arial" w:hAnsi="Arial"/>
          <w:sz w:val="18"/>
          <w:szCs w:val="18"/>
          <w:color w:val="auto"/>
        </w:rPr>
        <w:t>the privacy and security of health information in certain circumstances, many of which differ from each other in significant ways and often are not preempted by HIPAA.</w:t>
      </w:r>
    </w:p>
    <w:p>
      <w:pPr>
        <w:spacing w:after="0" w:line="76"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These laws and regulations, among other things, constrain our business, marketing and other promotional activities by limiting the kinds of financial arrangements, including sales programs, we may have with hospitals, physicians or other potential purchasers of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91"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The scope and enforcement of each of these laws is uncertain and subject to rapid change, especially in light of the lack of applicable precedent and regulations. Federal and state enforcement bodies continue to increase their scrutiny of interactions between healthcare companies and healthcare providers. The Office of the Inspector General of HHS also has issued compliance program guidance for pharmaceutical manufacturers which is routinely applied to medical device companies. All of this has led to a number of investigations, prosecutions, convictions and settlements in the healthcare industry, including for medical device companies. Responding to investigations can be time and resource 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 If our operations are found to be in violation of any of the laws described above or any other governmental regulations that apply to us now or in the future, we may be subject to penalties, including civil and criminal penalties, damages, fines, disgorgement, exclusion from governmental health care programs and the curtailment or restructuring of our operations, any of which could adversely affect our ability to operate our business and our financial results.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Healthcare legislative reform measures may have a material adverse effect on us.</w:t>
      </w:r>
    </w:p>
    <w:p>
      <w:pPr>
        <w:spacing w:after="0" w:line="24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In the U.S., there have been and continue to be a number of legislative initiatives to contain healthcare costs. In March 2010, the Affordable Care Act was enacted in the U.S., which made a number of substantial changes in the way healthcare is financed by both governmental and private insurers. Among other ways in which it may affect our business, the Affordable Care Act:</w:t>
      </w:r>
    </w:p>
    <w:p>
      <w:pPr>
        <w:spacing w:after="0" w:line="272" w:lineRule="exact"/>
        <w:rPr>
          <w:sz w:val="20"/>
          <w:szCs w:val="20"/>
          <w:color w:val="auto"/>
        </w:rPr>
      </w:pPr>
    </w:p>
    <w:p>
      <w:pPr>
        <w:ind w:left="180" w:right="839" w:hanging="130"/>
        <w:spacing w:after="0" w:line="246" w:lineRule="auto"/>
        <w:tabs>
          <w:tab w:leader="none" w:pos="18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established a new Patient-Centered Outcomes Research Institute to oversee and identify priorities in comparative clinical effectiveness research in an effort to coordinate and develop such research;</w:t>
      </w:r>
    </w:p>
    <w:p>
      <w:pPr>
        <w:spacing w:after="0" w:line="196" w:lineRule="exact"/>
        <w:rPr>
          <w:rFonts w:ascii="Arial" w:cs="Arial" w:eastAsia="Arial" w:hAnsi="Arial"/>
          <w:sz w:val="18"/>
          <w:szCs w:val="18"/>
          <w:color w:val="231F20"/>
        </w:rPr>
      </w:pPr>
    </w:p>
    <w:p>
      <w:pPr>
        <w:ind w:left="180" w:right="219" w:hanging="130"/>
        <w:spacing w:after="0"/>
        <w:tabs>
          <w:tab w:leader="none" w:pos="18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implemented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202" w:lineRule="exact"/>
        <w:rPr>
          <w:rFonts w:ascii="Arial" w:cs="Arial" w:eastAsia="Arial" w:hAnsi="Arial"/>
          <w:sz w:val="18"/>
          <w:szCs w:val="18"/>
          <w:color w:val="231F20"/>
        </w:rPr>
      </w:pPr>
    </w:p>
    <w:p>
      <w:pPr>
        <w:ind w:left="180" w:hanging="130"/>
        <w:spacing w:after="0"/>
        <w:tabs>
          <w:tab w:leader="none" w:pos="18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expanded the eligibility criteria for Medicaid programs.</w:t>
      </w:r>
    </w:p>
    <w:p>
      <w:pPr>
        <w:spacing w:after="0" w:line="212" w:lineRule="exact"/>
        <w:rPr>
          <w:sz w:val="20"/>
          <w:szCs w:val="20"/>
          <w:color w:val="auto"/>
        </w:rPr>
      </w:pPr>
    </w:p>
    <w:p>
      <w:pPr>
        <w:ind w:left="60" w:right="379"/>
        <w:spacing w:after="0" w:line="238" w:lineRule="auto"/>
        <w:rPr>
          <w:sz w:val="20"/>
          <w:szCs w:val="20"/>
          <w:color w:val="auto"/>
        </w:rPr>
      </w:pPr>
      <w:r>
        <w:rPr>
          <w:rFonts w:ascii="Arial" w:cs="Arial" w:eastAsia="Arial" w:hAnsi="Arial"/>
          <w:sz w:val="18"/>
          <w:szCs w:val="18"/>
          <w:color w:val="auto"/>
        </w:rPr>
        <w:t>The expansion in the government’s role in the U.S. healthcare industry may result in decreased profits to us, lower reimbursement by payors for Barostim and any future products and/or reduced medical procedure volumes, all of which may have a material adverse effect on our business, financial condition and results of operations.</w:t>
      </w:r>
    </w:p>
    <w:p>
      <w:pPr>
        <w:spacing w:after="0" w:line="191" w:lineRule="exact"/>
        <w:rPr>
          <w:sz w:val="20"/>
          <w:szCs w:val="20"/>
          <w:color w:val="auto"/>
        </w:rPr>
      </w:pPr>
    </w:p>
    <w:p>
      <w:pPr>
        <w:ind w:left="60" w:right="139"/>
        <w:spacing w:after="0" w:line="274" w:lineRule="auto"/>
        <w:rPr>
          <w:sz w:val="20"/>
          <w:szCs w:val="20"/>
          <w:color w:val="auto"/>
        </w:rPr>
      </w:pPr>
      <w:r>
        <w:rPr>
          <w:rFonts w:ascii="Arial" w:cs="Arial" w:eastAsia="Arial" w:hAnsi="Arial"/>
          <w:sz w:val="17"/>
          <w:szCs w:val="17"/>
          <w:color w:val="auto"/>
        </w:rPr>
        <w:t>We expect that additional state and federal healthcare reform measures will be adopted in the future, any of which could limit the amounts that federal and state governments will pay for healthcare products and services.</w:t>
      </w:r>
    </w:p>
    <w:p>
      <w:pPr>
        <w:spacing w:after="0" w:line="161"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Additionally, on April 5, 2017, the European Parliament passed the MDR, which repeals and replaces the MDD and the AIMDD. Unlike directives, which must be implemented into the national laws of the EEA member states, the regulations are directly applicable (i.e., without the need for adoption of the EEA member state laws implementing them), in all EEA member states and are intended to eliminate differences in the regulation of medical devices among the EEA member states. The MDR, among other things, is intended to establish a uniform, transparent, predictable and sustainable regulatory framework across the EEA for medical devices and ensure a high level of safety and health while supporting innovation.</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MDR became effective in May 2021 and, among other things is designed to:</w:t>
      </w:r>
    </w:p>
    <w:p>
      <w:pPr>
        <w:spacing w:after="0" w:line="198" w:lineRule="exact"/>
        <w:rPr>
          <w:sz w:val="20"/>
          <w:szCs w:val="20"/>
          <w:color w:val="auto"/>
        </w:rPr>
      </w:pPr>
    </w:p>
    <w:p>
      <w:pPr>
        <w:ind w:left="540" w:hanging="139"/>
        <w:spacing w:after="0"/>
        <w:tabs>
          <w:tab w:leader="none" w:pos="54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strengthen the rules on placing devices on the market and reinforce surveillance once they are available;</w:t>
      </w:r>
    </w:p>
    <w:p>
      <w:pPr>
        <w:spacing w:after="0" w:line="103" w:lineRule="exact"/>
        <w:rPr>
          <w:rFonts w:ascii="Arial" w:cs="Arial" w:eastAsia="Arial" w:hAnsi="Arial"/>
          <w:sz w:val="18"/>
          <w:szCs w:val="18"/>
          <w:color w:val="231F20"/>
        </w:rPr>
      </w:pPr>
    </w:p>
    <w:p>
      <w:pPr>
        <w:ind w:left="540" w:right="99" w:hanging="139"/>
        <w:spacing w:after="0" w:line="246" w:lineRule="auto"/>
        <w:tabs>
          <w:tab w:leader="none" w:pos="54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88" w:lineRule="exact"/>
        <w:rPr>
          <w:rFonts w:ascii="Arial" w:cs="Arial" w:eastAsia="Arial" w:hAnsi="Arial"/>
          <w:sz w:val="18"/>
          <w:szCs w:val="18"/>
          <w:color w:val="231F20"/>
        </w:rPr>
      </w:pPr>
    </w:p>
    <w:p>
      <w:pPr>
        <w:ind w:left="540" w:right="119" w:hanging="139"/>
        <w:spacing w:after="0" w:line="246" w:lineRule="auto"/>
        <w:tabs>
          <w:tab w:leader="none" w:pos="54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improve the traceability of medical devices throughout the supply chain to the end-user or patient through a unique identification number;</w:t>
      </w:r>
    </w:p>
    <w:p>
      <w:pPr>
        <w:spacing w:after="0" w:line="88" w:lineRule="exact"/>
        <w:rPr>
          <w:rFonts w:ascii="Arial" w:cs="Arial" w:eastAsia="Arial" w:hAnsi="Arial"/>
          <w:sz w:val="18"/>
          <w:szCs w:val="18"/>
          <w:color w:val="231F20"/>
        </w:rPr>
      </w:pPr>
    </w:p>
    <w:p>
      <w:pPr>
        <w:ind w:left="540" w:right="79" w:hanging="139"/>
        <w:spacing w:after="0" w:line="246" w:lineRule="auto"/>
        <w:tabs>
          <w:tab w:leader="none" w:pos="54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set up a central database to provide patients, healthcare professionals and the public with comprehensive information on products available in the EU; and</w:t>
      </w:r>
    </w:p>
    <w:p>
      <w:pPr>
        <w:spacing w:after="0" w:line="88" w:lineRule="exact"/>
        <w:rPr>
          <w:rFonts w:ascii="Arial" w:cs="Arial" w:eastAsia="Arial" w:hAnsi="Arial"/>
          <w:sz w:val="18"/>
          <w:szCs w:val="18"/>
          <w:color w:val="231F20"/>
        </w:rPr>
      </w:pPr>
    </w:p>
    <w:p>
      <w:pPr>
        <w:ind w:left="540" w:right="419" w:hanging="139"/>
        <w:spacing w:after="0" w:line="246" w:lineRule="auto"/>
        <w:tabs>
          <w:tab w:leader="none" w:pos="54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strengthen rules for the assessment of certain high-risk devices, such as implants, which may have to undergo an additional check by experts before they are placed on the market.</w:t>
      </w:r>
    </w:p>
    <w:p>
      <w:pPr>
        <w:spacing w:after="0" w:line="89" w:lineRule="exact"/>
        <w:rPr>
          <w:sz w:val="20"/>
          <w:szCs w:val="20"/>
          <w:color w:val="auto"/>
        </w:rPr>
      </w:pPr>
    </w:p>
    <w:p>
      <w:pPr>
        <w:jc w:val="both"/>
        <w:ind w:left="60" w:right="159"/>
        <w:spacing w:after="0"/>
        <w:rPr>
          <w:sz w:val="20"/>
          <w:szCs w:val="20"/>
          <w:color w:val="auto"/>
        </w:rPr>
      </w:pPr>
      <w:r>
        <w:rPr>
          <w:rFonts w:ascii="Arial" w:cs="Arial" w:eastAsia="Arial" w:hAnsi="Arial"/>
          <w:sz w:val="18"/>
          <w:szCs w:val="18"/>
          <w:color w:val="auto"/>
        </w:rPr>
        <w:t>This regulation has not yet had a material effect on the way we conduct our business in the EEA. However, it is possible the regulation will change in the future, and we cannot be certain that future changes will not have an adverse effect on our business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our common stock</w:t>
      </w:r>
    </w:p>
    <w:p>
      <w:pPr>
        <w:spacing w:after="0" w:line="212" w:lineRule="exact"/>
        <w:rPr>
          <w:sz w:val="20"/>
          <w:szCs w:val="20"/>
          <w:color w:val="auto"/>
        </w:rPr>
      </w:pPr>
    </w:p>
    <w:p>
      <w:pPr>
        <w:ind w:left="60" w:right="319"/>
        <w:spacing w:after="0" w:line="287" w:lineRule="auto"/>
        <w:rPr>
          <w:sz w:val="20"/>
          <w:szCs w:val="20"/>
          <w:color w:val="auto"/>
        </w:rPr>
      </w:pPr>
      <w:r>
        <w:rPr>
          <w:rFonts w:ascii="Arial" w:cs="Arial" w:eastAsia="Arial" w:hAnsi="Arial"/>
          <w:sz w:val="18"/>
          <w:szCs w:val="18"/>
          <w:b w:val="1"/>
          <w:bCs w:val="1"/>
          <w:i w:val="1"/>
          <w:iCs w:val="1"/>
          <w:color w:val="231F20"/>
        </w:rPr>
        <w:t>We expect that the price of our common stock will fluctuate substantially, and you may not be able to resell shares of our common stock at or above the price you paid.</w:t>
      </w:r>
    </w:p>
    <w:p>
      <w:pPr>
        <w:spacing w:after="0" w:line="161" w:lineRule="exact"/>
        <w:rPr>
          <w:sz w:val="20"/>
          <w:szCs w:val="20"/>
          <w:color w:val="auto"/>
        </w:rPr>
      </w:pPr>
    </w:p>
    <w:p>
      <w:pPr>
        <w:jc w:val="both"/>
        <w:ind w:left="60" w:right="339"/>
        <w:spacing w:after="0"/>
        <w:rPr>
          <w:sz w:val="20"/>
          <w:szCs w:val="20"/>
          <w:color w:val="auto"/>
        </w:rPr>
      </w:pPr>
      <w:r>
        <w:rPr>
          <w:rFonts w:ascii="Arial" w:cs="Arial" w:eastAsia="Arial" w:hAnsi="Arial"/>
          <w:sz w:val="18"/>
          <w:szCs w:val="18"/>
          <w:color w:val="auto"/>
        </w:rPr>
        <w:t>The market price of our common stock has been and may continue to be highly volatile and may fluctuate or decline substantially as a result of a variety of factors, some of which are beyond our control or are related in complex ways, including:</w:t>
      </w:r>
    </w:p>
    <w:p>
      <w:pPr>
        <w:spacing w:after="0" w:line="203" w:lineRule="exact"/>
        <w:rPr>
          <w:sz w:val="20"/>
          <w:szCs w:val="20"/>
          <w:color w:val="auto"/>
        </w:rPr>
      </w:pPr>
    </w:p>
    <w:p>
      <w:pPr>
        <w:ind w:left="540" w:right="559" w:hanging="139"/>
        <w:spacing w:after="0" w:line="277" w:lineRule="auto"/>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results from, or any delays in, clinical trial programs relating to our product candidates, including the ongoing and future U.S. clinical trials for Barostim;</w:t>
      </w:r>
    </w:p>
    <w:p>
      <w:pPr>
        <w:spacing w:after="0" w:line="102"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announcements of new products by us or our competitors;</w:t>
      </w:r>
    </w:p>
    <w:p>
      <w:pPr>
        <w:spacing w:after="0" w:line="130" w:lineRule="exact"/>
        <w:rPr>
          <w:rFonts w:ascii="Arial" w:cs="Arial" w:eastAsia="Arial" w:hAnsi="Arial"/>
          <w:sz w:val="18"/>
          <w:szCs w:val="18"/>
          <w:color w:val="231F20"/>
        </w:rPr>
      </w:pPr>
    </w:p>
    <w:p>
      <w:pPr>
        <w:ind w:left="540" w:right="519" w:hanging="139"/>
        <w:spacing w:after="0" w:line="277" w:lineRule="auto"/>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adverse actions taken by regulatory agencies with respect to our clinical trials, manufacturing supply chain or sales and marketing activities;</w:t>
      </w:r>
    </w:p>
    <w:p>
      <w:pPr>
        <w:spacing w:after="0" w:line="102"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our operating results;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changes or developments in laws or regulations applicable to our products;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any adverse changes in our relationship with any manufacturers or suppliers;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success of our efforts to acquire or develop additional products;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any intellectual property infringement actions in which we may become involved;</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announcements concerning our competitors or the medical device industry in general;</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achievement of expected product sales and profitability;</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manufacture, supply or distribution shortages;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actual or anticipated fluctuations in our operating results;</w:t>
      </w:r>
    </w:p>
    <w:p>
      <w:pPr>
        <w:spacing w:after="0" w:line="130" w:lineRule="exact"/>
        <w:rPr>
          <w:rFonts w:ascii="Arial" w:cs="Arial" w:eastAsia="Arial" w:hAnsi="Arial"/>
          <w:sz w:val="18"/>
          <w:szCs w:val="18"/>
          <w:color w:val="231F20"/>
        </w:rPr>
      </w:pPr>
    </w:p>
    <w:p>
      <w:pPr>
        <w:ind w:left="540" w:right="479" w:hanging="139"/>
        <w:spacing w:after="0" w:line="277" w:lineRule="auto"/>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FDA or other U.S. or foreign regulatory actions affecting us or our industry or other healthcare reform measures in the U.S.;</w:t>
      </w:r>
    </w:p>
    <w:p>
      <w:pPr>
        <w:spacing w:after="0" w:line="102"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changes in financial estimates or recommendations by securities analysts;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trading volume of our common stock;</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sales of our common stock by us, our executive officers and directors or our stockholders in the future;</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general economic and market conditions and overall fluctuations in the U.S. equity markets; and</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the loss of any of our key scientific or management personnel.</w:t>
      </w:r>
    </w:p>
    <w:p>
      <w:pPr>
        <w:spacing w:after="0" w:line="11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addition, the stock markets in general, and the markets for medical device stocks in particular, have experienced volatility that may have been unrelated to the operating performance of the issuer. These broad market fluctuations may adversely affect the trading price or liquidity of our common stock. In the past, when the market price of a stock has been volatile or decreases significantly,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results of operations and financial position. Any adverse determination in litigation could also subject us to significant liabilities.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319"/>
        <w:spacing w:after="0" w:line="287" w:lineRule="auto"/>
        <w:rPr>
          <w:sz w:val="20"/>
          <w:szCs w:val="20"/>
          <w:color w:val="auto"/>
        </w:rPr>
      </w:pPr>
      <w:r>
        <w:rPr>
          <w:rFonts w:ascii="Arial" w:cs="Arial" w:eastAsia="Arial" w:hAnsi="Arial"/>
          <w:sz w:val="18"/>
          <w:szCs w:val="18"/>
          <w:b w:val="1"/>
          <w:bCs w:val="1"/>
          <w:i w:val="1"/>
          <w:iCs w:val="1"/>
          <w:color w:val="231F20"/>
        </w:rPr>
        <w:t>Securities analysts may not publish favorable research or reports about our business or may publish no information at all, which could cause our stock price and trading volume to decline.</w:t>
      </w:r>
    </w:p>
    <w:p>
      <w:pPr>
        <w:spacing w:after="0" w:line="161"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The trading market for our common stock is influenced by the research and reports that industry or securities analysts publish about us or our business. If no or few securities or industry analysts cover us, the trading price for our stock would be negatively impacted. If any of the analysts who cover us issues an adverse or misleading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56"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b w:val="1"/>
          <w:bCs w:val="1"/>
          <w:i w:val="1"/>
          <w:iCs w:val="1"/>
          <w:color w:val="231F20"/>
        </w:rPr>
        <w:t>We are an “emerging growth company,” and as a result of the reduced disclosure and governance requirements applicable to emerging growth companies, our common stock may be less attractive to investors.</w:t>
      </w:r>
    </w:p>
    <w:p>
      <w:pPr>
        <w:spacing w:after="0" w:line="191"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common stock less attractive as a result, there may be a less active trading market for our common stock and our stock price may decline or be more volatile. We may take advantage of these reporting exemptions until we are no longer an emerging growth company. We will remain an emerging growth company until the earliest of (1) the last day of the fiscal year (a) following the fifth anniversary of the completion of the IPO, (b) in which we have total annual gross revenue of at least $1.235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78"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b w:val="1"/>
          <w:bCs w:val="1"/>
          <w:i w:val="1"/>
          <w:iCs w:val="1"/>
          <w:color w:val="231F20"/>
        </w:rPr>
        <w:t>Because we have opted to take advantage of the JOBS Act provision which allows us to delay implementing new accounting standards, our financial statements may not be directly comparable to other public companies.</w:t>
      </w:r>
    </w:p>
    <w:p>
      <w:pPr>
        <w:spacing w:after="0" w:line="191"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Pursuant to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Because we have elected to take advantage of this provision of the JOBS Act, our financial statements and the reported results of operations contained therein may not be directly comparable to those of other public companies.</w:t>
      </w:r>
    </w:p>
    <w:p>
      <w:pPr>
        <w:spacing w:after="0" w:line="172"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b w:val="1"/>
          <w:bCs w:val="1"/>
          <w:i w:val="1"/>
          <w:iCs w:val="1"/>
          <w:color w:val="231F20"/>
        </w:rPr>
        <w:t>If we are unable to maintain effective internal control over financial reporting in the future, investors may lose confidence in the accuracy and completeness of our financial reports and the market price of our common stock could be adversely affected.</w:t>
      </w:r>
    </w:p>
    <w:p>
      <w:pPr>
        <w:spacing w:after="0" w:line="191" w:lineRule="exact"/>
        <w:rPr>
          <w:sz w:val="20"/>
          <w:szCs w:val="20"/>
          <w:color w:val="auto"/>
        </w:rPr>
      </w:pPr>
    </w:p>
    <w:p>
      <w:pPr>
        <w:ind w:left="60" w:right="439"/>
        <w:spacing w:after="0" w:line="253" w:lineRule="auto"/>
        <w:rPr>
          <w:sz w:val="20"/>
          <w:szCs w:val="20"/>
          <w:color w:val="auto"/>
        </w:rPr>
      </w:pPr>
      <w:r>
        <w:rPr>
          <w:rFonts w:ascii="Arial" w:cs="Arial" w:eastAsia="Arial" w:hAnsi="Arial"/>
          <w:sz w:val="17"/>
          <w:szCs w:val="17"/>
          <w:color w:val="auto"/>
        </w:rPr>
        <w:t>To comply with the requirements of being a public company, we are undertaking and expect to continue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have developed and expect to continue to refine our disclosure controls and other procedures that are designed to ensure that information required to be disclosed by us in the reports that we file with the SEC is recorded, processed, summarized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and reported within the time periods specified in SEC rules and forms, and that information required to be disclosed in reports under the Exchange Act is accumulated and communicated to our principal executive and financial officers. Section 404 of the Sarbanes-Oxley Act requires that we evaluate and determine the effectiveness of our internal control over financial reporting and provide a management report on internal control over financial reporting. The Sarbanes-Oxley Act also requires that our management report on internal control over financial reporting be attested to by our independent registered public accounting firm, to the extent we are no longer an “emerging growth company,” as defined by the JOBS Act, and are not a non-accelerated filer. We do not expect to have our independent registered public accounting firm attest to our management report on internal control over financial reporting for so long as we are an emerging growth company.</w:t>
      </w:r>
    </w:p>
    <w:p>
      <w:pPr>
        <w:spacing w:after="0" w:line="193"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Our current controls and any new controls that we develop may become inadequate and weaknesses in our internal control over financial reporting may be discovered in the future. If we fail to develop and maintain effective internal control over financial reporting, we may not detect errors on a timely basis and our financial statements may be materially misstated. We have designed and implemented and expect to continue to refine the internal control over financial reporting required to comply with this obligation, which process will be time-consuming, costly and complicated. If we identify material weaknesses in our internal control over financial reporting, if we are unable to comply with the requirements of Section 404 of the Sarbanes-Oxley Act in a timely manner,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or if our internal control over financial reporting is perceived as inadequate or we are unable to produce timely or accurate financial statements, investors may lose confidence in the accuracy and completeness of our financial reports and the market price of our common stock could decline and we could become subject to investigations or removal by the stock exchange on which our securities are listed, the SEC, or other regulatory authorities, which could require additional financial and management resources.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principal stockholders, management and directors (three of whom are affiliated with our principal</w:t>
      </w:r>
    </w:p>
    <w:p>
      <w:pPr>
        <w:spacing w:after="0" w:line="18"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b w:val="1"/>
          <w:bCs w:val="1"/>
          <w:i w:val="1"/>
          <w:iCs w:val="1"/>
          <w:color w:val="231F20"/>
        </w:rPr>
        <w:t>stockholders) own a significant percentage of our stock and will be able to exert significant control over matters subject to stockholder approval.</w:t>
      </w:r>
    </w:p>
    <w:p>
      <w:pPr>
        <w:spacing w:after="0" w:line="216"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As of December 31, 2022, our executive officers, directors, holders of 5% or more of our capital stock and their respective affiliates beneficially owned approximately 59% of our outstanding voting stock. Three of our non-employee directors are also affiliated with certain of our principal stockholders. Therefore, if they act together, these stockholders will have the ability to influence us through this ownership position and matters requiring stockholder approval. For example, these stockholders may be able to control elections of directors, amendments of our organizational documents, or approval of any merger, sale of assets, or other major corporate transaction. The interests of these stockholders may not be the same as or may even conflict with your interests. For example, these stockholders could attempt to delay or prevent a change in control of the Company, even if such change in control would benefit our other stockholders, which could deprive our stockholders of an opportunity to receive a premium for their common stock as part of a sale of the Company or our assets, and might affect the prevailing market price of our common stock due to investors’ perceptions that conflicts of interest may exist or arise. As a result, this concentration of ownership may not be in the best interests of our other stockholders.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amended and restated certificate of incorporation provides that the Court of Chancery of the State</w:t>
      </w:r>
    </w:p>
    <w:p>
      <w:pPr>
        <w:spacing w:after="0" w:line="18" w:lineRule="exact"/>
        <w:rPr>
          <w:sz w:val="20"/>
          <w:szCs w:val="20"/>
          <w:color w:val="auto"/>
        </w:rPr>
      </w:pPr>
    </w:p>
    <w:p>
      <w:pPr>
        <w:ind w:left="60" w:right="359"/>
        <w:spacing w:after="0"/>
        <w:rPr>
          <w:sz w:val="20"/>
          <w:szCs w:val="20"/>
          <w:color w:val="auto"/>
        </w:rPr>
      </w:pPr>
      <w:r>
        <w:rPr>
          <w:rFonts w:ascii="Arial" w:cs="Arial" w:eastAsia="Arial" w:hAnsi="Arial"/>
          <w:sz w:val="17"/>
          <w:szCs w:val="17"/>
          <w:b w:val="1"/>
          <w:bCs w:val="1"/>
          <w:i w:val="1"/>
          <w:iCs w:val="1"/>
          <w:color w:val="231F20"/>
        </w:rPr>
        <w:t>of Delaware is the exclusive forum for substantially all disputes between us and our stockholders, which could limit our stockholders' ability to obtain a favorable judicial forum for disputes with us or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directors, officers or employees.</w:t>
      </w:r>
    </w:p>
    <w:p>
      <w:pPr>
        <w:spacing w:after="0" w:line="21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Our amended and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Delaware General Corporation Law (the “DGCL”) or any action asserting a claim against us that is governed by the internal affairs doctrine. The exclusive forum provision does not apply to suits brought to enforce any liability or duty created by the Exchange Act or any other claim for which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federal courts have exclusive jurisdiction. Our amended and restated certificate of incorporation also provides that the U.S. federal district courts are the exclusive forum for the resolution of any complaint asserting a cause of action against us or any of our directors, officers, employees or agents and arising under the Securities Act. Any person or entity purchasing or otherwise acquiring any interest in shares of our capital stock shall be deemed to have notice of and to have consented to the provisions of our amended and restated certificate of incorporation described above. Under the Securities Act, federal and state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w:t>
      </w:r>
    </w:p>
    <w:p>
      <w:pPr>
        <w:spacing w:after="0" w:line="164" w:lineRule="exact"/>
        <w:rPr>
          <w:sz w:val="20"/>
          <w:szCs w:val="20"/>
          <w:color w:val="auto"/>
        </w:rPr>
      </w:pPr>
    </w:p>
    <w:p>
      <w:pPr>
        <w:ind w:left="60" w:right="859"/>
        <w:spacing w:after="0" w:line="301" w:lineRule="auto"/>
        <w:rPr>
          <w:sz w:val="20"/>
          <w:szCs w:val="20"/>
          <w:color w:val="auto"/>
        </w:rPr>
      </w:pPr>
      <w:r>
        <w:rPr>
          <w:rFonts w:ascii="Arial" w:cs="Arial" w:eastAsia="Arial" w:hAnsi="Arial"/>
          <w:sz w:val="17"/>
          <w:szCs w:val="17"/>
          <w:b w:val="1"/>
          <w:bCs w:val="1"/>
          <w:i w:val="1"/>
          <w:iCs w:val="1"/>
          <w:color w:val="231F20"/>
        </w:rPr>
        <w:t>Anti-takeover provisions included in our amended and restated certificate of incorporation and amended and restated bylaws, as well as under Delaware law, could discourage a takeover.</w:t>
      </w:r>
    </w:p>
    <w:p>
      <w:pPr>
        <w:spacing w:after="0" w:line="15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or remove members of our Board of Directors. Because our Board of Directors is responsible for appointing the members of our management team, these provisions could in turn affect any attempt by our stockholders to replace or remove current members of our management team. These include the following provisions that:</w:t>
      </w:r>
    </w:p>
    <w:p>
      <w:pPr>
        <w:spacing w:after="0" w:line="206" w:lineRule="exact"/>
        <w:rPr>
          <w:sz w:val="20"/>
          <w:szCs w:val="20"/>
          <w:color w:val="auto"/>
        </w:rPr>
      </w:pPr>
    </w:p>
    <w:p>
      <w:pPr>
        <w:ind w:left="540" w:hanging="139"/>
        <w:spacing w:after="0"/>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permit our Board of Directors to issue shares of preferred stock, with any rights, preferences and</w:t>
      </w:r>
    </w:p>
    <w:p>
      <w:pPr>
        <w:spacing w:after="0" w:line="36" w:lineRule="exact"/>
        <w:rPr>
          <w:rFonts w:ascii="Arial" w:cs="Arial" w:eastAsia="Arial" w:hAnsi="Arial"/>
          <w:sz w:val="18"/>
          <w:szCs w:val="18"/>
          <w:color w:val="231F20"/>
        </w:rPr>
      </w:pPr>
    </w:p>
    <w:p>
      <w:pPr>
        <w:ind w:left="540" w:right="779"/>
        <w:spacing w:after="0" w:line="277" w:lineRule="auto"/>
        <w:rPr>
          <w:rFonts w:ascii="Arial" w:cs="Arial" w:eastAsia="Arial" w:hAnsi="Arial"/>
          <w:sz w:val="18"/>
          <w:szCs w:val="18"/>
          <w:color w:val="231F20"/>
        </w:rPr>
      </w:pPr>
      <w:r>
        <w:rPr>
          <w:rFonts w:ascii="Arial" w:cs="Arial" w:eastAsia="Arial" w:hAnsi="Arial"/>
          <w:sz w:val="18"/>
          <w:szCs w:val="18"/>
          <w:color w:val="auto"/>
        </w:rPr>
        <w:t>privileges as they may designate, without stockholder approval, which could be used to dilute the ownership of a hostile bidder significantly;</w:t>
      </w:r>
    </w:p>
    <w:p>
      <w:pPr>
        <w:spacing w:after="0" w:line="89" w:lineRule="exact"/>
        <w:rPr>
          <w:rFonts w:ascii="Arial" w:cs="Arial" w:eastAsia="Arial" w:hAnsi="Arial"/>
          <w:sz w:val="18"/>
          <w:szCs w:val="18"/>
          <w:color w:val="231F20"/>
        </w:rPr>
      </w:pPr>
    </w:p>
    <w:p>
      <w:pPr>
        <w:ind w:left="540" w:hanging="139"/>
        <w:spacing w:after="0"/>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provide that the authorized number of directors may be changed only by resolution of our Board of</w:t>
      </w:r>
    </w:p>
    <w:p>
      <w:pPr>
        <w:spacing w:after="0" w:line="36" w:lineRule="exact"/>
        <w:rPr>
          <w:rFonts w:ascii="Arial" w:cs="Arial" w:eastAsia="Arial" w:hAnsi="Arial"/>
          <w:sz w:val="18"/>
          <w:szCs w:val="18"/>
          <w:color w:val="231F20"/>
        </w:rPr>
      </w:pPr>
    </w:p>
    <w:p>
      <w:pPr>
        <w:ind w:left="540" w:right="239"/>
        <w:spacing w:after="0" w:line="277" w:lineRule="auto"/>
        <w:rPr>
          <w:rFonts w:ascii="Arial" w:cs="Arial" w:eastAsia="Arial" w:hAnsi="Arial"/>
          <w:sz w:val="18"/>
          <w:szCs w:val="18"/>
          <w:color w:val="231F20"/>
        </w:rPr>
      </w:pPr>
      <w:r>
        <w:rPr>
          <w:rFonts w:ascii="Arial" w:cs="Arial" w:eastAsia="Arial" w:hAnsi="Arial"/>
          <w:sz w:val="18"/>
          <w:szCs w:val="18"/>
          <w:color w:val="auto"/>
        </w:rPr>
        <w:t>Directors and that a director may only be removed with cause by the affirmative vote of the holders of at least a majority of our outstanding voting stock, voting together as a single class;</w:t>
      </w:r>
    </w:p>
    <w:p>
      <w:pPr>
        <w:spacing w:after="0" w:line="89" w:lineRule="exact"/>
        <w:rPr>
          <w:rFonts w:ascii="Arial" w:cs="Arial" w:eastAsia="Arial" w:hAnsi="Arial"/>
          <w:sz w:val="18"/>
          <w:szCs w:val="18"/>
          <w:color w:val="231F20"/>
        </w:rPr>
      </w:pPr>
    </w:p>
    <w:p>
      <w:pPr>
        <w:jc w:val="both"/>
        <w:ind w:left="540" w:right="359" w:hanging="139"/>
        <w:spacing w:after="0" w:line="324" w:lineRule="auto"/>
        <w:tabs>
          <w:tab w:leader="none" w:pos="540" w:val="left"/>
        </w:tabs>
        <w:numPr>
          <w:ilvl w:val="0"/>
          <w:numId w:val="44"/>
        </w:numPr>
        <w:rPr>
          <w:rFonts w:ascii="Arial" w:cs="Arial" w:eastAsia="Arial" w:hAnsi="Arial"/>
          <w:sz w:val="17"/>
          <w:szCs w:val="17"/>
          <w:color w:val="231F20"/>
        </w:rPr>
      </w:pPr>
      <w:r>
        <w:rPr>
          <w:rFonts w:ascii="Arial" w:cs="Arial" w:eastAsia="Arial" w:hAnsi="Arial"/>
          <w:sz w:val="17"/>
          <w:szCs w:val="17"/>
          <w:color w:val="auto"/>
        </w:rPr>
        <w:t>provide that all vacancies, including newly created directorships, may, except as otherwise required by law, be filled by the affirmative vote of a majority of directors then in office, even if less than a quorum;</w:t>
      </w:r>
    </w:p>
    <w:p>
      <w:pPr>
        <w:spacing w:after="0" w:line="52" w:lineRule="exact"/>
        <w:rPr>
          <w:rFonts w:ascii="Arial" w:cs="Arial" w:eastAsia="Arial" w:hAnsi="Arial"/>
          <w:sz w:val="17"/>
          <w:szCs w:val="17"/>
          <w:color w:val="231F20"/>
        </w:rPr>
      </w:pPr>
    </w:p>
    <w:p>
      <w:pPr>
        <w:ind w:left="540" w:hanging="139"/>
        <w:spacing w:after="0"/>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provide that our amended and restated bylaws may only be altered, amended or repealed by our</w:t>
      </w:r>
    </w:p>
    <w:p>
      <w:pPr>
        <w:spacing w:after="0" w:line="36" w:lineRule="exact"/>
        <w:rPr>
          <w:rFonts w:ascii="Arial" w:cs="Arial" w:eastAsia="Arial" w:hAnsi="Arial"/>
          <w:sz w:val="18"/>
          <w:szCs w:val="18"/>
          <w:color w:val="231F20"/>
        </w:rPr>
      </w:pPr>
    </w:p>
    <w:p>
      <w:pPr>
        <w:ind w:left="540" w:right="99"/>
        <w:spacing w:after="0" w:line="277" w:lineRule="auto"/>
        <w:rPr>
          <w:rFonts w:ascii="Arial" w:cs="Arial" w:eastAsia="Arial" w:hAnsi="Arial"/>
          <w:sz w:val="18"/>
          <w:szCs w:val="18"/>
          <w:color w:val="231F20"/>
        </w:rPr>
      </w:pPr>
      <w:r>
        <w:rPr>
          <w:rFonts w:ascii="Arial" w:cs="Arial" w:eastAsia="Arial" w:hAnsi="Arial"/>
          <w:sz w:val="18"/>
          <w:szCs w:val="18"/>
          <w:color w:val="auto"/>
        </w:rPr>
        <w:t>stockholders upon the affirmative vote of a two-thirds majority of the voting power of all of our outstanding voting stock, voting together as a single class;</w:t>
      </w:r>
    </w:p>
    <w:p>
      <w:pPr>
        <w:spacing w:after="0" w:line="89" w:lineRule="exact"/>
        <w:rPr>
          <w:rFonts w:ascii="Arial" w:cs="Arial" w:eastAsia="Arial" w:hAnsi="Arial"/>
          <w:sz w:val="18"/>
          <w:szCs w:val="18"/>
          <w:color w:val="231F20"/>
        </w:rPr>
      </w:pPr>
    </w:p>
    <w:p>
      <w:pPr>
        <w:ind w:left="540" w:hanging="139"/>
        <w:spacing w:after="0"/>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provide that stockholders seeking to present proposals before a meeting of stockholders or to nominate</w:t>
      </w:r>
    </w:p>
    <w:p>
      <w:pPr>
        <w:spacing w:after="0" w:line="36" w:lineRule="exact"/>
        <w:rPr>
          <w:rFonts w:ascii="Arial" w:cs="Arial" w:eastAsia="Arial" w:hAnsi="Arial"/>
          <w:sz w:val="18"/>
          <w:szCs w:val="18"/>
          <w:color w:val="231F20"/>
        </w:rPr>
      </w:pPr>
    </w:p>
    <w:p>
      <w:pPr>
        <w:ind w:left="540" w:right="179"/>
        <w:spacing w:after="0" w:line="290" w:lineRule="auto"/>
        <w:rPr>
          <w:rFonts w:ascii="Arial" w:cs="Arial" w:eastAsia="Arial" w:hAnsi="Arial"/>
          <w:sz w:val="18"/>
          <w:szCs w:val="18"/>
          <w:color w:val="231F20"/>
        </w:rPr>
      </w:pPr>
      <w:r>
        <w:rPr>
          <w:rFonts w:ascii="Arial" w:cs="Arial" w:eastAsia="Arial" w:hAnsi="Arial"/>
          <w:sz w:val="17"/>
          <w:szCs w:val="17"/>
          <w:color w:val="auto"/>
        </w:rPr>
        <w:t>candidates for election as directors at a meeting of stockholders must provide notice in writing in a timely manner and also specify requirements as to the form and content of a stockholder’s notice, which may</w:t>
      </w:r>
    </w:p>
    <w:p>
      <w:pPr>
        <w:ind w:left="540" w:right="379"/>
        <w:spacing w:after="0" w:line="277" w:lineRule="auto"/>
        <w:rPr>
          <w:rFonts w:ascii="Arial" w:cs="Arial" w:eastAsia="Arial" w:hAnsi="Arial"/>
          <w:sz w:val="18"/>
          <w:szCs w:val="18"/>
          <w:color w:val="231F20"/>
        </w:rPr>
      </w:pPr>
      <w:r>
        <w:rPr>
          <w:rFonts w:ascii="Arial" w:cs="Arial" w:eastAsia="Arial" w:hAnsi="Arial"/>
          <w:sz w:val="18"/>
          <w:szCs w:val="18"/>
          <w:color w:val="auto"/>
        </w:rPr>
        <w:t>discourage or deter a potential acquiror from conducting a solicitation of proxies to elect the acquiror’s own slate of directors or otherwise attempting to obtain control of our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right="379" w:hanging="139"/>
        <w:spacing w:after="0" w:line="293" w:lineRule="auto"/>
        <w:tabs>
          <w:tab w:leader="none" w:pos="54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prohibit cumulative voting in the election of directors, which limits the ability of minority stockholders to elect director candidates; and</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provide that special meetings of our stockholders may be called only by the Chairman of the board, the</w:t>
      </w:r>
    </w:p>
    <w:p>
      <w:pPr>
        <w:spacing w:after="0" w:line="36" w:lineRule="exact"/>
        <w:rPr>
          <w:rFonts w:ascii="Arial" w:cs="Arial" w:eastAsia="Arial" w:hAnsi="Arial"/>
          <w:sz w:val="18"/>
          <w:szCs w:val="18"/>
          <w:color w:val="231F20"/>
        </w:rPr>
      </w:pPr>
    </w:p>
    <w:p>
      <w:pPr>
        <w:ind w:left="540" w:right="259"/>
        <w:spacing w:after="0" w:line="279" w:lineRule="auto"/>
        <w:rPr>
          <w:rFonts w:ascii="Arial" w:cs="Arial" w:eastAsia="Arial" w:hAnsi="Arial"/>
          <w:sz w:val="18"/>
          <w:szCs w:val="18"/>
          <w:color w:val="231F20"/>
        </w:rPr>
      </w:pPr>
      <w:r>
        <w:rPr>
          <w:rFonts w:ascii="Arial" w:cs="Arial" w:eastAsia="Arial" w:hAnsi="Arial"/>
          <w:sz w:val="18"/>
          <w:szCs w:val="18"/>
          <w:color w:val="auto"/>
        </w:rPr>
        <w:t>Chief Executive Officer, or a majority of the Board of Directors then in office, which may delay the ability of our stockholders to force consideration by our company of a take-over proposal or to take certain corporate actions, including the removal of directors.</w:t>
      </w:r>
    </w:p>
    <w:p>
      <w:pPr>
        <w:spacing w:after="0" w:line="7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addition, Section 203 of the DGCL, which generally prohibits a Delaware corporation from engaging in any of a broad range of business combinations with an interested stockholder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This provision could have the effect of delaying or preventing a change in control of our company, whether or not it is desired by or beneficial to our stockholders. Further, other provisions of Delaware law may also discourage, delay or prevent someone from acquiring us or merging with us.</w:t>
      </w:r>
    </w:p>
    <w:p>
      <w:pPr>
        <w:spacing w:after="0" w:line="159" w:lineRule="exact"/>
        <w:rPr>
          <w:sz w:val="20"/>
          <w:szCs w:val="20"/>
          <w:color w:val="auto"/>
        </w:rPr>
      </w:pPr>
    </w:p>
    <w:p>
      <w:pPr>
        <w:ind w:left="60" w:right="339"/>
        <w:spacing w:after="0" w:line="301" w:lineRule="auto"/>
        <w:rPr>
          <w:sz w:val="20"/>
          <w:szCs w:val="20"/>
          <w:color w:val="auto"/>
        </w:rPr>
      </w:pPr>
      <w:r>
        <w:rPr>
          <w:rFonts w:ascii="Arial" w:cs="Arial" w:eastAsia="Arial" w:hAnsi="Arial"/>
          <w:sz w:val="17"/>
          <w:szCs w:val="17"/>
          <w:b w:val="1"/>
          <w:bCs w:val="1"/>
          <w:i w:val="1"/>
          <w:iCs w:val="1"/>
          <w:color w:val="231F20"/>
        </w:rPr>
        <w:t>We do not currently intend to pay dividends on our common stock, and, consequently, your ability to achieve a return on your investment will depend on appreciation in the price of our common stock.</w:t>
      </w:r>
    </w:p>
    <w:p>
      <w:pPr>
        <w:spacing w:after="0" w:line="15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1B. Unresolved Staff Comments</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7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2. Properties</w:t>
      </w:r>
    </w:p>
    <w:p>
      <w:pPr>
        <w:spacing w:after="0" w:line="130"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We lease 23,890 square feet of office space in Minneapolis, Minnesota, which houses our principal executive offices and our manufacturing facility. We lease this space under an operating lease agreement that commenced December 1, 2008 and expires July 31, 2024. We intend to add new facilities as we grow and we believe that suitable additional or substitute space will be available as needed to accommodate any such expansion of our operations.</w:t>
      </w: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Legal Proceedings</w:t>
      </w:r>
    </w:p>
    <w:p>
      <w:pPr>
        <w:spacing w:after="0" w:line="130"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w:t>
      </w:r>
    </w:p>
    <w:p>
      <w:pPr>
        <w:spacing w:after="0" w:line="26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Mine Safety Disclosures</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w:t>
      </w:r>
    </w:p>
    <w:p>
      <w:pPr>
        <w:spacing w:after="0" w:line="193" w:lineRule="exact"/>
        <w:rPr>
          <w:sz w:val="20"/>
          <w:szCs w:val="20"/>
          <w:color w:val="auto"/>
        </w:rPr>
      </w:pPr>
    </w:p>
    <w:p>
      <w:pPr>
        <w:ind w:left="60" w:right="679"/>
        <w:spacing w:after="0" w:line="261"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common stock trades on the Nasdaq Global Select Market under the symbol “CVRX.”</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22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As of February 3, 2023, there were approximately 87 holders of record of our common stock. This number does not include stockholders who are beneficial owners, but whose shares are held in street name by brokers and other nominees. This number of holders of record also does not include stockholders whose shares may be held in trust by other entities.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126"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We have never declared or paid, and do not anticipate declaring or paying in the foreseeable future, any cash dividends on our capital stock. Any future determination as to the declaration and payment of dividends, if any, will be at the discretion of our Board of Directors, subject to applicable laws, and will depend on then existing conditions, including our financial condition, operating results, contractual restrictions, capital requirements, business prospects, and other factors our Board of Directors may deem relevant. Our Loan Agreement with Innovatus restricts us from paying dividends or making other distributions or payments on our capital stock, subject to limited exceptions.</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6. [Reserved]</w:t>
      </w:r>
    </w:p>
    <w:p>
      <w:pPr>
        <w:spacing w:after="0" w:line="301" w:lineRule="exact"/>
        <w:rPr>
          <w:sz w:val="20"/>
          <w:szCs w:val="20"/>
          <w:color w:val="auto"/>
        </w:rPr>
      </w:pPr>
    </w:p>
    <w:p>
      <w:pPr>
        <w:ind w:left="60" w:right="259"/>
        <w:spacing w:after="0" w:line="261"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Overview</w:t>
      </w:r>
    </w:p>
    <w:p>
      <w:pPr>
        <w:spacing w:after="0" w:line="23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are a commercial-stage medical device company focused on developing, manufacturing and commercializing innovative and minimally invasive neuromodulation solutions for patients with cardiovascular disease. Our proprietary platform technology, Barostim, is designed to leverage the power of the brain and nervous system to address the imbalance of the Autonomic Nervous System, which causes HFrEF and other cardiovascular diseases. Our second-generation product, Barostim, is the first and only commercially available neuromodulation device indicated to improve symptoms for patients with HFrEF. Barostim provides Baroreflex Activation Therapy by sending imperceptible and persistent electrical pulses to baroreceptors located in the wall of the carotid artery to signal the brain to modulate cardiovascular function. Barostim is currently approved by the FDA to improve the symptoms of patients with HFrEF and is CE Marked for HFrEF and resistant hypertension.</w:t>
      </w:r>
    </w:p>
    <w:p>
      <w:pPr>
        <w:spacing w:after="0" w:line="20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Since our inception we have generated minimal revenue, as our activities have consisted primarily of developing Barostim Therapy, conducting our BeAT-HF pre-market and post-market pivotal studies in the U.S. and filing for regulatory approvals. Our ability to generate revenue from product sales and become profitable will depend on our ability to continue to successfully commercialize Barostim and any product enhancements we may advance in the future. We expect to derive future revenue by continuing to both expand our own dedicated salesforce and increase awareness of Barostim among payors, physicians and patients.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Our sales and marketing efforts are directed at EPs, HF specialists, interventional and general cardiologists and vascular surgeons because they are the primary users of our technology. However, we consider hospitals, where the procedures are performed primarily in an outpatient setting, to be our customers, as they are the purchasing entities of Barostim in the U.S. We intend to continue making significant investments building our U.S. commercial infrastructure by expanding and training our U.S. sales force. We have dedicated significant resources to educate physicians who treat HFrEF about the advantages of Barostim and train them on the implant procedure.</w:t>
      </w:r>
    </w:p>
    <w:p>
      <w:pPr>
        <w:spacing w:after="0" w:line="20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costs for the device and implantation procedure are reimbursed through various third-party payors, such as government agencies and commercial payors. In the U.S., we estimate that 67% of our target patient population is Medicare-eligible based on the age demographic of the HFrEF patient population indicated for Barostim. As a result, we have prioritized coverage by the CMS while simultaneously developing processes to engage commercial payors. All MACs have retired automatic coverage denial policies for our CPT codes, thereby allowing hospitals to be paid for the Barostim procedure. Our reimbursement strategy involves continuing to broaden our current coverage and build our in-house market access team to obtain appropriate prior authorization approvals in advance of treatment on a case-by-case basis where positive coverage policies currently do not exist. Outside the U.S., reimbursement levels vary by country and within some countries by region. Barostim is eligible for reimbursement in certain countries in the EEA, such as Germany, where annual healthcare budgets for the hospital generally determine the number of patients to be treated and the prices to be paid for the related devices that may be purchased.</w:t>
      </w:r>
    </w:p>
    <w:p>
      <w:pPr>
        <w:spacing w:after="0" w:line="204"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We manage all aspects of manufacturing operations and product supply of Barostim, which include final assembly, testing and packaging of our IPG and stimulation lead, at our headquarters in Minneapolis, Minnesota. We utilize components or various subassemblies manufactured by third-party suppliers, some of which have significant lead times. Many of these components are from a limited number of suppliers. We believe that our component manufacturers are recognized in their field for their competency to manufacture the respective portions of Barostim and have quality systems established that meet FDA requirements. We seek to maintain higher levels of inventory to protect ourselves from supply interruptions and continue to seek to broaden and strengthen our supply chain through additional sourcing channels.</w:t>
      </w:r>
    </w:p>
    <w:p>
      <w:pPr>
        <w:spacing w:after="0" w:line="208" w:lineRule="exact"/>
        <w:rPr>
          <w:sz w:val="20"/>
          <w:szCs w:val="20"/>
          <w:color w:val="auto"/>
        </w:rPr>
      </w:pPr>
    </w:p>
    <w:p>
      <w:pPr>
        <w:ind w:left="60" w:right="259"/>
        <w:spacing w:after="0" w:line="257" w:lineRule="auto"/>
        <w:rPr>
          <w:sz w:val="20"/>
          <w:szCs w:val="20"/>
          <w:color w:val="auto"/>
        </w:rPr>
      </w:pPr>
      <w:r>
        <w:rPr>
          <w:rFonts w:ascii="Arial" w:cs="Arial" w:eastAsia="Arial" w:hAnsi="Arial"/>
          <w:sz w:val="17"/>
          <w:szCs w:val="17"/>
          <w:color w:val="auto"/>
        </w:rPr>
        <w:t>From our inception until the IPO, we financed our operations primarily through preferred stock financings, and additionally, from sales of our Barostim products and amounts borrowed under our credit facilities. We then devoted substantially all of our resources to research and development activities related to Barostim Therapy, including clinical and regulatory initiatives to obtain marketing approval and sales and marketing activities.</w:t>
      </w:r>
    </w:p>
    <w:p>
      <w:pPr>
        <w:spacing w:after="0" w:line="18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used a portion of the IPO proceeds to continue funding the expansion of our direct sales force and commercial organization related to Barostim in the U.S. We continued investing in research and development in the near term to improve clinical outcomes, optimize patient adoption and comfort, increase patient access and enhance the physician and patient experience. Longer term, we plan to explore Barostim’s potential to expand its indications for use to other cardiovascular diseases. On October 31, 2022, we entered into a loan and security agreement under which we may borrow, subject to our achievement of certain milestones, up to a total of $50.0 million in a series of term loans described in Note 5 to our consolidated financial statements included elsewhere in this Annual Report on Form 10-K, and we borrowed $7.5 million of such total on that date to fund our commercial and investment efforts. As a result of these investments and our commercialization efforts, we expect to continue to incur net losses for the next several years, which may require additional funding and could include future equity and debt financing.</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developments</w:t>
      </w:r>
    </w:p>
    <w:p>
      <w:pPr>
        <w:spacing w:after="0" w:line="23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Since it was reported to have surfaced in December 2019, a novel strain of coronavirus disease, COVID-19, has spread across the world and has been declared a pandemic by the World Health Organization. Efforts to contain the spread of COVID-19 have been significant and governments around the world, including in the U.S., implemented severe travel restrictions, social distancing requirements, quarantines, stay-at-home orders and other significant restrictions. As a result, the COVID-19 pandemic presented a substantial public health and economic challenge and is affecting hospitals, physicians, patients, communities and business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operations, as well as contributing to significant volatility and negative pressure on the U.S. and world economy and in financial markets.</w:t>
      </w:r>
    </w:p>
    <w:p>
      <w:pPr>
        <w:spacing w:after="0" w:line="197"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color w:val="auto"/>
        </w:rPr>
        <w:t>The COVID-19 pandemic has negatively impacted our business, financial condition and results of operations by decreasing and delaying procedures performed to implant Barostim, and we expect the pandemic will continue to negatively impact our business, financial condition and results of operations. Beginning in March 2020, our revenue was negatively impacted by COVID-19 as healthcare facilities and clinics began restricting in-person access to their clinicians, reducing patient consultations and treatments or temporarily closing their facilities.</w:t>
      </w:r>
    </w:p>
    <w:p>
      <w:pPr>
        <w:spacing w:after="0" w:line="190" w:lineRule="exact"/>
        <w:rPr>
          <w:sz w:val="20"/>
          <w:szCs w:val="20"/>
          <w:color w:val="auto"/>
        </w:rPr>
      </w:pPr>
    </w:p>
    <w:p>
      <w:pPr>
        <w:ind w:left="60" w:right="139"/>
        <w:spacing w:after="0" w:line="274" w:lineRule="auto"/>
        <w:rPr>
          <w:sz w:val="20"/>
          <w:szCs w:val="20"/>
          <w:color w:val="auto"/>
        </w:rPr>
      </w:pPr>
      <w:r>
        <w:rPr>
          <w:rFonts w:ascii="Arial" w:cs="Arial" w:eastAsia="Arial" w:hAnsi="Arial"/>
          <w:sz w:val="17"/>
          <w:szCs w:val="17"/>
          <w:color w:val="auto"/>
        </w:rPr>
        <w:t>In response to the COVID-19 pandemic, we implemented a variety of measures intended to help us manage its impact while maintaining business continuity to support our customers and patients. These measures include:</w:t>
      </w:r>
    </w:p>
    <w:p>
      <w:pPr>
        <w:spacing w:after="0" w:line="175" w:lineRule="exact"/>
        <w:rPr>
          <w:sz w:val="20"/>
          <w:szCs w:val="20"/>
          <w:color w:val="auto"/>
        </w:rPr>
      </w:pPr>
    </w:p>
    <w:p>
      <w:pPr>
        <w:ind w:left="380" w:right="879" w:hanging="330"/>
        <w:spacing w:after="0" w:line="246" w:lineRule="auto"/>
        <w:tabs>
          <w:tab w:leader="none" w:pos="38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Establishing safety protocols, facility enhancements and work-from-home strategies to protect our employees;</w:t>
      </w:r>
    </w:p>
    <w:p>
      <w:pPr>
        <w:spacing w:after="0" w:line="196" w:lineRule="exact"/>
        <w:rPr>
          <w:rFonts w:ascii="Arial" w:cs="Arial" w:eastAsia="Arial" w:hAnsi="Arial"/>
          <w:sz w:val="18"/>
          <w:szCs w:val="18"/>
          <w:color w:val="231F20"/>
        </w:rPr>
      </w:pPr>
    </w:p>
    <w:p>
      <w:pPr>
        <w:ind w:left="380" w:hanging="330"/>
        <w:spacing w:after="0"/>
        <w:tabs>
          <w:tab w:leader="none" w:pos="38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Ensuring that our manufacturing and supply chain operations remain intact and operational;</w:t>
      </w:r>
    </w:p>
    <w:p>
      <w:pPr>
        <w:spacing w:after="0" w:line="225" w:lineRule="exact"/>
        <w:rPr>
          <w:rFonts w:ascii="Arial" w:cs="Arial" w:eastAsia="Arial" w:hAnsi="Arial"/>
          <w:sz w:val="18"/>
          <w:szCs w:val="18"/>
          <w:color w:val="231F20"/>
        </w:rPr>
      </w:pPr>
    </w:p>
    <w:p>
      <w:pPr>
        <w:ind w:left="380" w:right="459" w:hanging="330"/>
        <w:spacing w:after="0" w:line="246" w:lineRule="auto"/>
        <w:tabs>
          <w:tab w:leader="none" w:pos="38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Keeping our workforce intact, including our experienced and specialized U.S. sales and clinical support team;</w:t>
      </w:r>
    </w:p>
    <w:p>
      <w:pPr>
        <w:spacing w:after="0" w:line="196" w:lineRule="exact"/>
        <w:rPr>
          <w:rFonts w:ascii="Arial" w:cs="Arial" w:eastAsia="Arial" w:hAnsi="Arial"/>
          <w:sz w:val="18"/>
          <w:szCs w:val="18"/>
          <w:color w:val="231F20"/>
        </w:rPr>
      </w:pPr>
    </w:p>
    <w:p>
      <w:pPr>
        <w:ind w:left="380" w:right="79" w:hanging="330"/>
        <w:spacing w:after="0" w:line="246" w:lineRule="auto"/>
        <w:tabs>
          <w:tab w:leader="none" w:pos="380" w:val="left"/>
        </w:tabs>
        <w:numPr>
          <w:ilvl w:val="0"/>
          <w:numId w:val="46"/>
        </w:numPr>
        <w:rPr>
          <w:rFonts w:ascii="Arial" w:cs="Arial" w:eastAsia="Arial" w:hAnsi="Arial"/>
          <w:sz w:val="18"/>
          <w:szCs w:val="18"/>
          <w:color w:val="231F20"/>
        </w:rPr>
      </w:pPr>
      <w:r>
        <w:rPr>
          <w:rFonts w:ascii="Arial" w:cs="Arial" w:eastAsia="Arial" w:hAnsi="Arial"/>
          <w:sz w:val="18"/>
          <w:szCs w:val="18"/>
          <w:color w:val="231F20"/>
        </w:rPr>
        <w:t>Implementing virtual physician education programs to support opening new accounts with minimal in person interaction; and</w:t>
      </w:r>
    </w:p>
    <w:p>
      <w:pPr>
        <w:spacing w:after="0" w:line="196" w:lineRule="exact"/>
        <w:rPr>
          <w:rFonts w:ascii="Arial" w:cs="Arial" w:eastAsia="Arial" w:hAnsi="Arial"/>
          <w:sz w:val="18"/>
          <w:szCs w:val="18"/>
          <w:color w:val="231F20"/>
        </w:rPr>
      </w:pPr>
    </w:p>
    <w:p>
      <w:pPr>
        <w:ind w:left="380" w:right="619" w:hanging="330"/>
        <w:spacing w:after="0" w:line="246"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Increasing our capital resources through the completion of the IPO, which resulted in net proceeds of $133.2 million.</w:t>
      </w:r>
    </w:p>
    <w:p>
      <w:pPr>
        <w:spacing w:after="0" w:line="197" w:lineRule="exact"/>
        <w:rPr>
          <w:sz w:val="20"/>
          <w:szCs w:val="20"/>
          <w:color w:val="auto"/>
        </w:rPr>
      </w:pPr>
    </w:p>
    <w:p>
      <w:pPr>
        <w:ind w:left="60" w:right="99"/>
        <w:spacing w:after="0" w:line="274" w:lineRule="auto"/>
        <w:rPr>
          <w:sz w:val="20"/>
          <w:szCs w:val="20"/>
          <w:color w:val="auto"/>
        </w:rPr>
      </w:pPr>
      <w:r>
        <w:rPr>
          <w:rFonts w:ascii="Arial" w:cs="Arial" w:eastAsia="Arial" w:hAnsi="Arial"/>
          <w:sz w:val="17"/>
          <w:szCs w:val="17"/>
          <w:color w:val="auto"/>
        </w:rPr>
        <w:t>Our hospital customers in the U.S. and Europe began to gradually perform elective procedures again during the fourth quarter of 2020. As the pandemic eased throughout 2021, we experienced the following positive trends:</w:t>
      </w:r>
    </w:p>
    <w:p>
      <w:pPr>
        <w:spacing w:after="0" w:line="175" w:lineRule="exact"/>
        <w:rPr>
          <w:sz w:val="20"/>
          <w:szCs w:val="20"/>
          <w:color w:val="auto"/>
        </w:rPr>
      </w:pPr>
    </w:p>
    <w:p>
      <w:pPr>
        <w:ind w:left="380" w:hanging="330"/>
        <w:spacing w:after="0"/>
        <w:tabs>
          <w:tab w:leader="none" w:pos="38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Strong physician participation in our virtual educational events;</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Expansion into new accounts; and</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Hospitals accepting patients for elective procedures at closer to pre-pandemic levels in the U.S.</w:t>
      </w:r>
    </w:p>
    <w:p>
      <w:pPr>
        <w:spacing w:after="0" w:line="225"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However, procedure volumes were again negatively impacted by the Delta and Omicron variants of COVID-19 in the third and fourth quarters of 2021 and continuing into the first quarter of 2022. By March 2022 and continuing through the date of this Annual Report on Form 10-K, implant centers resumed procedures at more normal levels. The extent to which the business recovers from the COVID-19 pandemic will depend on future developments, which are highly uncertain and cannot be predicted, including new information that may emerge concerning the severity and spread of COVID-19 and its variants and the actions to contain the spread of COVID-19 and its variants or treat its impact.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Factors affecting our performance</w:t>
      </w:r>
    </w:p>
    <w:p>
      <w:pPr>
        <w:spacing w:after="0" w:line="238"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We believe there are several important factors that have impacted and that we expect will continue to impact our business and results of operations. These factors include:</w:t>
      </w:r>
    </w:p>
    <w:p>
      <w:pPr>
        <w:spacing w:after="0" w:line="197" w:lineRule="exact"/>
        <w:rPr>
          <w:sz w:val="20"/>
          <w:szCs w:val="20"/>
          <w:color w:val="auto"/>
        </w:rPr>
      </w:pPr>
    </w:p>
    <w:p>
      <w:pPr>
        <w:ind w:left="380" w:hanging="330"/>
        <w:spacing w:after="0"/>
        <w:tabs>
          <w:tab w:leader="none" w:pos="38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Growing and supporting our U.S. commercial organization;</w:t>
      </w:r>
    </w:p>
    <w:p>
      <w:pPr>
        <w:spacing w:after="0" w:line="225" w:lineRule="exact"/>
        <w:rPr>
          <w:rFonts w:ascii="Arial" w:cs="Arial" w:eastAsia="Arial" w:hAnsi="Arial"/>
          <w:sz w:val="18"/>
          <w:szCs w:val="18"/>
          <w:color w:val="231F20"/>
        </w:rPr>
      </w:pPr>
    </w:p>
    <w:p>
      <w:pPr>
        <w:jc w:val="center"/>
        <w:ind w:left="4400" w:right="739" w:hanging="4350"/>
        <w:spacing w:after="0" w:line="512" w:lineRule="auto"/>
        <w:tabs>
          <w:tab w:leader="none" w:pos="37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 xml:space="preserve">Promoting awareness among physicians, hospitals and patients to accelerate adoption of Barostim; </w:t>
      </w:r>
      <w:r>
        <w:rPr>
          <w:rFonts w:ascii="Arial" w:cs="Arial" w:eastAsia="Arial" w:hAnsi="Arial"/>
          <w:sz w:val="18"/>
          <w:szCs w:val="18"/>
          <w:color w:val="000000"/>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185420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0" w:hanging="330"/>
        <w:spacing w:after="0"/>
        <w:tabs>
          <w:tab w:leader="none" w:pos="38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Raising awareness among payors to build upon reimbursement for Barostim;</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Investing in research and development to foster innovation and further simplify the Barostim procedure; and</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Leveraging our manufacturing capacity to further improve our gross margins.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Components of results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34" w:lineRule="exact"/>
        <w:rPr>
          <w:sz w:val="20"/>
          <w:szCs w:val="20"/>
          <w:color w:val="auto"/>
        </w:rPr>
      </w:pPr>
    </w:p>
    <w:p>
      <w:pPr>
        <w:jc w:val="both"/>
        <w:ind w:left="60" w:right="219"/>
        <w:spacing w:after="0" w:line="238" w:lineRule="auto"/>
        <w:rPr>
          <w:sz w:val="20"/>
          <w:szCs w:val="20"/>
          <w:color w:val="auto"/>
        </w:rPr>
      </w:pPr>
      <w:r>
        <w:rPr>
          <w:rFonts w:ascii="Arial" w:cs="Arial" w:eastAsia="Arial" w:hAnsi="Arial"/>
          <w:sz w:val="18"/>
          <w:szCs w:val="18"/>
          <w:color w:val="auto"/>
        </w:rPr>
        <w:t>Our U.S. sales have increased since the pre-market approval of Barostim by the FDA in August 2019, and the subsequent reimbursement changes in 2020. We expect to continue to drive increases in revenue through our efforts to increase awareness of Barostim among physicians, patients and payors and by the expansion of our U.S. sales force. As a result, we expect that U.S. sales will continue to account for the majority of our revenue going forward.</w:t>
      </w:r>
    </w:p>
    <w:p>
      <w:pPr>
        <w:spacing w:after="0" w:line="20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derive a portion of our revenue from the sale of Barostim to hospitals in Germany and other select countries in Europe. Revenue from sales of Barostim in Europe fluctuates based on the average selling price of Barostim as determined by location of sale and channel mix, each of which may vary significantly from country to country. Our revenue from international sales can also be significantly impacted by fluctuations in foreign currency exchange rates.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Cost of goods sold consists primarily of acquisition costs of the components and subassemblies of Barostim, allocated manufacturing overhead and scrap and inventory obsolescence, as well as distribution-related expenses such as logistics and shipping costs. We expect cost of goods sold to increase in absolute dollars primarily as, and to the extent, our revenue grows. Gross margin may also vary based on regional differences in rebates and incentives negotiated with certain customers.</w:t>
      </w:r>
    </w:p>
    <w:p>
      <w:pPr>
        <w:spacing w:after="0" w:line="202" w:lineRule="exact"/>
        <w:rPr>
          <w:sz w:val="20"/>
          <w:szCs w:val="20"/>
          <w:color w:val="auto"/>
        </w:rPr>
      </w:pPr>
    </w:p>
    <w:p>
      <w:pPr>
        <w:ind w:left="60" w:right="199"/>
        <w:spacing w:after="0" w:line="234" w:lineRule="auto"/>
        <w:rPr>
          <w:sz w:val="20"/>
          <w:szCs w:val="20"/>
          <w:color w:val="auto"/>
        </w:rPr>
      </w:pPr>
      <w:r>
        <w:rPr>
          <w:rFonts w:ascii="Arial" w:cs="Arial" w:eastAsia="Arial" w:hAnsi="Arial"/>
          <w:sz w:val="18"/>
          <w:szCs w:val="18"/>
          <w:color w:val="auto"/>
        </w:rPr>
        <w:t>We calculate gross margin as revenue less cost of goods sold divided by revenue. Our gross margin has been and will continue to be affected by a variety of factors, but is primarily driven by the average sale price of our product, the percentage of products sold that include a full system (i.e., an IPG and a stimulation lead), as compared to individual IPG sales, and the allocated manufacturing overhead. Although we sell the majority of our devices directly to hospitals, the impact of the average selling price on gross margin is driven by</w:t>
      </w:r>
    </w:p>
    <w:p>
      <w:pPr>
        <w:spacing w:after="0" w:line="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percentage of products we sold to distributors as compared to those sold directly to hospitals, as our average selling price is typically higher on products we sell directly. The full system sales typically have a lower gross margin as they include the cost of an IPG and a stimulation lead whereas individual IPG sales only include the cost of an IPG. The manufacturing overhead costs of Barostim are directly aligned to our production volume and therefore the cost per product is reduced if production levels increase. While we expect our gross margin to be positively affected over time to the extent we are successful in selling more product through our direct sales force and by increasing our production volumes, it will likely fluctuate from period to period as we continue to introduce new products and adopt new manufacturing processes and technologies.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Research and development (“R&amp;D”) expenses consist primarily of personnel costs, including salaries, bonuses, employee benefits and stock-based compensation expenses for our R&amp;D employees. R&amp;D expenses also include costs associated with product design efforts, development prototypes, testing, clinical trial programs and regulatory activities, contractors and consultants, equipment and software to support our development, facilities and information technology. We expense R&amp;D costs as they are incurred. We expect R&amp;D expenses to increase in absolute dollars as we continue to develop enhancements to Barostim. Our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R&amp;D expenses may fluctuate from period to period due to the timing and extent of our product development and clinical trial expenses related to Barostim in HFrEF.</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4"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Selling, general and administrative (“SG&amp;A”) expenses consist primarily of personnel costs, including base salaries, bonuses, employee benefits and stock-based compensation expense for our sales and marketing personnel, including sales commissions, and for administrative personnel that support our general operations such as executive management, financial accounting, information technology and human resources personnel. SG&amp;A expenses also include costs attributable to marketing, as well as travel, legal fees, financial audit fees, insurance, fees for other consulting services, depreciation and facilities. We expense commissions at the time of the sale.</w:t>
      </w:r>
    </w:p>
    <w:p>
      <w:pPr>
        <w:spacing w:after="0" w:line="203"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expect SG&amp;A expenses to increase in absolute dollars as we continue to expand our direct sales force and commercial organization in the U.S. In addition, we will continue to increase our international presence and to develop and assist our channel partners. However, we expect our SG&amp;A expenses to decrease as a percentage of revenue as our revenue grows.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consists of interest on our debt and amortization of associated debt discount.</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34"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Other income, net consists primarily of interest income on our interest-bearing account. Other expense, net consists primarily of the fair value adjustments related to our formerly outstanding convertible preferred stock warrants, which were accounted for as a liability and marked-to-market at each reporting period. The final fair value adjustment of the warrant liability was recorded upon the closing of the IPO in connection with the conversion of the warrants to common stock warrants. Other items include losses on the extinguishment of debt, interest income earned on our cash and cash equivalents and the effect of exchange rates on our foreign currency-denominated asset and liability balances.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4" w:lineRule="exact"/>
        <w:rPr>
          <w:sz w:val="20"/>
          <w:szCs w:val="20"/>
          <w:color w:val="auto"/>
        </w:rPr>
      </w:pPr>
    </w:p>
    <w:p>
      <w:pPr>
        <w:ind w:left="60" w:right="479"/>
        <w:spacing w:after="0"/>
        <w:rPr>
          <w:sz w:val="20"/>
          <w:szCs w:val="20"/>
          <w:color w:val="auto"/>
        </w:rPr>
      </w:pPr>
      <w:r>
        <w:rPr>
          <w:rFonts w:ascii="Arial" w:cs="Arial" w:eastAsia="Arial" w:hAnsi="Arial"/>
          <w:sz w:val="18"/>
          <w:szCs w:val="18"/>
          <w:color w:val="auto"/>
        </w:rPr>
        <w:t>Provision for income taxes consists primarily of income taxes in foreign jurisdictions in which we conduct business. We maintain a full valuation allowance for deferred tax assets including NOL carryforwards, R&amp;D credits and other tax credits.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Results of operations</w:t>
      </w:r>
    </w:p>
    <w:p>
      <w:pPr>
        <w:spacing w:after="0" w:line="216"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b w:val="1"/>
          <w:bCs w:val="1"/>
          <w:i w:val="1"/>
          <w:iCs w:val="1"/>
          <w:color w:val="auto"/>
        </w:rPr>
        <w:t>Consolidated results of operations for the year ended December 31, 2022, compared to the year ended December 31, 2021</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7"/>
          </w:tcPr>
          <w:p>
            <w:pPr>
              <w:jc w:val="right"/>
              <w:ind w:right="13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Change</w:t>
            </w: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160" w:type="dxa"/>
            <w:vAlign w:val="bottom"/>
            <w:gridSpan w:val="2"/>
            <w:vMerge w:val="continue"/>
          </w:tcPr>
          <w:p>
            <w:pPr>
              <w:spacing w:after="0"/>
              <w:rPr>
                <w:sz w:val="13"/>
                <w:szCs w:val="13"/>
                <w:color w:val="auto"/>
              </w:rPr>
            </w:pPr>
          </w:p>
        </w:tc>
        <w:tc>
          <w:tcPr>
            <w:tcW w:w="840" w:type="dxa"/>
            <w:vAlign w:val="bottom"/>
            <w:gridSpan w:val="3"/>
          </w:tcPr>
          <w:p>
            <w:pPr>
              <w:jc w:val="right"/>
              <w:ind w:right="179"/>
              <w:spacing w:after="0" w:line="155"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4"/>
          </w:tcPr>
          <w:p>
            <w:pPr>
              <w:jc w:val="right"/>
              <w:ind w:right="153"/>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22,469</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13,036</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lef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9,433</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4,999</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3,640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1,359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196"/>
        </w:trPr>
        <w:tc>
          <w:tcPr>
            <w:tcW w:w="516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84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17,470</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9,396</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8,074</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1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Gross margin</w:t>
            </w: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78</w:t>
            </w:r>
          </w:p>
        </w:tc>
        <w:tc>
          <w:tcPr>
            <w:tcW w:w="28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28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9,952</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7,501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2,451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50,045</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27,863</w:t>
            </w:r>
          </w:p>
        </w:tc>
        <w:tc>
          <w:tcPr>
            <w:tcW w:w="2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22,182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CCEEFF"/>
            </w:tcBorders>
            <w:gridSpan w:val="2"/>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84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59,997</w:t>
            </w: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rPr>
              <w:t>35,364</w:t>
            </w:r>
          </w:p>
        </w:tc>
        <w:tc>
          <w:tcPr>
            <w:tcW w:w="2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24,633</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1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8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(42,527)</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(25,968)</w:t>
            </w:r>
          </w:p>
        </w:tc>
        <w:tc>
          <w:tcPr>
            <w:tcW w:w="2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(16,559)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405"/>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5"/>
          </w:tcPr>
          <w:p>
            <w:pPr>
              <w:jc w:val="right"/>
              <w:ind w:right="170"/>
              <w:spacing w:after="0"/>
              <w:rPr>
                <w:sz w:val="20"/>
                <w:szCs w:val="20"/>
                <w:color w:val="auto"/>
              </w:rPr>
            </w:pPr>
            <w:r>
              <w:rPr>
                <w:rFonts w:ascii="Arial" w:cs="Arial" w:eastAsia="Arial" w:hAnsi="Arial"/>
                <w:sz w:val="18"/>
                <w:szCs w:val="18"/>
                <w:color w:val="auto"/>
              </w:rPr>
              <w:t>(2,219)</w:t>
            </w:r>
          </w:p>
        </w:tc>
        <w:tc>
          <w:tcPr>
            <w:tcW w:w="14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2,054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1,373</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(14,800)</w:t>
            </w:r>
          </w:p>
        </w:tc>
        <w:tc>
          <w:tcPr>
            <w:tcW w:w="140" w:type="dxa"/>
            <w:vAlign w:val="bottom"/>
            <w:tcBorders>
              <w:lef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16,173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340"/>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gridSpan w:val="2"/>
            <w:vMerge w:val="continue"/>
          </w:tcPr>
          <w:p>
            <w:pPr>
              <w:spacing w:after="0"/>
              <w:rPr>
                <w:sz w:val="17"/>
                <w:szCs w:val="17"/>
                <w:color w:val="auto"/>
              </w:rPr>
            </w:pP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(41,319)</w:t>
            </w:r>
          </w:p>
        </w:tc>
        <w:tc>
          <w:tcPr>
            <w:tcW w:w="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(42,987)</w:t>
            </w:r>
          </w:p>
        </w:tc>
        <w:tc>
          <w:tcPr>
            <w:tcW w:w="2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1,668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8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(91)</w:t>
            </w:r>
          </w:p>
        </w:tc>
        <w:tc>
          <w:tcPr>
            <w:tcW w:w="14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0"/>
        </w:trPr>
        <w:tc>
          <w:tcPr>
            <w:tcW w:w="516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 (41,428)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w w:val="97"/>
              </w:rPr>
              <w:t>$ (43,078)</w:t>
            </w:r>
          </w:p>
        </w:tc>
        <w:tc>
          <w:tcPr>
            <w:tcW w:w="2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31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NM – Not meaningful</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160" w:type="dxa"/>
            <w:vAlign w:val="bottom"/>
            <w:gridSpan w:val="2"/>
          </w:tcPr>
          <w:p>
            <w:pPr>
              <w:ind w:left="20"/>
              <w:spacing w:after="0"/>
              <w:rPr>
                <w:sz w:val="20"/>
                <w:szCs w:val="20"/>
                <w:color w:val="auto"/>
              </w:rPr>
            </w:pPr>
            <w:r>
              <w:rPr>
                <w:rFonts w:ascii="Arial" w:cs="Arial" w:eastAsia="Arial" w:hAnsi="Arial"/>
                <w:sz w:val="18"/>
                <w:szCs w:val="18"/>
                <w:i w:val="1"/>
                <w:iCs w:val="1"/>
                <w:color w:val="auto"/>
              </w:rPr>
              <w:t>Revenue</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gridSpan w:val="10"/>
          </w:tcPr>
          <w:p>
            <w:pPr>
              <w:ind w:left="20"/>
              <w:spacing w:after="0"/>
              <w:rPr>
                <w:sz w:val="20"/>
                <w:szCs w:val="20"/>
                <w:color w:val="auto"/>
              </w:rPr>
            </w:pPr>
            <w:r>
              <w:rPr>
                <w:rFonts w:ascii="Arial" w:cs="Arial" w:eastAsia="Arial" w:hAnsi="Arial"/>
                <w:sz w:val="14"/>
                <w:szCs w:val="14"/>
                <w:b w:val="1"/>
                <w:bCs w:val="1"/>
                <w:color w:val="auto"/>
              </w:rPr>
              <w:t>Revenue by Geography</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7"/>
          </w:tcPr>
          <w:p>
            <w:pPr>
              <w:jc w:val="right"/>
              <w:ind w:right="39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7"/>
          </w:tcPr>
          <w:p>
            <w:pPr>
              <w:jc w:val="right"/>
              <w:ind w:right="33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Change</w:t>
            </w: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160" w:type="dxa"/>
            <w:vAlign w:val="bottom"/>
            <w:gridSpan w:val="2"/>
            <w:vMerge w:val="continue"/>
          </w:tcPr>
          <w:p>
            <w:pPr>
              <w:spacing w:after="0"/>
              <w:rPr>
                <w:sz w:val="13"/>
                <w:szCs w:val="13"/>
                <w:color w:val="auto"/>
              </w:rPr>
            </w:pPr>
          </w:p>
        </w:tc>
        <w:tc>
          <w:tcPr>
            <w:tcW w:w="500" w:type="dxa"/>
            <w:vAlign w:val="bottom"/>
            <w:gridSpan w:val="2"/>
          </w:tcPr>
          <w:p>
            <w:pPr>
              <w:spacing w:after="0"/>
              <w:rPr>
                <w:sz w:val="13"/>
                <w:szCs w:val="13"/>
                <w:color w:val="auto"/>
              </w:rPr>
            </w:pPr>
          </w:p>
        </w:tc>
        <w:tc>
          <w:tcPr>
            <w:tcW w:w="620" w:type="dxa"/>
            <w:vAlign w:val="bottom"/>
            <w:gridSpan w:val="3"/>
          </w:tcPr>
          <w:p>
            <w:pPr>
              <w:jc w:val="right"/>
              <w:ind w:right="8"/>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580" w:type="dxa"/>
            <w:vAlign w:val="bottom"/>
          </w:tcPr>
          <w:p>
            <w:pPr>
              <w:jc w:val="right"/>
              <w:ind w:right="194"/>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16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United States</w:t>
            </w: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$ 18,021</w:t>
            </w: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9,147</w:t>
            </w:r>
          </w:p>
        </w:tc>
        <w:tc>
          <w:tcPr>
            <w:tcW w:w="720" w:type="dxa"/>
            <w:vAlign w:val="bottom"/>
            <w:tcBorders>
              <w:top w:val="single" w:sz="8" w:color="auto"/>
              <w:lef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$ 8,874</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Europe</w:t>
            </w:r>
          </w:p>
        </w:tc>
        <w:tc>
          <w:tcPr>
            <w:tcW w:w="122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4,448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3,889</w:t>
            </w: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559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196"/>
        </w:trPr>
        <w:tc>
          <w:tcPr>
            <w:tcW w:w="516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$ 22,469</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13,036</w:t>
            </w:r>
          </w:p>
        </w:tc>
        <w:tc>
          <w:tcPr>
            <w:tcW w:w="720" w:type="dxa"/>
            <w:vAlign w:val="bottom"/>
            <w:tcBorders>
              <w:top w:val="single" w:sz="8" w:color="auto"/>
              <w:left w:val="single" w:sz="8" w:color="CCEEFF"/>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$ 9,433</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Revenue was $22.5 million for the year ended December 31, 2022, an increase of $9.4 million, or 72%, over the year ended December 31, 2021.</w:t>
      </w:r>
    </w:p>
    <w:p>
      <w:pPr>
        <w:spacing w:after="0" w:line="197"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Revenue generated in the U.S. was $18.0 million for the year ended December 31, 2022, an increase of $8.9 million, or 97%, over the year ended December 31, 2021. HF revenue in the U.S. totaled $17.6 million and $8.4 million for the years ended December 31, 2022 and 2021, respectively. The increase was primarily driven by continued growth as a result of the expansion into new sales territories and new accounts, as well as increased physician and patient awareness of Barostim. Total HF revenue units in the U.S. totaled 587 and 290 for the years ended December 31, 2022 and 2021, respectively.</w:t>
      </w:r>
    </w:p>
    <w:p>
      <w:pPr>
        <w:spacing w:after="0" w:line="205"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As of December 31, 2022, the Company had a total of 106 active implanting centers, as compared to 46 as of December 31, 2021. Active implanting centers are customers that have completed at least one commercial HF implant in the last 12 months. The number of sales territories in the U.S. increased by 12 to a total of 26 during the year ended December 31, 2022. A sales territory is an established regional area held by an account manager, typically after six to nine months of employment.</w:t>
      </w:r>
    </w:p>
    <w:p>
      <w:pPr>
        <w:spacing w:after="0" w:line="202" w:lineRule="exact"/>
        <w:rPr>
          <w:sz w:val="20"/>
          <w:szCs w:val="20"/>
          <w:color w:val="auto"/>
        </w:rPr>
      </w:pPr>
    </w:p>
    <w:p>
      <w:pPr>
        <w:ind w:left="60" w:right="619"/>
        <w:spacing w:after="0" w:line="246" w:lineRule="auto"/>
        <w:rPr>
          <w:sz w:val="20"/>
          <w:szCs w:val="20"/>
          <w:color w:val="auto"/>
        </w:rPr>
      </w:pPr>
      <w:r>
        <w:rPr>
          <w:rFonts w:ascii="Arial" w:cs="Arial" w:eastAsia="Arial" w:hAnsi="Arial"/>
          <w:sz w:val="18"/>
          <w:szCs w:val="18"/>
          <w:color w:val="auto"/>
        </w:rPr>
        <w:t>Legacy hypertension revenue in the U.S. totaled $0.5 million and $0.7 million for each of the years ended December 31, 2022 and 2021, respectively.</w:t>
      </w:r>
    </w:p>
    <w:p>
      <w:pPr>
        <w:spacing w:after="0" w:line="197" w:lineRule="exact"/>
        <w:rPr>
          <w:sz w:val="20"/>
          <w:szCs w:val="20"/>
          <w:color w:val="auto"/>
        </w:rPr>
      </w:pPr>
    </w:p>
    <w:p>
      <w:pPr>
        <w:ind w:left="60" w:right="379"/>
        <w:spacing w:after="0" w:line="274" w:lineRule="auto"/>
        <w:rPr>
          <w:sz w:val="20"/>
          <w:szCs w:val="20"/>
          <w:color w:val="auto"/>
        </w:rPr>
      </w:pPr>
      <w:r>
        <w:rPr>
          <w:rFonts w:ascii="Arial" w:cs="Arial" w:eastAsia="Arial" w:hAnsi="Arial"/>
          <w:sz w:val="17"/>
          <w:szCs w:val="17"/>
          <w:color w:val="auto"/>
        </w:rPr>
        <w:t>Revenue generated in Europe was $ 4.4 million for the year ended December 31, 2022, an increase of $0.6 million, or 14%, over the year ended December 31, 2021. Total revenue units in Europe increased to 231 for</w:t>
      </w:r>
    </w:p>
    <w:p>
      <w:pPr>
        <w:sectPr>
          <w:pgSz w:w="11900" w:h="16838" w:orient="portrait"/>
          <w:cols w:equalWidth="0" w:num="1">
            <w:col w:w="9019"/>
          </w:cols>
          <w:pgMar w:left="1440" w:top="517" w:right="1440"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year ended December 31, 2022, from 176 for the prior year period. The revenue increase was primarily due to the lessening impact of the COVID-19 pandemic in Europe. The number of sales territories in Europe remained consistent at six during the year ended December 31,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30" w:lineRule="exact"/>
        <w:rPr>
          <w:sz w:val="20"/>
          <w:szCs w:val="20"/>
          <w:color w:val="auto"/>
        </w:rPr>
      </w:pPr>
    </w:p>
    <w:p>
      <w:pPr>
        <w:ind w:left="60" w:right="239"/>
        <w:spacing w:after="0" w:line="274" w:lineRule="auto"/>
        <w:rPr>
          <w:sz w:val="20"/>
          <w:szCs w:val="20"/>
          <w:color w:val="auto"/>
        </w:rPr>
      </w:pPr>
      <w:r>
        <w:rPr>
          <w:rFonts w:ascii="Arial" w:cs="Arial" w:eastAsia="Arial" w:hAnsi="Arial"/>
          <w:sz w:val="17"/>
          <w:szCs w:val="17"/>
          <w:color w:val="auto"/>
        </w:rPr>
        <w:t>Cost of goods sold increased $1.4 million, or 37%, to $ 5.0 million for the year ended December 31, 2022, compared to the year ended December 31, 2021. This increase was primarily due to higher sales of Barostim.</w:t>
      </w:r>
    </w:p>
    <w:p>
      <w:pPr>
        <w:spacing w:after="0" w:line="175"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auto"/>
        </w:rPr>
        <w:t>Gross profit was $17.5 million for the year ended December 31, 2022, an increase of $8.1 million, or 86%, over the year ended December 31, 2021. Gross margin increased to 78% for the year ended December 31, 2022, compared to 72% for the year ended December 31, 2021. Gross margin for the year ended December 31, 2022 was higher due to a decrease in the cost per unit and an increase in the average selling price. This was partially offset by a larger percentage of our revenue units coming from full systems versus battery replacements.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R&amp;D expenses increased $2.5 million, or 33%, to $10.0 million for the year ended December 31, 2022, compared to the year ended December 31, 2021. This change was primarily driven by a $1.8 million increase in compensation expenses, mainly as a result of increased headcount, a $0.4 million increase in consulting fees, a $0.2 million increase in clinical study expenses and a $0.1 million increase in non-cash stock-based compensation expense.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0"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SG&amp;A expenses increased $ 22.2 million, or 80%, to $50.0 million for the year ended December 31, 2022, compared to the year ended December 31, 2021. This change was driven by a $12.3 million increase in compensation expenses, mainly as a result of increased headcount, a $2.4 million increase in travel expenses, a $1.8 million increase in non-cash stock-based compensation expense, a $1.7 million increase in marketing and advertising expenses, primarily related to the commercialization of Barostim in the U.S., a $1.2 million increase related to D&amp;O insurance costs incurred as a result of becoming a public company, a $0.9 million increase in professional fees, and a $0.6 million increase in consulting expenses.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3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Interest expense decreased $2.1 million, or 93%, to $0.2 million for the year ended December 31, 2022, compared to the year ended December 31, 2021. This was driven primarily by the repayment of the outstanding debt in November 2021 under the Horizon loan agreement.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Other income, net was $1.4 million for the year ended December 31, 2022, compared to other expense, net of $14.8 million for the year ended December 31, 2021. Other income, net in 2022 was primarily driven by $1.5 million in interest income on our interest-bearing account. Other expense, net in 2021 was primarily driven by a $13.7 million increase in expense related to the increase in fair value of our convertible preferred stock warrants due to the change in the value of our common stock from December 31, 2021 to July 2, 2021, which is the date the warrants converted to common stock warrants. The expense in 2021 was also due to a $1.3 million loss on debt extinguishment in connection with the November 2021 repayment of the outstanding debt under the Horizon loan agreement.</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Provision for income taxes was nominal for the years ended December 31, 2022 and 2021.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Liquidity, capital resources and plan of operations</w:t>
      </w:r>
    </w:p>
    <w:p>
      <w:pPr>
        <w:spacing w:after="0" w:line="238"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have incurred significant operating losses and negative cash flows from operations since our inception, and we anticipate that we will incur significant losses for at least the next several years. As of December 31, 2022 and 2021, we had cash and cash equivalents of $106.2 million and $142.1 million, respectively. For the years ended December 31, 2022 and 2021, our net losses were $41.4 million and $ 43.1 million, respectively. Our net cash used in operating activities for the years ended December 31, 2022 and 2021, was $42.7 million and $27.7 million, respectively.</w:t>
      </w:r>
    </w:p>
    <w:p>
      <w:pPr>
        <w:spacing w:after="0" w:line="20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Prior to the IPO, our operations were financed primarily by aggregate net proceeds from the sale of our convertible preferred stock of $383.1 million, as well as debt financing. In September 2019, we entered into the Horizon loan agreement to borrow $20.0 million, which was fully repaid on November 3, 2021. In July 2020, we completed an equity financing pursuant to which we issued 62,500,000 shares of Series G convertible preferred stock at a price of $0.80 per share, for net proceeds of $49.8 million after deducting offering expenses. On July 2, 2021, we closed our IPO for net proceeds from the offering, after deducting the underwriting discount and other offering expenses payable by us, of $133.2 million. On October 31, 2022, we entered into the Loan Agreement under which we may borrow, subject to our achievement of certain milestones, up to a total of $50.0 million in a series of term loans described in Note 5 to our consolidated financial statements included elsewhere in this Annual Report on Form 10-K, and we borrowed $7.5 million of such total on that date to fund our commercial and investment efforts.</w:t>
      </w:r>
    </w:p>
    <w:p>
      <w:pPr>
        <w:spacing w:after="0" w:line="205"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On November 4, 2022, we entered into an Equity Distribution Agreement with Piper Sandler &amp; Co., as agent, under which we may offer and sell, from time to time at our sole discretion, shares of our common stock having an aggregate offering price of up to $ 50.0 million in an “at-the-market” or ATM offering, to or through the agent. As of December 31, 2022, no shares have been sold.</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liquidity and capital funding requirements will depend on numerous factors, including:</w:t>
      </w:r>
    </w:p>
    <w:p>
      <w:pPr>
        <w:spacing w:after="0" w:line="212" w:lineRule="exact"/>
        <w:rPr>
          <w:sz w:val="20"/>
          <w:szCs w:val="20"/>
          <w:color w:val="auto"/>
        </w:rPr>
      </w:pPr>
    </w:p>
    <w:p>
      <w:pPr>
        <w:ind w:left="380" w:hanging="330"/>
        <w:spacing w:after="0"/>
        <w:tabs>
          <w:tab w:leader="none" w:pos="38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our investment in our U.S. commercial infrastructure and sales forces;</w:t>
      </w:r>
    </w:p>
    <w:p>
      <w:pPr>
        <w:spacing w:after="0" w:line="225" w:lineRule="exact"/>
        <w:rPr>
          <w:rFonts w:ascii="Arial" w:cs="Arial" w:eastAsia="Arial" w:hAnsi="Arial"/>
          <w:sz w:val="18"/>
          <w:szCs w:val="18"/>
          <w:color w:val="231F20"/>
        </w:rPr>
      </w:pPr>
    </w:p>
    <w:p>
      <w:pPr>
        <w:ind w:left="380" w:right="999" w:hanging="330"/>
        <w:spacing w:after="0" w:line="246" w:lineRule="auto"/>
        <w:tabs>
          <w:tab w:leader="none" w:pos="38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the degree and rate of market acceptance of Barostim and the ability for our customers to obtain appropriate levels of reimbursement;</w:t>
      </w:r>
    </w:p>
    <w:p>
      <w:pPr>
        <w:spacing w:after="0" w:line="196" w:lineRule="exact"/>
        <w:rPr>
          <w:rFonts w:ascii="Arial" w:cs="Arial" w:eastAsia="Arial" w:hAnsi="Arial"/>
          <w:sz w:val="18"/>
          <w:szCs w:val="18"/>
          <w:color w:val="231F20"/>
        </w:rPr>
      </w:pPr>
    </w:p>
    <w:p>
      <w:pPr>
        <w:ind w:left="380" w:hanging="330"/>
        <w:spacing w:after="0"/>
        <w:tabs>
          <w:tab w:leader="none" w:pos="38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the costs of commercialization activities, including product sales, marketing, manufacturing and distribution;</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our R&amp;D activities for product enhancements and to expand our indications;</w:t>
      </w:r>
    </w:p>
    <w:p>
      <w:pPr>
        <w:spacing w:after="0" w:line="225" w:lineRule="exact"/>
        <w:rPr>
          <w:rFonts w:ascii="Arial" w:cs="Arial" w:eastAsia="Arial" w:hAnsi="Arial"/>
          <w:sz w:val="18"/>
          <w:szCs w:val="18"/>
          <w:color w:val="231F20"/>
        </w:rPr>
      </w:pPr>
    </w:p>
    <w:p>
      <w:pPr>
        <w:ind w:left="380" w:right="379" w:hanging="330"/>
        <w:spacing w:after="0" w:line="246" w:lineRule="auto"/>
        <w:tabs>
          <w:tab w:leader="none" w:pos="38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196" w:lineRule="exact"/>
        <w:rPr>
          <w:rFonts w:ascii="Arial" w:cs="Arial" w:eastAsia="Arial" w:hAnsi="Arial"/>
          <w:sz w:val="18"/>
          <w:szCs w:val="18"/>
          <w:color w:val="231F20"/>
        </w:rPr>
      </w:pPr>
    </w:p>
    <w:p>
      <w:pPr>
        <w:ind w:left="380" w:hanging="330"/>
        <w:spacing w:after="0"/>
        <w:tabs>
          <w:tab w:leader="none" w:pos="38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our need to implement additional infrastructure and internal systems;</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our ability to hire additional personnel to support our operations as a public company; and</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the emergence of competing technologies or other adverse market developments.</w:t>
      </w:r>
    </w:p>
    <w:p>
      <w:pPr>
        <w:spacing w:after="0" w:line="225"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We believe that our existing cash resources and term loan facility together with revenue will be sufficient to meet our forecasted requirements for operating liquidity, capital expenditures and debt services for at least the next three years. If these sources are insufficient to satisfy our liquidity requirements, however, we may seek to sell additional equity or enter into an additional loan agreement. If we raise additional funds by issuing equity securities, our stockholders would experience dilution. Additional debt financing, if available, may involve covenants further restricting our operations or our ability to incur additional debt. Any such debt financing or additional equity that we raise may contain terms that are not favorable to us or our stockholders.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Additional financing may not be available at all or may only be available in amounts or on terms that we do not deem to be favorable. If we are unable to obtain additional financing when needed to satisfy our liquidity requirements, we may be required to delay the commercialization and marketing of Barostim.</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5"/>
          </w:tcPr>
          <w:p>
            <w:pPr>
              <w:jc w:val="right"/>
              <w:ind w:right="51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67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980" w:type="dxa"/>
            <w:vAlign w:val="bottom"/>
            <w:tcBorders>
              <w:bottom w:val="single" w:sz="8" w:color="auto"/>
            </w:tcBorders>
            <w:gridSpan w:val="5"/>
          </w:tcPr>
          <w:p>
            <w:pPr>
              <w:jc w:val="right"/>
              <w:ind w:right="45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67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81"/>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(42,677)</w:t>
            </w:r>
          </w:p>
        </w:tc>
        <w:tc>
          <w:tcPr>
            <w:tcW w:w="18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(27,732)</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03"/>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7,493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111,883</w:t>
            </w:r>
          </w:p>
        </w:tc>
        <w:tc>
          <w:tcPr>
            <w:tcW w:w="0" w:type="dxa"/>
            <w:vAlign w:val="bottom"/>
          </w:tcPr>
          <w:p>
            <w:pPr>
              <w:spacing w:after="0"/>
              <w:rPr>
                <w:sz w:val="1"/>
                <w:szCs w:val="1"/>
                <w:color w:val="auto"/>
              </w:rPr>
            </w:pPr>
          </w:p>
        </w:tc>
      </w:tr>
      <w:tr>
        <w:trPr>
          <w:trHeight w:val="196"/>
        </w:trPr>
        <w:tc>
          <w:tcPr>
            <w:tcW w:w="676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6760" w:type="dxa"/>
            <w:vAlign w:val="bottom"/>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16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(35,878)</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82,960</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operating activities</w:t>
      </w:r>
    </w:p>
    <w:p>
      <w:pPr>
        <w:spacing w:after="0" w:line="230"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auto"/>
        </w:rPr>
        <w:t>Net cash used in operating activities for the year ended December 31, 2022 was $42.7 million and consisted primarily of a net loss of $41.4 million and a decrease in net operating assets of $5.6 million, partially offset by $3.9 million from non-cash stock-based compensation expense and $0.4 million from the depreciation of property and equipment. Net operating assets consisted primarily of inventory, accounts receivable, prepaid expenses and other current assets, accounts payable and accrued expenses to support the growth of our operations.</w:t>
      </w:r>
    </w:p>
    <w:p>
      <w:pPr>
        <w:spacing w:after="0" w:line="20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Net cash used in operating activities for the year ended December 31, 2021 was $27.7 million and consisted primarily of a net loss of $43.1 million and a decrease in net operating assets of $1.6 million, partially offset by non-cash charges of $13.3 million related to the fair value adjustment to our convertible preferred stock warrants, $1.9 million from non-cash stock-based compensation expense and $ 1.3 million from the loss on debt extinguishment. Net operating assets consisted primarily of inventory, accounts receivable and accrued expenses to support the growth of our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investing activities:</w:t>
      </w:r>
    </w:p>
    <w:p>
      <w:pPr>
        <w:spacing w:after="0" w:line="230"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color w:val="auto"/>
        </w:rPr>
        <w:t>Cash used in investing activities was $0.7 million and $1.2 million for the years ended December 31, 2022 and 2021, respectively, and consisted of purchases of property and equipment.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3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Net cash provided by financing activities for the year ended December 31, 2022 was $7.5 million and consisted of $7.5 million related to proceeds from debt financing, $0.6 million related to proceeds from the Employee Stock Purchase Plan and $0.2 million related to proceeds from the exercise of common stock options, partially offset by debt financing costs of $0.8 million.</w:t>
      </w:r>
    </w:p>
    <w:p>
      <w:pPr>
        <w:spacing w:after="0" w:line="205" w:lineRule="exact"/>
        <w:rPr>
          <w:sz w:val="20"/>
          <w:szCs w:val="20"/>
          <w:color w:val="auto"/>
        </w:rPr>
      </w:pPr>
    </w:p>
    <w:p>
      <w:pPr>
        <w:ind w:left="60" w:right="499"/>
        <w:spacing w:after="0"/>
        <w:rPr>
          <w:sz w:val="20"/>
          <w:szCs w:val="20"/>
          <w:color w:val="auto"/>
        </w:rPr>
      </w:pPr>
      <w:r>
        <w:rPr>
          <w:rFonts w:ascii="Arial" w:cs="Arial" w:eastAsia="Arial" w:hAnsi="Arial"/>
          <w:sz w:val="18"/>
          <w:szCs w:val="18"/>
          <w:color w:val="auto"/>
        </w:rPr>
        <w:t>Net cash provided by financing activities for the year ended December 31, 2021 was $111.9 million and consisted primarily of proceeds from the issuance of common stock of $133.2 million, partially offset by the repayment of the outstanding debt balance and related fees of $21.3 million.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Indebtedness</w:t>
      </w:r>
    </w:p>
    <w:p>
      <w:pPr>
        <w:spacing w:after="0" w:line="234" w:lineRule="exact"/>
        <w:rPr>
          <w:sz w:val="20"/>
          <w:szCs w:val="20"/>
          <w:color w:val="auto"/>
        </w:rPr>
      </w:pPr>
    </w:p>
    <w:p>
      <w:pPr>
        <w:jc w:val="both"/>
        <w:ind w:left="60" w:right="119"/>
        <w:spacing w:after="0"/>
        <w:rPr>
          <w:sz w:val="20"/>
          <w:szCs w:val="20"/>
          <w:color w:val="auto"/>
        </w:rPr>
      </w:pPr>
      <w:r>
        <w:rPr>
          <w:rFonts w:ascii="Arial" w:cs="Arial" w:eastAsia="Arial" w:hAnsi="Arial"/>
          <w:sz w:val="18"/>
          <w:szCs w:val="18"/>
          <w:color w:val="auto"/>
        </w:rPr>
        <w:t>On October 31, 2022, we entered into the Loan Agreement with Innovatus, as the collateral agent and a lender, under which we may borrow, subject to our achievement of certain milestones, up to a total of $50.0 million in a series of term loans. On the closing date, we borrowed the minimum amount of $7.5 million</w:t>
      </w:r>
    </w:p>
    <w:p>
      <w:pPr>
        <w:sectPr>
          <w:pgSz w:w="11900" w:h="16838" w:orient="portrait"/>
          <w:cols w:equalWidth="0" w:num="1">
            <w:col w:w="9019"/>
          </w:cols>
          <w:pgMar w:left="1440" w:top="517" w:right="1440"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39"/>
        <w:spacing w:after="0" w:line="248" w:lineRule="auto"/>
        <w:rPr>
          <w:sz w:val="20"/>
          <w:szCs w:val="20"/>
          <w:color w:val="auto"/>
        </w:rPr>
      </w:pPr>
      <w:r>
        <w:rPr>
          <w:rFonts w:ascii="Arial" w:cs="Arial" w:eastAsia="Arial" w:hAnsi="Arial"/>
          <w:sz w:val="17"/>
          <w:szCs w:val="17"/>
          <w:color w:val="auto"/>
        </w:rPr>
        <w:t>under the Loan Agreement. The term loans advanced pursuant to the Loan Agreement (collectively, the “Term Loans”) bear interest at a floating rate per annum equal to the sum of (a) the greater of (i) the prime rate and</w:t>
      </w:r>
    </w:p>
    <w:p>
      <w:pPr>
        <w:spacing w:after="0" w:line="1" w:lineRule="exact"/>
        <w:rPr>
          <w:sz w:val="20"/>
          <w:szCs w:val="20"/>
          <w:color w:val="auto"/>
        </w:rPr>
      </w:pPr>
    </w:p>
    <w:p>
      <w:pPr>
        <w:ind w:left="60" w:right="59" w:hanging="10"/>
        <w:spacing w:after="0" w:line="236" w:lineRule="auto"/>
        <w:tabs>
          <w:tab w:leader="none" w:pos="3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5.50% plus (b) 2.65%. The Term Loans mature on January 31, 2028 and require interest-only payments until November 1, 2027. The Term Loans are secured by substantially all of our personal property. We have the option to draw down (i) the remaining $7.5 million of the first tranche from the filing date of our Annual Report on Form 10-K for the year ended December 31, 2022 until September 30, 2023, (ii) up to $30.0 million less the amount funded from the first tranche between September 1, 2023 and December 15, 2023 if we achieve trailing three months revenue of $5.75 million prior to June 30, 2023, and (iii) up to $20.0 million between September 1, 2024 and December 15, 2024 if we achieve trailing three months revenue of $9.0 million prior to June 30, 2024. A performance covenant takes effect at the earlier of September 30, 2025 or the third tranche funding requiring that we achieve 50% of the trailing twelve months revenue target set in the Board-approved revenue plan in effect for such period.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8"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our management to make estimates and judgments that affect the amounts reported in our consolidated financial statements and accompanying notes included elsewhere in this Annual Report on Form 10-K. We base our estimates on historical experience and on various other assumptions that we believe to be reasonable and supportable under the circumstances. The results of this evaluation then form the basis for making judgments about the carrying values of assets and liabilities that are not readily apparent from other sources. Actual results may differ from these estimates under different assumptions or conditions, and such differences may be material to our consolidated financial statements.</w:t>
      </w:r>
    </w:p>
    <w:p>
      <w:pPr>
        <w:spacing w:after="0" w:line="208" w:lineRule="exact"/>
        <w:rPr>
          <w:sz w:val="20"/>
          <w:szCs w:val="20"/>
          <w:color w:val="auto"/>
        </w:rPr>
      </w:pPr>
    </w:p>
    <w:p>
      <w:pPr>
        <w:ind w:left="60" w:right="239"/>
        <w:spacing w:after="0" w:line="257" w:lineRule="auto"/>
        <w:rPr>
          <w:sz w:val="20"/>
          <w:szCs w:val="20"/>
          <w:color w:val="auto"/>
        </w:rPr>
      </w:pPr>
      <w:r>
        <w:rPr>
          <w:rFonts w:ascii="Arial" w:cs="Arial" w:eastAsia="Arial" w:hAnsi="Arial"/>
          <w:sz w:val="17"/>
          <w:szCs w:val="17"/>
          <w:color w:val="auto"/>
        </w:rPr>
        <w:t>While our significant accounting policies are more fully described in Note 2 to our consolidated financial statements included elsewhere in this Annual Report on Form 10-K, we believe the following discussion addresses our most critical accounting policies, which are those that are most important to the portrayal of our financial condition and results of operations and require our most difficult, subjective and complex judgments.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4"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We maintain an equity incentive plan that was adopted in 2001 to provide long-term incentives for employees, consultants and members of the Board of Directors. The plan allows for the issuance of non-statutory and incentive stock options to employees and non-statutory stock options to consultants and non-employee directors. In connection with the IPO, we adopted the 2021 Equity Incentive Plan under which we may grant equity incentive awards to eligible employees (including our named executive officers), non-employee directors and consultants in order to enable us to obtain and retain services of these individuals, which we deem as essential to our long-term success.</w:t>
      </w:r>
    </w:p>
    <w:p>
      <w:pPr>
        <w:spacing w:after="0" w:line="203"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 xml:space="preserve">We recognize equity-based compensation expense for awards of equity instruments to employees and non-employees based on the grant date fair value of those awards in accordance with Financial Accounting Standards Board Accounting Standards Codification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We use an estimate of the value of our common stock, with the assistance of an independent appraiser, to determine the fair value of options.</w:t>
      </w:r>
    </w:p>
    <w:p>
      <w:pPr>
        <w:spacing w:after="0" w:line="208" w:lineRule="exact"/>
        <w:rPr>
          <w:sz w:val="20"/>
          <w:szCs w:val="20"/>
          <w:color w:val="auto"/>
        </w:rPr>
      </w:pPr>
    </w:p>
    <w:p>
      <w:pPr>
        <w:jc w:val="both"/>
        <w:ind w:left="60" w:right="319"/>
        <w:spacing w:after="0"/>
        <w:rPr>
          <w:sz w:val="20"/>
          <w:szCs w:val="20"/>
          <w:color w:val="auto"/>
        </w:rPr>
      </w:pPr>
      <w:r>
        <w:rPr>
          <w:rFonts w:ascii="Arial" w:cs="Arial" w:eastAsia="Arial" w:hAnsi="Arial"/>
          <w:sz w:val="18"/>
          <w:szCs w:val="18"/>
          <w:color w:val="auto"/>
        </w:rPr>
        <w:t>The Black-Scholes option pricing model requires the input of certain subjective assumptions, including (i) the fair value of common stock, (ii) the expected share price volatility, (iii) the expected term of the award, (iv) the risk-free interest rate and (v) the expected dividend yield.</w:t>
      </w:r>
    </w:p>
    <w:p>
      <w:pPr>
        <w:spacing w:after="0" w:line="189" w:lineRule="exact"/>
        <w:rPr>
          <w:sz w:val="20"/>
          <w:szCs w:val="20"/>
          <w:color w:val="auto"/>
        </w:rPr>
      </w:pPr>
    </w:p>
    <w:p>
      <w:pPr>
        <w:ind w:left="380" w:right="219" w:hanging="330"/>
        <w:spacing w:after="0" w:line="232" w:lineRule="auto"/>
        <w:tabs>
          <w:tab w:leader="none" w:pos="380" w:val="left"/>
        </w:tabs>
        <w:numPr>
          <w:ilvl w:val="0"/>
          <w:numId w:val="52"/>
        </w:numPr>
        <w:rPr>
          <w:rFonts w:ascii="Arial" w:cs="Arial" w:eastAsia="Arial" w:hAnsi="Arial"/>
          <w:sz w:val="22"/>
          <w:szCs w:val="22"/>
          <w:color w:val="auto"/>
        </w:rPr>
      </w:pPr>
      <w:r>
        <w:rPr>
          <w:rFonts w:ascii="Arial" w:cs="Arial" w:eastAsia="Arial" w:hAnsi="Arial"/>
          <w:sz w:val="18"/>
          <w:szCs w:val="18"/>
          <w:color w:val="231F20"/>
        </w:rPr>
        <w:t>Fair value of common stock — Given the absence of a public trading market for our common stock prior to the IPO, the fair value of our common stock was determined by our Board of Directors with the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0" w:right="99"/>
        <w:spacing w:after="0" w:line="236" w:lineRule="auto"/>
        <w:rPr>
          <w:sz w:val="20"/>
          <w:szCs w:val="20"/>
          <w:color w:val="auto"/>
        </w:rPr>
      </w:pPr>
      <w:r>
        <w:rPr>
          <w:rFonts w:ascii="Arial" w:cs="Arial" w:eastAsia="Arial" w:hAnsi="Arial"/>
          <w:sz w:val="18"/>
          <w:szCs w:val="18"/>
          <w:color w:val="231F20"/>
        </w:rPr>
        <w:t>assistance of an unrelated third-party valuation firm. The valuation was determined in accordance with the guidance provided by the American Institute of Certified Public Accountants Practice Guide, Valuation of Privately-Held Company Equity Securities Issued as Compensation. For the valuation as of the date of pricing of the IPO, the fair value of our common stock was determined by our Board of Directors to be the public offering price of the shares of common stock issued in the IPO. For valuations after the completion of the IPO, our Board of Directors determines the fair value of each share of common stock based on the closing price of our common stock as reported on the date of grant. Future expense amounts for any particular period could be affected by changes in our assumptions or market conditions.</w:t>
      </w:r>
    </w:p>
    <w:p>
      <w:pPr>
        <w:spacing w:after="0" w:line="194" w:lineRule="exact"/>
        <w:rPr>
          <w:sz w:val="20"/>
          <w:szCs w:val="20"/>
          <w:color w:val="auto"/>
        </w:rPr>
      </w:pPr>
    </w:p>
    <w:p>
      <w:pPr>
        <w:ind w:left="380" w:right="79" w:hanging="330"/>
        <w:spacing w:after="0" w:line="243"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 xml:space="preserve">Expected share price volatility — Due to the lack of a public market for the trading of our common stock and a lack of company-specific historical and implied volatility data, we have based our estimate of expected volatility on the historical volatility of a group of similar (guideline) companies that are publicly traded. The historical volatility is calculated based on a period of time commensurate with the expected term assumption. The group of guideline companies have characteristics similar to us, including stage of product development and focus </w:t>
      </w:r>
      <w:r>
        <w:rPr>
          <w:rFonts w:ascii="Arial" w:cs="Arial" w:eastAsia="Arial" w:hAnsi="Arial"/>
          <w:sz w:val="18"/>
          <w:szCs w:val="18"/>
          <w:color w:val="000000"/>
        </w:rPr>
        <w:t>on the life science industry.</w:t>
      </w:r>
    </w:p>
    <w:p>
      <w:pPr>
        <w:spacing w:after="0" w:line="187" w:lineRule="exact"/>
        <w:rPr>
          <w:rFonts w:ascii="Arial" w:cs="Arial" w:eastAsia="Arial" w:hAnsi="Arial"/>
          <w:sz w:val="18"/>
          <w:szCs w:val="18"/>
          <w:color w:val="auto"/>
        </w:rPr>
      </w:pPr>
    </w:p>
    <w:p>
      <w:pPr>
        <w:ind w:left="380" w:right="79" w:hanging="330"/>
        <w:spacing w:after="0" w:line="256" w:lineRule="auto"/>
        <w:tabs>
          <w:tab w:leader="none" w:pos="380" w:val="left"/>
        </w:tabs>
        <w:numPr>
          <w:ilvl w:val="0"/>
          <w:numId w:val="53"/>
        </w:numPr>
        <w:rPr>
          <w:rFonts w:ascii="Arial" w:cs="Arial" w:eastAsia="Arial" w:hAnsi="Arial"/>
          <w:sz w:val="18"/>
          <w:szCs w:val="18"/>
          <w:color w:val="231F20"/>
        </w:rPr>
      </w:pPr>
      <w:r>
        <w:rPr>
          <w:rFonts w:ascii="Arial" w:cs="Arial" w:eastAsia="Arial" w:hAnsi="Arial"/>
          <w:sz w:val="18"/>
          <w:szCs w:val="18"/>
          <w:color w:val="231F20"/>
        </w:rPr>
        <w:t>Expected term of an award — Determined based on our analysis of historical exercise behavior while taking into consideration various participant demographics and option characteristics. We utilize the simplified method to develop the estimate of the expected term.</w:t>
      </w:r>
    </w:p>
    <w:p>
      <w:pPr>
        <w:spacing w:after="0" w:line="174" w:lineRule="exact"/>
        <w:rPr>
          <w:rFonts w:ascii="Arial" w:cs="Arial" w:eastAsia="Arial" w:hAnsi="Arial"/>
          <w:sz w:val="18"/>
          <w:szCs w:val="18"/>
          <w:color w:val="231F20"/>
        </w:rPr>
      </w:pPr>
    </w:p>
    <w:p>
      <w:pPr>
        <w:ind w:left="380" w:right="279" w:hanging="330"/>
        <w:spacing w:after="0" w:line="277" w:lineRule="auto"/>
        <w:tabs>
          <w:tab w:leader="none" w:pos="380" w:val="left"/>
        </w:tabs>
        <w:numPr>
          <w:ilvl w:val="0"/>
          <w:numId w:val="53"/>
        </w:numPr>
        <w:rPr>
          <w:rFonts w:ascii="Arial" w:cs="Arial" w:eastAsia="Arial" w:hAnsi="Arial"/>
          <w:sz w:val="18"/>
          <w:szCs w:val="18"/>
          <w:color w:val="231F20"/>
        </w:rPr>
      </w:pPr>
      <w:r>
        <w:rPr>
          <w:rFonts w:ascii="Arial" w:cs="Arial" w:eastAsia="Arial" w:hAnsi="Arial"/>
          <w:sz w:val="18"/>
          <w:szCs w:val="18"/>
          <w:color w:val="231F20"/>
        </w:rPr>
        <w:t>Risk-free interest rate — Based on a treasury instrument whose term is consistent with the expected term of the stock options.</w:t>
      </w:r>
    </w:p>
    <w:p>
      <w:pPr>
        <w:spacing w:after="0" w:line="156" w:lineRule="exact"/>
        <w:rPr>
          <w:rFonts w:ascii="Arial" w:cs="Arial" w:eastAsia="Arial" w:hAnsi="Arial"/>
          <w:sz w:val="18"/>
          <w:szCs w:val="18"/>
          <w:color w:val="231F20"/>
        </w:rPr>
      </w:pPr>
    </w:p>
    <w:p>
      <w:pPr>
        <w:ind w:left="380" w:right="859" w:hanging="330"/>
        <w:spacing w:after="0" w:line="277" w:lineRule="auto"/>
        <w:tabs>
          <w:tab w:leader="none" w:pos="380" w:val="left"/>
        </w:tabs>
        <w:numPr>
          <w:ilvl w:val="0"/>
          <w:numId w:val="53"/>
        </w:numPr>
        <w:rPr>
          <w:rFonts w:ascii="Arial" w:cs="Arial" w:eastAsia="Arial" w:hAnsi="Arial"/>
          <w:sz w:val="18"/>
          <w:szCs w:val="18"/>
          <w:color w:val="231F20"/>
        </w:rPr>
      </w:pPr>
      <w:r>
        <w:rPr>
          <w:rFonts w:ascii="Arial" w:cs="Arial" w:eastAsia="Arial" w:hAnsi="Arial"/>
          <w:sz w:val="18"/>
          <w:szCs w:val="18"/>
          <w:color w:val="231F20"/>
        </w:rPr>
        <w:t>Expected dividend yield — We assume an expected dividend yield of zero, as we have never paid dividends and have no current plans to pay any dividends on our common stock.</w:t>
      </w:r>
    </w:p>
    <w:p>
      <w:pPr>
        <w:spacing w:after="0" w:line="170" w:lineRule="exact"/>
        <w:rPr>
          <w:sz w:val="20"/>
          <w:szCs w:val="20"/>
          <w:color w:val="auto"/>
        </w:rPr>
      </w:pPr>
    </w:p>
    <w:p>
      <w:pPr>
        <w:jc w:val="both"/>
        <w:ind w:left="60" w:right="239"/>
        <w:spacing w:after="0"/>
        <w:rPr>
          <w:sz w:val="20"/>
          <w:szCs w:val="20"/>
          <w:color w:val="auto"/>
        </w:rPr>
      </w:pPr>
      <w:r>
        <w:rPr>
          <w:rFonts w:ascii="Arial" w:cs="Arial" w:eastAsia="Arial" w:hAnsi="Arial"/>
          <w:sz w:val="18"/>
          <w:szCs w:val="18"/>
          <w:color w:val="auto"/>
        </w:rPr>
        <w:t>We account for forfeitures as they occur. We expense the fair value of our equity-based compensation awards granted to employees on a straight-line basis over the associated service period, which is generally the period in which the related services are received.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JOBS Act accounting election</w:t>
      </w:r>
    </w:p>
    <w:p>
      <w:pPr>
        <w:spacing w:after="0" w:line="23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Jumpstart Our Business Startups Act of 2012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accounting pronouncements</w:t>
      </w:r>
    </w:p>
    <w:p>
      <w:pPr>
        <w:spacing w:after="0" w:line="238" w:lineRule="exact"/>
        <w:rPr>
          <w:sz w:val="20"/>
          <w:szCs w:val="20"/>
          <w:color w:val="auto"/>
        </w:rPr>
      </w:pPr>
    </w:p>
    <w:p>
      <w:pPr>
        <w:ind w:left="60" w:right="939"/>
        <w:spacing w:after="0" w:line="246" w:lineRule="auto"/>
        <w:rPr>
          <w:sz w:val="20"/>
          <w:szCs w:val="20"/>
          <w:color w:val="auto"/>
        </w:rPr>
      </w:pPr>
      <w:r>
        <w:rPr>
          <w:rFonts w:ascii="Arial" w:cs="Arial" w:eastAsia="Arial" w:hAnsi="Arial"/>
          <w:sz w:val="18"/>
          <w:szCs w:val="18"/>
          <w:color w:val="auto"/>
        </w:rPr>
        <w:t>A discussion of recent accounting pronouncements is included in Note 2 to our consolidated financial statements included elsewhere in this Annual Report on Form 10-K.</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4"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The risk associated with fluctuating interest rates is primarily limited to our cash equivalents and debt entered into under the Loan Agreement, which are carried at quoted market prices and the prime rate, respectively. We do not currently use or plan to use financial derivatives in our investment portfolio.</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3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Portions of our revenue and operating expenses that are incurred outside the U.S. are denominated in foreign currencies and are subject to fluctuations due to changes in foreign currency exchange rates, particularly changes in the Euro. Additionally, fluctuations in foreign currency exchange rates may cause us to recognize transaction gains and losses in our statements of operations and comprehensive loss. To date, foreign currency transaction realized gains and losses have not been material to our consolidated financial statements, and we have not engaged in any foreign currency hedging transactions. As our international operations grow, we will continue to reassess our approach to managing the risks relating to fluctuations in currency rates.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 risk</w:t>
      </w:r>
    </w:p>
    <w:p>
      <w:pPr>
        <w:spacing w:after="0" w:line="234" w:lineRule="exact"/>
        <w:rPr>
          <w:sz w:val="20"/>
          <w:szCs w:val="20"/>
          <w:color w:val="auto"/>
        </w:rPr>
      </w:pPr>
    </w:p>
    <w:p>
      <w:pPr>
        <w:ind w:left="60" w:right="239"/>
        <w:spacing w:after="0" w:line="248" w:lineRule="auto"/>
        <w:rPr>
          <w:sz w:val="20"/>
          <w:szCs w:val="20"/>
          <w:color w:val="auto"/>
        </w:rPr>
      </w:pPr>
      <w:r>
        <w:rPr>
          <w:rFonts w:ascii="Arial" w:cs="Arial" w:eastAsia="Arial" w:hAnsi="Arial"/>
          <w:sz w:val="17"/>
          <w:szCs w:val="17"/>
          <w:color w:val="auto"/>
        </w:rPr>
        <w:t>Inflationary factors, such as increases in our cost of goods sold and operating expenses, may adversely affect our operating results. Although we do not believe that inflation has had a material impact on our financial position or results of operations to date, a high rate of inflation in the future may have an adverse effect on our ability to maintain and increase our gross margin and selling and marketing and operating expenses as</w:t>
      </w:r>
    </w:p>
    <w:p>
      <w:pPr>
        <w:spacing w:after="0" w:line="2"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a percentage of our revenue if the selling prices of our products do not increase as much as or more than these increased costs.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34"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As of December 31, 2022 and 2021, our cash and cash equivalents were maintained with one financial institution in the U.S., and our current deposits are likely in excess of insured limits. We believe this institution has sufficient assets and liquidity to conduct its operations in the ordinary course of business with little or no credit risk to us.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Board of Directors and Stockholders</w:t>
      </w:r>
    </w:p>
    <w:p>
      <w:pPr>
        <w:ind w:left="60"/>
        <w:spacing w:after="0"/>
        <w:rPr>
          <w:sz w:val="20"/>
          <w:szCs w:val="20"/>
          <w:color w:val="auto"/>
        </w:rPr>
      </w:pPr>
      <w:r>
        <w:rPr>
          <w:rFonts w:ascii="Arial" w:cs="Arial" w:eastAsia="Arial" w:hAnsi="Arial"/>
          <w:sz w:val="18"/>
          <w:szCs w:val="18"/>
          <w:color w:val="auto"/>
        </w:rPr>
        <w:t>CVRx, Inc.</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4"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have audited the accompanying consolidated balance sheets of CVRx, Inc. (a Delaware corporation) and subsidiary (the “Company”) as of December 31, 2022 and 2021, the related consolidated statements of operations and comprehensive loss, convertible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5"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2"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GRANT THORNTON LLP</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2016.</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Minneapolis, Minnesota</w:t>
      </w:r>
    </w:p>
    <w:p>
      <w:pPr>
        <w:ind w:left="60"/>
        <w:spacing w:after="0"/>
        <w:rPr>
          <w:sz w:val="20"/>
          <w:szCs w:val="20"/>
          <w:color w:val="auto"/>
        </w:rPr>
      </w:pPr>
      <w:r>
        <w:rPr>
          <w:rFonts w:ascii="Arial" w:cs="Arial" w:eastAsia="Arial" w:hAnsi="Arial"/>
          <w:sz w:val="18"/>
          <w:szCs w:val="18"/>
          <w:color w:val="auto"/>
        </w:rPr>
        <w:t>February 10, 2023</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tbl>
      <w:tblPr>
        <w:tblLayout w:type="fixed"/>
        <w:tblInd w:w="6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1220" w:type="dxa"/>
            <w:vAlign w:val="bottom"/>
            <w:gridSpan w:val="4"/>
          </w:tcPr>
          <w:p>
            <w:pPr>
              <w:ind w:left="100"/>
              <w:spacing w:after="0" w:line="15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right"/>
              <w:spacing w:after="0" w:line="15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6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106,194</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142,072</w:t>
            </w:r>
          </w:p>
        </w:tc>
        <w:tc>
          <w:tcPr>
            <w:tcW w:w="0" w:type="dxa"/>
            <w:vAlign w:val="bottom"/>
          </w:tcPr>
          <w:p>
            <w:pPr>
              <w:spacing w:after="0"/>
              <w:rPr>
                <w:sz w:val="1"/>
                <w:szCs w:val="1"/>
                <w:color w:val="auto"/>
              </w:rPr>
            </w:pPr>
          </w:p>
        </w:tc>
      </w:tr>
      <w:tr>
        <w:trPr>
          <w:trHeight w:val="203"/>
        </w:trPr>
        <w:tc>
          <w:tcPr>
            <w:tcW w:w="668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 of allowances of $679 and $0, respectively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5,504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03"/>
        </w:trPr>
        <w:tc>
          <w:tcPr>
            <w:tcW w:w="66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4,223</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122,878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151,097</w:t>
            </w: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1,698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124,937</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152,548</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1,719</w:t>
            </w:r>
          </w:p>
        </w:tc>
        <w:tc>
          <w:tcPr>
            <w:tcW w:w="14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6,369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196"/>
        </w:trPr>
        <w:tc>
          <w:tcPr>
            <w:tcW w:w="6680" w:type="dxa"/>
            <w:vAlign w:val="bottom"/>
          </w:tcPr>
          <w:p>
            <w:pPr>
              <w:ind w:left="320"/>
              <w:spacing w:after="0" w:line="196" w:lineRule="exact"/>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8,088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6,747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Operating lease liability, non-current portion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6"/>
        </w:trPr>
        <w:tc>
          <w:tcPr>
            <w:tcW w:w="668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15,757</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6,589</w:t>
            </w: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spacing w:after="0" w:line="177" w:lineRule="exact"/>
              <w:rPr>
                <w:sz w:val="20"/>
                <w:szCs w:val="20"/>
                <w:color w:val="auto"/>
              </w:rPr>
            </w:pPr>
            <w:r>
              <w:rPr>
                <w:rFonts w:ascii="Arial" w:cs="Arial" w:eastAsia="Arial" w:hAnsi="Arial"/>
                <w:sz w:val="18"/>
                <w:szCs w:val="18"/>
                <w:color w:val="auto"/>
              </w:rPr>
              <w:t>Commitments and contingencies (Note 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200,000,000 authorized as of December 31, 2022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 December 31, 2021; 20,633,736 and 20,399,337 shares issued and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outstanding as of December 31, 2022 and December 31, 2021, respectively</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545,362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540,707</w:t>
            </w:r>
          </w:p>
        </w:tc>
        <w:tc>
          <w:tcPr>
            <w:tcW w:w="0" w:type="dxa"/>
            <w:vAlign w:val="bottom"/>
          </w:tcPr>
          <w:p>
            <w:pPr>
              <w:spacing w:after="0"/>
              <w:rPr>
                <w:sz w:val="1"/>
                <w:szCs w:val="1"/>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(436,182)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(394,754)</w:t>
            </w:r>
          </w:p>
        </w:tc>
        <w:tc>
          <w:tcPr>
            <w:tcW w:w="0" w:type="dxa"/>
            <w:vAlign w:val="bottom"/>
          </w:tcPr>
          <w:p>
            <w:pPr>
              <w:spacing w:after="0"/>
              <w:rPr>
                <w:sz w:val="1"/>
                <w:szCs w:val="1"/>
                <w:color w:val="auto"/>
              </w:rPr>
            </w:pPr>
          </w:p>
        </w:tc>
      </w:tr>
      <w:tr>
        <w:trPr>
          <w:trHeight w:val="203"/>
        </w:trPr>
        <w:tc>
          <w:tcPr>
            <w:tcW w:w="6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109,180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145,959</w:t>
            </w:r>
          </w:p>
        </w:tc>
        <w:tc>
          <w:tcPr>
            <w:tcW w:w="0" w:type="dxa"/>
            <w:vAlign w:val="bottom"/>
          </w:tcPr>
          <w:p>
            <w:pPr>
              <w:spacing w:after="0"/>
              <w:rPr>
                <w:sz w:val="1"/>
                <w:szCs w:val="1"/>
                <w:color w:val="auto"/>
              </w:rPr>
            </w:pPr>
          </w:p>
        </w:tc>
      </w:tr>
      <w:tr>
        <w:trPr>
          <w:trHeight w:val="196"/>
        </w:trPr>
        <w:tc>
          <w:tcPr>
            <w:tcW w:w="6680" w:type="dxa"/>
            <w:vAlign w:val="bottom"/>
          </w:tcPr>
          <w:p>
            <w:pPr>
              <w:ind w:left="3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124,937</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152,548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tbl>
      <w:tblPr>
        <w:tblLayout w:type="fixed"/>
        <w:tblInd w:w="40" w:type="dxa"/>
        <w:tblCellMar>
          <w:top w:w="0" w:type="dxa"/>
          <w:left w:w="0" w:type="dxa"/>
          <w:bottom w:w="0" w:type="dxa"/>
          <w:right w:w="0" w:type="dxa"/>
        </w:tblCellMar>
      </w:tblPr>
      <w:tr>
        <w:trPr>
          <w:trHeight w:val="159"/>
        </w:trPr>
        <w:tc>
          <w:tcPr>
            <w:tcW w:w="5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3"/>
          </w:tcPr>
          <w:p>
            <w:pPr>
              <w:jc w:val="right"/>
              <w:ind w:right="150"/>
              <w:spacing w:after="0" w:line="159" w:lineRule="exact"/>
              <w:rPr>
                <w:sz w:val="20"/>
                <w:szCs w:val="20"/>
                <w:color w:val="auto"/>
              </w:rPr>
            </w:pPr>
            <w:r>
              <w:rPr>
                <w:rFonts w:ascii="Arial" w:cs="Arial" w:eastAsia="Arial" w:hAnsi="Arial"/>
                <w:sz w:val="14"/>
                <w:szCs w:val="14"/>
                <w:b w:val="1"/>
                <w:bCs w:val="1"/>
                <w:color w:val="auto"/>
              </w:rPr>
              <w:t>Year ended</w:t>
            </w:r>
          </w:p>
        </w:tc>
        <w:tc>
          <w:tcPr>
            <w:tcW w:w="1160" w:type="dxa"/>
            <w:vAlign w:val="bottom"/>
          </w:tcPr>
          <w:p>
            <w:pPr>
              <w:spacing w:after="0"/>
              <w:rPr>
                <w:sz w:val="13"/>
                <w:szCs w:val="13"/>
                <w:color w:val="auto"/>
              </w:rPr>
            </w:pPr>
          </w:p>
        </w:tc>
      </w:tr>
      <w:tr>
        <w:trPr>
          <w:trHeight w:val="175"/>
        </w:trPr>
        <w:tc>
          <w:tcPr>
            <w:tcW w:w="5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5"/>
                <w:szCs w:val="15"/>
                <w:color w:val="auto"/>
              </w:rPr>
            </w:pPr>
          </w:p>
        </w:tc>
      </w:tr>
      <w:tr>
        <w:trPr>
          <w:trHeight w:val="156"/>
        </w:trPr>
        <w:tc>
          <w:tcPr>
            <w:tcW w:w="50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22,469</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13,036</w:t>
            </w:r>
          </w:p>
        </w:tc>
      </w:tr>
      <w:tr>
        <w:trPr>
          <w:trHeight w:val="203"/>
        </w:trPr>
        <w:tc>
          <w:tcPr>
            <w:tcW w:w="50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4,999</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3,640</w:t>
            </w:r>
          </w:p>
        </w:tc>
      </w:tr>
      <w:tr>
        <w:trPr>
          <w:trHeight w:val="196"/>
        </w:trPr>
        <w:tc>
          <w:tcPr>
            <w:tcW w:w="50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17,470</w:t>
            </w:r>
          </w:p>
        </w:tc>
        <w:tc>
          <w:tcPr>
            <w:tcW w:w="3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9,396</w:t>
            </w:r>
          </w:p>
        </w:tc>
      </w:tr>
      <w:tr>
        <w:trPr>
          <w:trHeight w:val="196"/>
        </w:trPr>
        <w:tc>
          <w:tcPr>
            <w:tcW w:w="508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0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9,952</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7,501</w:t>
            </w:r>
          </w:p>
        </w:tc>
      </w:tr>
      <w:tr>
        <w:trPr>
          <w:trHeight w:val="203"/>
        </w:trPr>
        <w:tc>
          <w:tcPr>
            <w:tcW w:w="50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50,045</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27,863</w:t>
            </w:r>
          </w:p>
        </w:tc>
      </w:tr>
      <w:tr>
        <w:trPr>
          <w:trHeight w:val="196"/>
        </w:trPr>
        <w:tc>
          <w:tcPr>
            <w:tcW w:w="50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59,997</w:t>
            </w:r>
          </w:p>
        </w:tc>
        <w:tc>
          <w:tcPr>
            <w:tcW w:w="3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35,364</w:t>
            </w:r>
          </w:p>
        </w:tc>
      </w:tr>
      <w:tr>
        <w:trPr>
          <w:trHeight w:val="196"/>
        </w:trPr>
        <w:tc>
          <w:tcPr>
            <w:tcW w:w="5080" w:type="dxa"/>
            <w:vAlign w:val="bottom"/>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(42,527)</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(25,968)</w:t>
            </w: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(2,219)</w:t>
            </w:r>
          </w:p>
        </w:tc>
      </w:tr>
      <w:tr>
        <w:trPr>
          <w:trHeight w:val="203"/>
        </w:trPr>
        <w:tc>
          <w:tcPr>
            <w:tcW w:w="50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1,373</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(14,800)</w:t>
            </w:r>
          </w:p>
        </w:tc>
      </w:tr>
      <w:tr>
        <w:trPr>
          <w:trHeight w:val="196"/>
        </w:trPr>
        <w:tc>
          <w:tcPr>
            <w:tcW w:w="50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(41,319)</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(42,987)</w:t>
            </w:r>
          </w:p>
        </w:tc>
      </w:tr>
      <w:tr>
        <w:trPr>
          <w:trHeight w:val="203"/>
        </w:trPr>
        <w:tc>
          <w:tcPr>
            <w:tcW w:w="50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w:t>
            </w:r>
          </w:p>
        </w:tc>
      </w:tr>
      <w:tr>
        <w:trPr>
          <w:trHeight w:val="196"/>
        </w:trPr>
        <w:tc>
          <w:tcPr>
            <w:tcW w:w="50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(41,428)</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(43,078)</w:t>
            </w:r>
          </w:p>
        </w:tc>
      </w:tr>
      <w:tr>
        <w:trPr>
          <w:trHeight w:val="203"/>
        </w:trPr>
        <w:tc>
          <w:tcPr>
            <w:tcW w:w="50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Cumulative translation adjustment</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r>
      <w:tr>
        <w:trPr>
          <w:trHeight w:val="196"/>
        </w:trPr>
        <w:tc>
          <w:tcPr>
            <w:tcW w:w="50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Comprehensive loss</w:t>
            </w:r>
          </w:p>
        </w:tc>
        <w:tc>
          <w:tcPr>
            <w:tcW w:w="2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(41,437)</w:t>
            </w:r>
          </w:p>
        </w:tc>
        <w:tc>
          <w:tcPr>
            <w:tcW w:w="3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(43,086)</w:t>
            </w:r>
          </w:p>
        </w:tc>
      </w:tr>
      <w:tr>
        <w:trPr>
          <w:trHeight w:val="196"/>
        </w:trPr>
        <w:tc>
          <w:tcPr>
            <w:tcW w:w="508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240" w:type="dxa"/>
            <w:vAlign w:val="bottom"/>
          </w:tcPr>
          <w:p>
            <w:pPr>
              <w:spacing w:after="0"/>
              <w:rPr>
                <w:sz w:val="17"/>
                <w:szCs w:val="17"/>
                <w:color w:val="auto"/>
              </w:rPr>
            </w:pP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(2.02)</w:t>
            </w:r>
          </w:p>
        </w:tc>
        <w:tc>
          <w:tcPr>
            <w:tcW w:w="320" w:type="dxa"/>
            <w:vAlign w:val="bottom"/>
          </w:tcPr>
          <w:p>
            <w:pPr>
              <w:spacing w:after="0"/>
              <w:rPr>
                <w:sz w:val="17"/>
                <w:szCs w:val="17"/>
                <w:color w:val="auto"/>
              </w:rPr>
            </w:pPr>
          </w:p>
        </w:tc>
        <w:tc>
          <w:tcPr>
            <w:tcW w:w="4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(4.16)</w:t>
            </w:r>
          </w:p>
        </w:tc>
      </w:tr>
      <w:tr>
        <w:trPr>
          <w:trHeight w:val="202"/>
        </w:trPr>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common shares used to compute net loss</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3"/>
        </w:trPr>
        <w:tc>
          <w:tcPr>
            <w:tcW w:w="50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per share, basic and diluted</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20,532,838</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10,360,054</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jc w:val="center"/>
        <w:spacing w:after="0"/>
        <w:rPr>
          <w:sz w:val="20"/>
          <w:szCs w:val="20"/>
          <w:color w:val="auto"/>
        </w:rPr>
      </w:pPr>
      <w:r>
        <w:rPr>
          <w:rFonts w:ascii="Arial" w:cs="Arial" w:eastAsia="Arial" w:hAnsi="Arial"/>
          <w:sz w:val="18"/>
          <w:szCs w:val="18"/>
          <w:b w:val="1"/>
          <w:bCs w:val="1"/>
          <w:color w:val="auto"/>
        </w:rPr>
        <w:t>(In thousands, except share data)</w:t>
      </w:r>
    </w:p>
    <w:tbl>
      <w:tblPr>
        <w:tblLayout w:type="fixed"/>
        <w:tblInd w:w="60" w:type="dxa"/>
        <w:tblCellMar>
          <w:top w:w="0" w:type="dxa"/>
          <w:left w:w="0" w:type="dxa"/>
          <w:bottom w:w="0" w:type="dxa"/>
          <w:right w:w="0" w:type="dxa"/>
        </w:tblCellMar>
      </w:tblPr>
      <w:tr>
        <w:trPr>
          <w:trHeight w:val="123"/>
        </w:trPr>
        <w:tc>
          <w:tcPr>
            <w:tcW w:w="1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77"/>
              <w:spacing w:after="0" w:line="123"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780" w:type="dxa"/>
            <w:vAlign w:val="bottom"/>
            <w:gridSpan w:val="5"/>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Convertible</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3"/>
          </w:tcPr>
          <w:p>
            <w:pPr>
              <w:ind w:left="140"/>
              <w:spacing w:after="0" w:line="135" w:lineRule="exact"/>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other</w:t>
            </w:r>
          </w:p>
        </w:tc>
        <w:tc>
          <w:tcPr>
            <w:tcW w:w="980" w:type="dxa"/>
            <w:vAlign w:val="bottom"/>
            <w:gridSpan w:val="3"/>
          </w:tcPr>
          <w:p>
            <w:pPr>
              <w:ind w:left="160"/>
              <w:spacing w:after="0" w:line="135" w:lineRule="exact"/>
              <w:rPr>
                <w:sz w:val="20"/>
                <w:szCs w:val="20"/>
                <w:color w:val="auto"/>
              </w:rPr>
            </w:pPr>
            <w:r>
              <w:rPr>
                <w:rFonts w:ascii="Arial" w:cs="Arial" w:eastAsia="Arial" w:hAnsi="Arial"/>
                <w:sz w:val="13"/>
                <w:szCs w:val="13"/>
                <w:b w:val="1"/>
                <w:bCs w:val="1"/>
                <w:color w:val="auto"/>
                <w:w w:val="94"/>
              </w:rPr>
              <w:t>stockholders’</w:t>
            </w:r>
          </w:p>
        </w:tc>
        <w:tc>
          <w:tcPr>
            <w:tcW w:w="0" w:type="dxa"/>
            <w:vAlign w:val="bottom"/>
          </w:tcPr>
          <w:p>
            <w:pPr>
              <w:spacing w:after="0"/>
              <w:rPr>
                <w:sz w:val="1"/>
                <w:szCs w:val="1"/>
                <w:color w:val="auto"/>
              </w:rPr>
            </w:pPr>
          </w:p>
        </w:tc>
      </w:tr>
      <w:tr>
        <w:trPr>
          <w:trHeight w:val="157"/>
        </w:trPr>
        <w:tc>
          <w:tcPr>
            <w:tcW w:w="1920" w:type="dxa"/>
            <w:vAlign w:val="bottom"/>
          </w:tcPr>
          <w:p>
            <w:pPr>
              <w:spacing w:after="0"/>
              <w:rPr>
                <w:sz w:val="13"/>
                <w:szCs w:val="13"/>
                <w:color w:val="auto"/>
              </w:rPr>
            </w:pPr>
          </w:p>
        </w:tc>
        <w:tc>
          <w:tcPr>
            <w:tcW w:w="178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5"/>
              </w:rPr>
              <w:t>preferred stock</w:t>
            </w:r>
          </w:p>
        </w:tc>
        <w:tc>
          <w:tcPr>
            <w:tcW w:w="1440" w:type="dxa"/>
            <w:vAlign w:val="bottom"/>
            <w:gridSpan w:val="4"/>
          </w:tcPr>
          <w:p>
            <w:pPr>
              <w:jc w:val="right"/>
              <w:ind w:right="217"/>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3"/>
                <w:szCs w:val="13"/>
                <w:b w:val="1"/>
                <w:bCs w:val="1"/>
                <w:color w:val="auto"/>
              </w:rPr>
              <w:t>paid-in</w:t>
            </w:r>
          </w:p>
        </w:tc>
        <w:tc>
          <w:tcPr>
            <w:tcW w:w="940" w:type="dxa"/>
            <w:vAlign w:val="bottom"/>
            <w:gridSpan w:val="3"/>
          </w:tcPr>
          <w:p>
            <w:pPr>
              <w:ind w:left="140"/>
              <w:spacing w:after="0"/>
              <w:rPr>
                <w:sz w:val="20"/>
                <w:szCs w:val="20"/>
                <w:color w:val="auto"/>
              </w:rPr>
            </w:pPr>
            <w:r>
              <w:rPr>
                <w:rFonts w:ascii="Arial" w:cs="Arial" w:eastAsia="Arial" w:hAnsi="Arial"/>
                <w:sz w:val="13"/>
                <w:szCs w:val="13"/>
                <w:b w:val="1"/>
                <w:bCs w:val="1"/>
                <w:color w:val="auto"/>
                <w:w w:val="95"/>
              </w:rPr>
              <w:t>Accumulated</w:t>
            </w:r>
          </w:p>
        </w:tc>
        <w:tc>
          <w:tcPr>
            <w:tcW w:w="1080" w:type="dxa"/>
            <w:vAlign w:val="bottom"/>
            <w:gridSpan w:val="3"/>
          </w:tcPr>
          <w:p>
            <w:pPr>
              <w:ind w:left="160"/>
              <w:spacing w:after="0"/>
              <w:rPr>
                <w:sz w:val="20"/>
                <w:szCs w:val="20"/>
                <w:color w:val="auto"/>
              </w:rPr>
            </w:pPr>
            <w:r>
              <w:rPr>
                <w:rFonts w:ascii="Arial" w:cs="Arial" w:eastAsia="Arial" w:hAnsi="Arial"/>
                <w:sz w:val="13"/>
                <w:szCs w:val="13"/>
                <w:b w:val="1"/>
                <w:bCs w:val="1"/>
                <w:color w:val="auto"/>
                <w:w w:val="94"/>
              </w:rPr>
              <w:t>comprehensive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77"/>
              <w:spacing w:after="0"/>
              <w:rPr>
                <w:sz w:val="20"/>
                <w:szCs w:val="20"/>
                <w:color w:val="auto"/>
              </w:rPr>
            </w:pPr>
            <w:r>
              <w:rPr>
                <w:rFonts w:ascii="Arial" w:cs="Arial" w:eastAsia="Arial" w:hAnsi="Arial"/>
                <w:sz w:val="13"/>
                <w:szCs w:val="13"/>
                <w:b w:val="1"/>
                <w:bCs w:val="1"/>
                <w:color w:val="auto"/>
                <w:w w:val="93"/>
              </w:rPr>
              <w:t>(deficit)</w:t>
            </w:r>
          </w:p>
        </w:tc>
        <w:tc>
          <w:tcPr>
            <w:tcW w:w="0" w:type="dxa"/>
            <w:vAlign w:val="bottom"/>
          </w:tcPr>
          <w:p>
            <w:pPr>
              <w:spacing w:after="0"/>
              <w:rPr>
                <w:sz w:val="1"/>
                <w:szCs w:val="1"/>
                <w:color w:val="auto"/>
              </w:rPr>
            </w:pPr>
          </w:p>
        </w:tc>
      </w:tr>
      <w:tr>
        <w:trPr>
          <w:trHeight w:val="129"/>
        </w:trPr>
        <w:tc>
          <w:tcPr>
            <w:tcW w:w="192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rPr>
              <w:t>Shares</w:t>
            </w:r>
          </w:p>
        </w:tc>
        <w:tc>
          <w:tcPr>
            <w:tcW w:w="1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capital</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deficit</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17"/>
              <w:spacing w:after="0" w:line="129" w:lineRule="exact"/>
              <w:rPr>
                <w:sz w:val="20"/>
                <w:szCs w:val="20"/>
                <w:color w:val="auto"/>
              </w:rPr>
            </w:pPr>
            <w:r>
              <w:rPr>
                <w:rFonts w:ascii="Arial" w:cs="Arial" w:eastAsia="Arial" w:hAnsi="Arial"/>
                <w:sz w:val="13"/>
                <w:szCs w:val="13"/>
                <w:b w:val="1"/>
                <w:bCs w:val="1"/>
                <w:color w:val="auto"/>
                <w:w w:val="99"/>
              </w:rPr>
              <w:t>loss</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77"/>
              <w:spacing w:after="0" w:line="129" w:lineRule="exact"/>
              <w:rPr>
                <w:sz w:val="20"/>
                <w:szCs w:val="20"/>
                <w:color w:val="auto"/>
              </w:rPr>
            </w:pPr>
            <w:r>
              <w:rPr>
                <w:rFonts w:ascii="Arial" w:cs="Arial" w:eastAsia="Arial" w:hAnsi="Arial"/>
                <w:sz w:val="13"/>
                <w:szCs w:val="13"/>
                <w:b w:val="1"/>
                <w:bCs w:val="1"/>
                <w:color w:val="auto"/>
                <w:w w:val="93"/>
              </w:rPr>
              <w:t>equity</w:t>
            </w:r>
          </w:p>
        </w:tc>
        <w:tc>
          <w:tcPr>
            <w:tcW w:w="0" w:type="dxa"/>
            <w:vAlign w:val="bottom"/>
          </w:tcPr>
          <w:p>
            <w:pPr>
              <w:spacing w:after="0"/>
              <w:rPr>
                <w:sz w:val="1"/>
                <w:szCs w:val="1"/>
                <w:color w:val="auto"/>
              </w:rPr>
            </w:pPr>
          </w:p>
        </w:tc>
      </w:tr>
      <w:tr>
        <w:trPr>
          <w:trHeight w:val="93"/>
        </w:trPr>
        <w:tc>
          <w:tcPr>
            <w:tcW w:w="1920" w:type="dxa"/>
            <w:vAlign w:val="bottom"/>
            <w:shd w:val="clear" w:color="auto" w:fill="CCEEFF"/>
          </w:tcPr>
          <w:p>
            <w:pPr>
              <w:spacing w:after="0" w:line="93" w:lineRule="exact"/>
              <w:rPr>
                <w:sz w:val="20"/>
                <w:szCs w:val="20"/>
                <w:color w:val="auto"/>
              </w:rPr>
            </w:pPr>
            <w:r>
              <w:rPr>
                <w:rFonts w:ascii="Arial" w:cs="Arial" w:eastAsia="Arial" w:hAnsi="Arial"/>
                <w:sz w:val="10"/>
                <w:szCs w:val="10"/>
                <w:b w:val="1"/>
                <w:bCs w:val="1"/>
                <w:color w:val="auto"/>
              </w:rPr>
              <w:t>Balances as of</w:t>
            </w:r>
          </w:p>
        </w:tc>
        <w:tc>
          <w:tcPr>
            <w:tcW w:w="8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223,541,754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329,983</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360,412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58,624</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(351,676)</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(293,238)</w:t>
            </w:r>
          </w:p>
        </w:tc>
        <w:tc>
          <w:tcPr>
            <w:tcW w:w="0" w:type="dxa"/>
            <w:vAlign w:val="bottom"/>
          </w:tcPr>
          <w:p>
            <w:pPr>
              <w:spacing w:after="0"/>
              <w:rPr>
                <w:sz w:val="1"/>
                <w:szCs w:val="1"/>
                <w:color w:val="auto"/>
              </w:rPr>
            </w:pPr>
          </w:p>
        </w:tc>
      </w:tr>
      <w:tr>
        <w:trPr>
          <w:trHeight w:val="135"/>
        </w:trPr>
        <w:tc>
          <w:tcPr>
            <w:tcW w:w="192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59,341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Employee stock compensation</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1,912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1,912</w:t>
            </w:r>
          </w:p>
        </w:tc>
        <w:tc>
          <w:tcPr>
            <w:tcW w:w="0" w:type="dxa"/>
            <w:vAlign w:val="bottom"/>
          </w:tcPr>
          <w:p>
            <w:pPr>
              <w:spacing w:after="0"/>
              <w:rPr>
                <w:sz w:val="1"/>
                <w:szCs w:val="1"/>
                <w:color w:val="auto"/>
              </w:rPr>
            </w:pPr>
          </w:p>
        </w:tc>
      </w:tr>
      <w:tr>
        <w:trPr>
          <w:trHeight w:val="129"/>
        </w:trPr>
        <w:tc>
          <w:tcPr>
            <w:tcW w:w="1920" w:type="dxa"/>
            <w:vAlign w:val="bottom"/>
          </w:tcPr>
          <w:p>
            <w:pPr>
              <w:spacing w:after="0" w:line="129" w:lineRule="exact"/>
              <w:rPr>
                <w:sz w:val="20"/>
                <w:szCs w:val="20"/>
                <w:color w:val="auto"/>
              </w:rPr>
            </w:pPr>
            <w:r>
              <w:rPr>
                <w:rFonts w:ascii="Arial" w:cs="Arial" w:eastAsia="Arial" w:hAnsi="Arial"/>
                <w:sz w:val="13"/>
                <w:szCs w:val="13"/>
                <w:color w:val="auto"/>
              </w:rPr>
              <w:t>Issuance of common stock, net</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920" w:type="dxa"/>
            <w:vAlign w:val="bottom"/>
          </w:tcPr>
          <w:p>
            <w:pPr>
              <w:spacing w:after="0" w:line="141" w:lineRule="exact"/>
              <w:rPr>
                <w:sz w:val="20"/>
                <w:szCs w:val="20"/>
                <w:color w:val="auto"/>
              </w:rPr>
            </w:pPr>
            <w:r>
              <w:rPr>
                <w:rFonts w:ascii="Arial" w:cs="Arial" w:eastAsia="Arial" w:hAnsi="Arial"/>
                <w:sz w:val="13"/>
                <w:szCs w:val="13"/>
                <w:color w:val="auto"/>
              </w:rPr>
              <w:t>of offering costs</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8,050,000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rPr>
              <w:t>81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Arial" w:cs="Arial" w:eastAsia="Arial" w:hAnsi="Arial"/>
                <w:sz w:val="13"/>
                <w:szCs w:val="13"/>
                <w:color w:val="auto"/>
              </w:rPr>
              <w:t>133,080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133,161</w:t>
            </w: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Reverse stock split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9"/>
        </w:trPr>
        <w:tc>
          <w:tcPr>
            <w:tcW w:w="1920" w:type="dxa"/>
            <w:vAlign w:val="bottom"/>
          </w:tcPr>
          <w:p>
            <w:pPr>
              <w:spacing w:after="0" w:line="129" w:lineRule="exact"/>
              <w:rPr>
                <w:sz w:val="20"/>
                <w:szCs w:val="20"/>
                <w:color w:val="auto"/>
              </w:rPr>
            </w:pPr>
            <w:r>
              <w:rPr>
                <w:rFonts w:ascii="Arial" w:cs="Arial" w:eastAsia="Arial" w:hAnsi="Arial"/>
                <w:sz w:val="13"/>
                <w:szCs w:val="13"/>
                <w:color w:val="auto"/>
              </w:rPr>
              <w:t>Conversion of Series G</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920" w:type="dxa"/>
            <w:vAlign w:val="bottom"/>
          </w:tcPr>
          <w:p>
            <w:pPr>
              <w:spacing w:after="0" w:line="141" w:lineRule="exact"/>
              <w:rPr>
                <w:sz w:val="20"/>
                <w:szCs w:val="20"/>
                <w:color w:val="auto"/>
              </w:rPr>
            </w:pPr>
            <w:r>
              <w:rPr>
                <w:rFonts w:ascii="Arial" w:cs="Arial" w:eastAsia="Arial" w:hAnsi="Arial"/>
                <w:sz w:val="13"/>
                <w:szCs w:val="13"/>
                <w:color w:val="auto"/>
              </w:rPr>
              <w:t>preferred stock</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w w:val="98"/>
              </w:rPr>
              <w:t>(223,541,754)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3"/>
                <w:szCs w:val="13"/>
                <w:color w:val="auto"/>
                <w:w w:val="96"/>
              </w:rPr>
              <w:t>(329,983)</w:t>
            </w:r>
          </w:p>
        </w:tc>
        <w:tc>
          <w:tcPr>
            <w:tcW w:w="1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w w:val="98"/>
              </w:rPr>
              <w:t>11,929,584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rPr>
              <w:t>119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Arial" w:cs="Arial" w:eastAsia="Arial" w:hAnsi="Arial"/>
                <w:sz w:val="13"/>
                <w:szCs w:val="13"/>
                <w:color w:val="auto"/>
              </w:rPr>
              <w:t>347,069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347,188</w:t>
            </w:r>
          </w:p>
        </w:tc>
        <w:tc>
          <w:tcPr>
            <w:tcW w:w="0" w:type="dxa"/>
            <w:vAlign w:val="bottom"/>
          </w:tcPr>
          <w:p>
            <w:pPr>
              <w:spacing w:after="0"/>
              <w:rPr>
                <w:sz w:val="1"/>
                <w:szCs w:val="1"/>
                <w:color w:val="auto"/>
              </w:rPr>
            </w:pPr>
          </w:p>
        </w:tc>
      </w:tr>
      <w:tr>
        <w:trPr>
          <w:trHeight w:val="129"/>
        </w:trPr>
        <w:tc>
          <w:tcPr>
            <w:tcW w:w="19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Net loss for the year ended</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9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December 31, 2021</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(43,078)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(43,078)</w:t>
            </w:r>
          </w:p>
        </w:tc>
        <w:tc>
          <w:tcPr>
            <w:tcW w:w="0" w:type="dxa"/>
            <w:vAlign w:val="bottom"/>
          </w:tcPr>
          <w:p>
            <w:pPr>
              <w:spacing w:after="0"/>
              <w:rPr>
                <w:sz w:val="1"/>
                <w:szCs w:val="1"/>
                <w:color w:val="auto"/>
              </w:rPr>
            </w:pPr>
          </w:p>
        </w:tc>
      </w:tr>
      <w:tr>
        <w:trPr>
          <w:trHeight w:val="129"/>
        </w:trPr>
        <w:tc>
          <w:tcPr>
            <w:tcW w:w="1920" w:type="dxa"/>
            <w:vAlign w:val="bottom"/>
          </w:tcPr>
          <w:p>
            <w:pPr>
              <w:spacing w:after="0" w:line="129" w:lineRule="exact"/>
              <w:rPr>
                <w:sz w:val="20"/>
                <w:szCs w:val="20"/>
                <w:color w:val="auto"/>
              </w:rPr>
            </w:pPr>
            <w:r>
              <w:rPr>
                <w:rFonts w:ascii="Arial" w:cs="Arial" w:eastAsia="Arial" w:hAnsi="Arial"/>
                <w:sz w:val="13"/>
                <w:szCs w:val="13"/>
                <w:color w:val="auto"/>
              </w:rPr>
              <w:t>Cumulative translation</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920" w:type="dxa"/>
            <w:vAlign w:val="bottom"/>
            <w:tcBorders>
              <w:bottom w:val="single" w:sz="8" w:color="CCEEFF"/>
            </w:tcBorders>
          </w:tcPr>
          <w:p>
            <w:pPr>
              <w:spacing w:after="0" w:line="141" w:lineRule="exact"/>
              <w:rPr>
                <w:sz w:val="20"/>
                <w:szCs w:val="20"/>
                <w:color w:val="auto"/>
              </w:rPr>
            </w:pPr>
            <w:r>
              <w:rPr>
                <w:rFonts w:ascii="Arial" w:cs="Arial" w:eastAsia="Arial" w:hAnsi="Arial"/>
                <w:sz w:val="13"/>
                <w:szCs w:val="13"/>
                <w:color w:val="auto"/>
              </w:rPr>
              <w:t>adjustment</w:t>
            </w:r>
          </w:p>
        </w:tc>
        <w:tc>
          <w:tcPr>
            <w:tcW w:w="8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93"/>
        </w:trPr>
        <w:tc>
          <w:tcPr>
            <w:tcW w:w="1920" w:type="dxa"/>
            <w:vAlign w:val="bottom"/>
            <w:shd w:val="clear" w:color="auto" w:fill="CCEEFF"/>
          </w:tcPr>
          <w:p>
            <w:pPr>
              <w:spacing w:after="0" w:line="93" w:lineRule="exact"/>
              <w:rPr>
                <w:sz w:val="20"/>
                <w:szCs w:val="20"/>
                <w:color w:val="auto"/>
              </w:rPr>
            </w:pPr>
            <w:r>
              <w:rPr>
                <w:rFonts w:ascii="Arial" w:cs="Arial" w:eastAsia="Arial" w:hAnsi="Arial"/>
                <w:sz w:val="10"/>
                <w:szCs w:val="10"/>
                <w:b w:val="1"/>
                <w:bCs w:val="1"/>
                <w:color w:val="auto"/>
              </w:rPr>
              <w:t>Balances as of</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20,399,337</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204</w:t>
            </w:r>
          </w:p>
        </w:tc>
        <w:tc>
          <w:tcPr>
            <w:tcW w:w="22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b w:val="1"/>
                <w:bCs w:val="1"/>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540,707</w:t>
            </w:r>
          </w:p>
        </w:tc>
        <w:tc>
          <w:tcPr>
            <w:tcW w:w="28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(394,754)</w:t>
            </w:r>
          </w:p>
        </w:tc>
        <w:tc>
          <w:tcPr>
            <w:tcW w:w="22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b w:val="1"/>
                <w:bCs w:val="1"/>
                <w:color w:val="auto"/>
                <w:w w:val="82"/>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(198)</w:t>
            </w:r>
          </w:p>
        </w:tc>
        <w:tc>
          <w:tcPr>
            <w:tcW w:w="28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145,959</w:t>
            </w:r>
          </w:p>
        </w:tc>
        <w:tc>
          <w:tcPr>
            <w:tcW w:w="0" w:type="dxa"/>
            <w:vAlign w:val="bottom"/>
          </w:tcPr>
          <w:p>
            <w:pPr>
              <w:spacing w:after="0"/>
              <w:rPr>
                <w:sz w:val="1"/>
                <w:szCs w:val="1"/>
                <w:color w:val="auto"/>
              </w:rPr>
            </w:pPr>
          </w:p>
        </w:tc>
      </w:tr>
      <w:tr>
        <w:trPr>
          <w:trHeight w:val="143"/>
        </w:trPr>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December 31, 2021</w:t>
            </w:r>
          </w:p>
        </w:tc>
        <w:tc>
          <w:tcPr>
            <w:tcW w:w="82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Exercise of stock options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920" w:type="dxa"/>
            <w:vAlign w:val="bottom"/>
            <w:vMerge w:val="continue"/>
          </w:tcPr>
          <w:p>
            <w:pPr>
              <w:spacing w:after="0"/>
              <w:rPr>
                <w:sz w:val="10"/>
                <w:szCs w:val="10"/>
                <w:color w:val="auto"/>
              </w:rPr>
            </w:pPr>
          </w:p>
        </w:tc>
        <w:tc>
          <w:tcPr>
            <w:tcW w:w="82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20" w:type="dxa"/>
            <w:vAlign w:val="bottom"/>
          </w:tcPr>
          <w:p>
            <w:pPr>
              <w:jc w:val="right"/>
              <w:spacing w:after="0" w:line="116" w:lineRule="exact"/>
              <w:rPr>
                <w:sz w:val="20"/>
                <w:szCs w:val="20"/>
                <w:color w:val="auto"/>
              </w:rPr>
            </w:pPr>
            <w:r>
              <w:rPr>
                <w:rFonts w:ascii="Arial" w:cs="Arial" w:eastAsia="Arial" w:hAnsi="Arial"/>
                <w:sz w:val="13"/>
                <w:szCs w:val="13"/>
                <w:color w:val="auto"/>
              </w:rPr>
              <w:t>150,509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16"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Arial" w:cs="Arial" w:eastAsia="Arial" w:hAnsi="Arial"/>
                <w:sz w:val="13"/>
                <w:szCs w:val="13"/>
                <w:color w:val="auto"/>
              </w:rPr>
              <w:t>182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right"/>
              <w:spacing w:after="0" w:line="11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line="116" w:lineRule="exact"/>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29"/>
        </w:trPr>
        <w:tc>
          <w:tcPr>
            <w:tcW w:w="19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Proceeds from Employee Stock</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9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Purchase Plan</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113,890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586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587</w:t>
            </w:r>
          </w:p>
        </w:tc>
        <w:tc>
          <w:tcPr>
            <w:tcW w:w="0" w:type="dxa"/>
            <w:vAlign w:val="bottom"/>
          </w:tcPr>
          <w:p>
            <w:pPr>
              <w:spacing w:after="0"/>
              <w:rPr>
                <w:sz w:val="1"/>
                <w:szCs w:val="1"/>
                <w:color w:val="auto"/>
              </w:rPr>
            </w:pPr>
          </w:p>
        </w:tc>
      </w:tr>
      <w:tr>
        <w:trPr>
          <w:trHeight w:val="135"/>
        </w:trPr>
        <w:tc>
          <w:tcPr>
            <w:tcW w:w="1920" w:type="dxa"/>
            <w:vAlign w:val="bottom"/>
          </w:tcPr>
          <w:p>
            <w:pPr>
              <w:spacing w:after="0" w:line="135" w:lineRule="exact"/>
              <w:rPr>
                <w:sz w:val="20"/>
                <w:szCs w:val="20"/>
                <w:color w:val="auto"/>
              </w:rPr>
            </w:pPr>
            <w:r>
              <w:rPr>
                <w:rFonts w:ascii="Arial" w:cs="Arial" w:eastAsia="Arial" w:hAnsi="Arial"/>
                <w:sz w:val="13"/>
                <w:szCs w:val="13"/>
                <w:color w:val="auto"/>
              </w:rPr>
              <w:t>Employee stock compensation</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3,887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3,887</w:t>
            </w:r>
          </w:p>
        </w:tc>
        <w:tc>
          <w:tcPr>
            <w:tcW w:w="0" w:type="dxa"/>
            <w:vAlign w:val="bottom"/>
          </w:tcPr>
          <w:p>
            <w:pPr>
              <w:spacing w:after="0"/>
              <w:rPr>
                <w:sz w:val="1"/>
                <w:szCs w:val="1"/>
                <w:color w:val="auto"/>
              </w:rPr>
            </w:pPr>
          </w:p>
        </w:tc>
      </w:tr>
      <w:tr>
        <w:trPr>
          <w:trHeight w:val="129"/>
        </w:trPr>
        <w:tc>
          <w:tcPr>
            <w:tcW w:w="19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Net loss for the year ended</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9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December 31, 2022</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(41,428)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(41,428)</w:t>
            </w:r>
          </w:p>
        </w:tc>
        <w:tc>
          <w:tcPr>
            <w:tcW w:w="0" w:type="dxa"/>
            <w:vAlign w:val="bottom"/>
          </w:tcPr>
          <w:p>
            <w:pPr>
              <w:spacing w:after="0"/>
              <w:rPr>
                <w:sz w:val="1"/>
                <w:szCs w:val="1"/>
                <w:color w:val="auto"/>
              </w:rPr>
            </w:pPr>
          </w:p>
        </w:tc>
      </w:tr>
      <w:tr>
        <w:trPr>
          <w:trHeight w:val="129"/>
        </w:trPr>
        <w:tc>
          <w:tcPr>
            <w:tcW w:w="1920" w:type="dxa"/>
            <w:vAlign w:val="bottom"/>
          </w:tcPr>
          <w:p>
            <w:pPr>
              <w:spacing w:after="0" w:line="129" w:lineRule="exact"/>
              <w:rPr>
                <w:sz w:val="20"/>
                <w:szCs w:val="20"/>
                <w:color w:val="auto"/>
              </w:rPr>
            </w:pPr>
            <w:r>
              <w:rPr>
                <w:rFonts w:ascii="Arial" w:cs="Arial" w:eastAsia="Arial" w:hAnsi="Arial"/>
                <w:sz w:val="13"/>
                <w:szCs w:val="13"/>
                <w:color w:val="auto"/>
              </w:rPr>
              <w:t>Cumulative translation</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920" w:type="dxa"/>
            <w:vAlign w:val="bottom"/>
            <w:tcBorders>
              <w:bottom w:val="single" w:sz="8" w:color="CCEEFF"/>
            </w:tcBorders>
          </w:tcPr>
          <w:p>
            <w:pPr>
              <w:spacing w:after="0" w:line="141" w:lineRule="exact"/>
              <w:rPr>
                <w:sz w:val="20"/>
                <w:szCs w:val="20"/>
                <w:color w:val="auto"/>
              </w:rPr>
            </w:pPr>
            <w:r>
              <w:rPr>
                <w:rFonts w:ascii="Arial" w:cs="Arial" w:eastAsia="Arial" w:hAnsi="Arial"/>
                <w:sz w:val="13"/>
                <w:szCs w:val="13"/>
                <w:color w:val="auto"/>
              </w:rPr>
              <w:t>adjustment</w:t>
            </w:r>
          </w:p>
        </w:tc>
        <w:tc>
          <w:tcPr>
            <w:tcW w:w="8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93"/>
        </w:trPr>
        <w:tc>
          <w:tcPr>
            <w:tcW w:w="1920" w:type="dxa"/>
            <w:vAlign w:val="bottom"/>
            <w:shd w:val="clear" w:color="auto" w:fill="CCEEFF"/>
          </w:tcPr>
          <w:p>
            <w:pPr>
              <w:spacing w:after="0" w:line="93" w:lineRule="exact"/>
              <w:rPr>
                <w:sz w:val="20"/>
                <w:szCs w:val="20"/>
                <w:color w:val="auto"/>
              </w:rPr>
            </w:pPr>
            <w:r>
              <w:rPr>
                <w:rFonts w:ascii="Arial" w:cs="Arial" w:eastAsia="Arial" w:hAnsi="Arial"/>
                <w:sz w:val="10"/>
                <w:szCs w:val="10"/>
                <w:b w:val="1"/>
                <w:bCs w:val="1"/>
                <w:color w:val="auto"/>
              </w:rPr>
              <w:t>Balances as of</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20,663,736</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207</w:t>
            </w:r>
          </w:p>
        </w:tc>
        <w:tc>
          <w:tcPr>
            <w:tcW w:w="22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b w:val="1"/>
                <w:bCs w:val="1"/>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545,362</w:t>
            </w:r>
          </w:p>
        </w:tc>
        <w:tc>
          <w:tcPr>
            <w:tcW w:w="28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(436,182)</w:t>
            </w:r>
          </w:p>
        </w:tc>
        <w:tc>
          <w:tcPr>
            <w:tcW w:w="22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b w:val="1"/>
                <w:bCs w:val="1"/>
                <w:color w:val="auto"/>
                <w:w w:val="82"/>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(207)</w:t>
            </w:r>
          </w:p>
        </w:tc>
        <w:tc>
          <w:tcPr>
            <w:tcW w:w="28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109,180</w:t>
            </w:r>
          </w:p>
        </w:tc>
        <w:tc>
          <w:tcPr>
            <w:tcW w:w="0" w:type="dxa"/>
            <w:vAlign w:val="bottom"/>
          </w:tcPr>
          <w:p>
            <w:pPr>
              <w:spacing w:after="0"/>
              <w:rPr>
                <w:sz w:val="1"/>
                <w:szCs w:val="1"/>
                <w:color w:val="auto"/>
              </w:rPr>
            </w:pPr>
          </w:p>
        </w:tc>
      </w:tr>
      <w:tr>
        <w:trPr>
          <w:trHeight w:val="143"/>
        </w:trPr>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December 31, 2022</w:t>
            </w:r>
          </w:p>
        </w:tc>
        <w:tc>
          <w:tcPr>
            <w:tcW w:w="82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tbl>
      <w:tblPr>
        <w:tblLayout w:type="fixed"/>
        <w:tblInd w:w="60" w:type="dxa"/>
        <w:tblCellMar>
          <w:top w:w="0" w:type="dxa"/>
          <w:left w:w="0" w:type="dxa"/>
          <w:bottom w:w="0" w:type="dxa"/>
          <w:right w:w="0" w:type="dxa"/>
        </w:tblCellMar>
      </w:tblPr>
      <w:tr>
        <w:trPr>
          <w:trHeight w:val="159"/>
        </w:trPr>
        <w:tc>
          <w:tcPr>
            <w:tcW w:w="6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4"/>
          </w:tcPr>
          <w:p>
            <w:pPr>
              <w:jc w:val="right"/>
              <w:ind w:right="591"/>
              <w:spacing w:after="0" w:line="159" w:lineRule="exact"/>
              <w:rPr>
                <w:sz w:val="20"/>
                <w:szCs w:val="20"/>
                <w:color w:val="auto"/>
              </w:rPr>
            </w:pPr>
            <w:r>
              <w:rPr>
                <w:rFonts w:ascii="Arial" w:cs="Arial" w:eastAsia="Arial" w:hAnsi="Arial"/>
                <w:sz w:val="14"/>
                <w:szCs w:val="14"/>
                <w:b w:val="1"/>
                <w:bCs w:val="1"/>
                <w:color w:val="auto"/>
              </w:rPr>
              <w:t>Year ended</w:t>
            </w:r>
          </w:p>
        </w:tc>
      </w:tr>
      <w:tr>
        <w:trPr>
          <w:trHeight w:val="175"/>
        </w:trPr>
        <w:tc>
          <w:tcPr>
            <w:tcW w:w="6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628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(41,428)</w:t>
            </w:r>
          </w:p>
        </w:tc>
        <w:tc>
          <w:tcPr>
            <w:tcW w:w="36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(43,078)</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3,887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1,912</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Depreciation of property and equipment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deferred financing costs and loan discount</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Loss on debt extinguishment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1,325</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Changes in fair value of convertible preferred stock warrants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13,294</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(2,944)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(1,279)</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Inventory</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(1,634)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(1,980)</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62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Accrued expenses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873</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2,187</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used in operating activities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(42,677)</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(27,732)</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property and equipment</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(685)</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(1,183)</w:t>
            </w:r>
          </w:p>
        </w:tc>
      </w:tr>
      <w:tr>
        <w:trPr>
          <w:trHeight w:val="196"/>
        </w:trPr>
        <w:tc>
          <w:tcPr>
            <w:tcW w:w="62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used in investing activities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(685)</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(1,183)</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Proceeds from the exercise of common stock options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Employee Stock Purchase Plan</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Payments related to reverse stock split</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the issuance of common stock, net of offering costs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133,161</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Proceeds from debt financing</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7,500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financing costs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Repayment on debt financing</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(21,300)</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7,493</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111,883</w:t>
            </w:r>
          </w:p>
        </w:tc>
      </w:tr>
      <w:tr>
        <w:trPr>
          <w:trHeight w:val="196"/>
        </w:trPr>
        <w:tc>
          <w:tcPr>
            <w:tcW w:w="62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Effect of currency exchange on cash and cash equivalents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change in cash and cash equivalents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(35,878)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82,960</w:t>
            </w: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142,072</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59,112</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and cash equivalents at end of period</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106,194</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142,072</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Information: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paid for interest</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36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1,706</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Cash paid for income taxes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16"/>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ROU assets exchanged for lease liabilities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 Business organization</w:t>
      </w:r>
    </w:p>
    <w:p>
      <w:pPr>
        <w:spacing w:after="0" w:line="23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CVRx, Inc. (the “Company”) was incorporated in Delaware and is headquartered in Minneapolis, Minnesota. The Company has developed and is marketing a medical device, Barostim, for heart failure (“HF”) and resistant hypertension. The Company is focused on the sale of its product in the U.S. and Europe.</w:t>
      </w:r>
    </w:p>
    <w:p>
      <w:pPr>
        <w:spacing w:after="0" w:line="203" w:lineRule="exact"/>
        <w:rPr>
          <w:sz w:val="20"/>
          <w:szCs w:val="20"/>
          <w:color w:val="auto"/>
        </w:rPr>
      </w:pPr>
    </w:p>
    <w:p>
      <w:pPr>
        <w:ind w:left="60" w:right="339"/>
        <w:spacing w:after="0"/>
        <w:rPr>
          <w:sz w:val="20"/>
          <w:szCs w:val="20"/>
          <w:color w:val="auto"/>
        </w:rPr>
      </w:pPr>
      <w:r>
        <w:rPr>
          <w:rFonts w:ascii="Arial" w:cs="Arial" w:eastAsia="Arial" w:hAnsi="Arial"/>
          <w:sz w:val="18"/>
          <w:szCs w:val="18"/>
          <w:color w:val="auto"/>
        </w:rPr>
        <w:t>Management expects that operating losses and negative cash flows from operations could continue in the foreseeable future. There is no assurance that the Company will generate sufficient product sales to produce positive earnings or cash flows.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Statement presentation and basis of consolidation</w:t>
      </w:r>
    </w:p>
    <w:p>
      <w:pPr>
        <w:spacing w:after="0" w:line="234"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with the applicable rules and regulations of the U.S. Securities and Exchange Commission (“SEC”).</w:t>
      </w:r>
    </w:p>
    <w:p>
      <w:pPr>
        <w:spacing w:after="0" w:line="203"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consolidated financial statements include the accounts of CVRx, Inc., its wholly owned subsidiary, CVRx Switzerland LLC, and its sales branch in Italy. All intercompany balances and transactions have been eliminated in consolidation.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34" w:lineRule="exact"/>
        <w:rPr>
          <w:sz w:val="20"/>
          <w:szCs w:val="20"/>
          <w:color w:val="auto"/>
        </w:rPr>
      </w:pPr>
    </w:p>
    <w:p>
      <w:pPr>
        <w:ind w:left="60" w:right="219"/>
        <w:spacing w:after="0" w:line="261" w:lineRule="auto"/>
        <w:rPr>
          <w:sz w:val="20"/>
          <w:szCs w:val="20"/>
          <w:color w:val="auto"/>
        </w:rPr>
      </w:pPr>
      <w:r>
        <w:rPr>
          <w:rFonts w:ascii="Arial" w:cs="Arial" w:eastAsia="Arial" w:hAnsi="Arial"/>
          <w:sz w:val="17"/>
          <w:szCs w:val="17"/>
          <w:color w:val="auto"/>
        </w:rPr>
        <w:t>The Company is an emerging growth company under the Jumpstart Our Business Startups Act of 2012 (the “JOBS Act”). As a result, the Company has elected to take advantage of certain exemptions from various reporting requirements that are applicable to other public companies that are not emerging growth companies.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34"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Preparation of the consolidated financial statements in conformity with U.S. GAAP requires management to make estimates and assumptions that affect the amounts reported in the consolidated financial statements and the accompanying notes. Actual results could differ from those estimates.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34" w:lineRule="exact"/>
        <w:rPr>
          <w:sz w:val="20"/>
          <w:szCs w:val="20"/>
          <w:color w:val="auto"/>
        </w:rPr>
      </w:pPr>
    </w:p>
    <w:p>
      <w:pPr>
        <w:jc w:val="both"/>
        <w:ind w:left="60" w:right="319"/>
        <w:spacing w:after="0"/>
        <w:rPr>
          <w:sz w:val="20"/>
          <w:szCs w:val="20"/>
          <w:color w:val="auto"/>
        </w:rPr>
      </w:pPr>
      <w:r>
        <w:rPr>
          <w:rFonts w:ascii="Arial" w:cs="Arial" w:eastAsia="Arial" w:hAnsi="Arial"/>
          <w:sz w:val="18"/>
          <w:szCs w:val="18"/>
          <w:color w:val="auto"/>
        </w:rPr>
        <w:t>Cash and cash equivalents include highly liquid investments with an original maturity of three months or less. As of December 31, 2022 and 2021, cash equivalents consisted of money market funds, which are stated at cost and approximate fair value.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3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Trade accounts receivable are recorded at the invoiced amount and do not bear interest. Customer credit terms are established prior to shipment with the standard generally being net 30 days. We evaluate the collectability of our accounts receivable based on known collection risks and historical experience. In circumstances where we are aware of a specific customer's inability to meet its financial obligations to us, we record a specific allowance for bad debts against amounts due to reduce the carrying amount of accounts receivable to the amount we reasonably believe will be collected.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234"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Inventory is stated at the lower of cost or net realizable value, with cost determined on a first-in, first-out basis. The Company regularly reviews inventory quantities in consideration of actual loss experiences, projected future demand and remaining shelf life to record a provision for excess and obsolete inventory when appropriate.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3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Operating leases are included in operating lease right-of-use (“ROU”) asset, accrued expenses, and operating lease liability – non-current portion in our consolidated balance sheets.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We used the incremental borrowing rate based on information readily available at the time of recognition to determine the present value of the lease payments. The determination of our incremental borrowing rate requires management judgement based on information available at lease commencement.</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34" w:lineRule="exact"/>
        <w:rPr>
          <w:sz w:val="20"/>
          <w:szCs w:val="20"/>
          <w:color w:val="auto"/>
        </w:rPr>
      </w:pPr>
    </w:p>
    <w:p>
      <w:pPr>
        <w:ind w:left="60" w:right="299"/>
        <w:spacing w:after="0" w:line="261" w:lineRule="auto"/>
        <w:rPr>
          <w:sz w:val="20"/>
          <w:szCs w:val="20"/>
          <w:color w:val="auto"/>
        </w:rPr>
      </w:pPr>
      <w:r>
        <w:rPr>
          <w:rFonts w:ascii="Arial" w:cs="Arial" w:eastAsia="Arial" w:hAnsi="Arial"/>
          <w:sz w:val="17"/>
          <w:szCs w:val="17"/>
          <w:color w:val="auto"/>
        </w:rPr>
        <w:t>The Company sells its products primarily through a direct sales force and to a lesser extent through a combination of sales agents and independent distributors. The Company’s revenue consists primarily of the sale of its Barostim, which consists of two implantable components: a pulse generator and a stimulation lead.</w:t>
      </w:r>
    </w:p>
    <w:p>
      <w:pPr>
        <w:spacing w:after="0" w:line="168"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 xml:space="preserve">Under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revenue is recognized when a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Company will collect the consideration it is entitled to in exchange for the goods or services it transfers to the customer. The Company recognizes net revenue on product sales when the customer obtains control of the Company’s product, which generally occurs at a point in time upon delivery based on the contractual shipping terms of a contract.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34"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 xml:space="preserve">We recognize equity-based compensation expense for awards of equity instruments to employees and non-employees based on the grant date fair value of those awards in accordance with Financial Accounting Standards Board (“FASB”) Accounting Standards Codification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We account for forfeitures as they occur. We expense the fair value of our equity-based compensation awards granted to employees on a straight-line basis over the associated service period, which is generally the period in which the related services are received.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jc w:val="both"/>
        <w:ind w:left="60" w:right="159"/>
        <w:spacing w:after="0" w:line="250" w:lineRule="auto"/>
        <w:rPr>
          <w:sz w:val="20"/>
          <w:szCs w:val="20"/>
          <w:color w:val="auto"/>
        </w:rPr>
      </w:pPr>
      <w:r>
        <w:rPr>
          <w:rFonts w:ascii="Arial" w:cs="Arial" w:eastAsia="Arial" w:hAnsi="Arial"/>
          <w:sz w:val="18"/>
          <w:szCs w:val="18"/>
          <w:color w:val="auto"/>
        </w:rPr>
        <w:t xml:space="preserve">On January 1, 2022, the Company adopted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utilizing the alternative modified retrospective transition approach. Under the alternative modified retrospective transition approach, the reported results for 2022 reflect the application of ASC 842 guidance,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whereas comparative periods and their respective disclosures prior to the adoption of ASC 842 are presented using the legacy guidance of ASC 840. As a result of adopting the new standard, the Company recognized ROU assets of $579,000 and lease liabilities of $561,000 as of January 1, 2022. The lease liabilities represent the present value of the remaining lease payments, discounted using the Company’s incremental borrowing rate as of January 1, 2022. The corresponding ROU assets are recorded based on the lease liabilities and the cumulative difference between rent expense and the amounts paid under the lease. The Company did not elect any practical expedients.</w:t>
      </w:r>
    </w:p>
    <w:p>
      <w:pPr>
        <w:spacing w:after="0" w:line="171" w:lineRule="exact"/>
        <w:rPr>
          <w:sz w:val="20"/>
          <w:szCs w:val="20"/>
          <w:color w:val="auto"/>
        </w:rPr>
      </w:pPr>
    </w:p>
    <w:p>
      <w:pPr>
        <w:ind w:left="60" w:right="319"/>
        <w:spacing w:after="0" w:line="241"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("ASU 2016-13"), to require the measurement of expected credit losses for financial instruments held at the reporting date to be based on historical experience, current conditions, and reasonable forecasts. ASU 2016 -13 became effective for us for interim and annual periods beginning January 1, 2023, and we will expand our financial statement disclosures in order to comply with the guidance. We have determined that the adoption of ASU 2016-13 will not have a material impact on our results of operations, cash flows, or financial position.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3. Selected balance sheet information</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Inventory consists of the following at:</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66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center"/>
              <w:ind w:right="13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2,390</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1,593</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tcPr>
          <w:p>
            <w:pPr>
              <w:spacing w:after="0" w:line="202" w:lineRule="exact"/>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1,033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3,534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1,805</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6,957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ind w:left="20"/>
              <w:spacing w:after="0"/>
              <w:rPr>
                <w:sz w:val="20"/>
                <w:szCs w:val="20"/>
                <w:color w:val="auto"/>
              </w:rPr>
            </w:pPr>
            <w:r>
              <w:rPr>
                <w:rFonts w:ascii="Arial" w:cs="Arial" w:eastAsia="Arial" w:hAnsi="Arial"/>
                <w:sz w:val="18"/>
                <w:szCs w:val="18"/>
                <w:color w:val="auto"/>
              </w:rPr>
              <w:t>Property and equipment, net consists of the following at: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66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center"/>
              <w:ind w:right="13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58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Office furniture and equipment</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350</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Lab equipment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2,684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equipment in process</w:t>
            </w: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3,978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3,293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2,280</w:t>
            </w: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1,698</w:t>
            </w:r>
          </w:p>
        </w:tc>
        <w:tc>
          <w:tcPr>
            <w:tcW w:w="160" w:type="dxa"/>
            <w:vAlign w:val="bottom"/>
          </w:tcPr>
          <w:p>
            <w:pPr>
              <w:spacing w:after="0"/>
              <w:rPr>
                <w:sz w:val="17"/>
                <w:szCs w:val="17"/>
                <w:color w:val="auto"/>
              </w:rPr>
            </w:pPr>
          </w:p>
        </w:tc>
        <w:tc>
          <w:tcPr>
            <w:tcW w:w="2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Depreciation is determined using the straight-line method over the estimated useful lives of the respective assets, generally three to five years. Leasehold improvements are amortized on a straight-line basis over the shorter of their estimated useful lives or the term of the lease. Depreciation expense was $0.4 million and $0.2 million for the years ended December 31, 2022 and 2021, respectively.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expenses consist of the following at:</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7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5"/>
                <w:szCs w:val="15"/>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2021</w:t>
            </w:r>
          </w:p>
        </w:tc>
      </w:tr>
      <w:tr>
        <w:trPr>
          <w:trHeight w:val="196"/>
        </w:trPr>
        <w:tc>
          <w:tcPr>
            <w:tcW w:w="65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Clinical trial and other professional fees</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1,733</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1,607</w:t>
            </w:r>
          </w:p>
        </w:tc>
      </w:tr>
      <w:tr>
        <w:trPr>
          <w:trHeight w:val="203"/>
        </w:trPr>
        <w:tc>
          <w:tcPr>
            <w:tcW w:w="6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Bonuses</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2,303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2,028</w:t>
            </w:r>
          </w:p>
        </w:tc>
      </w:tr>
      <w:tr>
        <w:trPr>
          <w:trHeight w:val="203"/>
        </w:trPr>
        <w:tc>
          <w:tcPr>
            <w:tcW w:w="67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Paid time off</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699</w:t>
            </w:r>
          </w:p>
        </w:tc>
      </w:tr>
      <w:tr>
        <w:trPr>
          <w:trHeight w:val="203"/>
        </w:trPr>
        <w:tc>
          <w:tcPr>
            <w:tcW w:w="6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Customer rebates</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380</w:t>
            </w:r>
          </w:p>
        </w:tc>
      </w:tr>
      <w:tr>
        <w:trPr>
          <w:trHeight w:val="202"/>
        </w:trPr>
        <w:tc>
          <w:tcPr>
            <w:tcW w:w="67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Taxes</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351</w:t>
            </w:r>
          </w:p>
        </w:tc>
      </w:tr>
      <w:tr>
        <w:trPr>
          <w:trHeight w:val="203"/>
        </w:trPr>
        <w:tc>
          <w:tcPr>
            <w:tcW w:w="67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775</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333</w:t>
            </w:r>
          </w:p>
        </w:tc>
      </w:tr>
      <w:tr>
        <w:trPr>
          <w:trHeight w:val="196"/>
        </w:trPr>
        <w:tc>
          <w:tcPr>
            <w:tcW w:w="6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6,369</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5,398</w:t>
            </w:r>
          </w:p>
        </w:tc>
      </w:tr>
      <w:tr>
        <w:trPr>
          <w:trHeight w:val="20"/>
        </w:trPr>
        <w:tc>
          <w:tcPr>
            <w:tcW w:w="6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4. Debt</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Innovatus Loan Agreement</w:t>
      </w:r>
    </w:p>
    <w:p>
      <w:pPr>
        <w:spacing w:after="0" w:line="234" w:lineRule="exact"/>
        <w:rPr>
          <w:sz w:val="20"/>
          <w:szCs w:val="20"/>
          <w:color w:val="auto"/>
        </w:rPr>
      </w:pPr>
    </w:p>
    <w:p>
      <w:pPr>
        <w:ind w:left="60" w:right="99"/>
        <w:spacing w:after="0" w:line="234" w:lineRule="auto"/>
        <w:rPr>
          <w:sz w:val="20"/>
          <w:szCs w:val="20"/>
          <w:color w:val="auto"/>
        </w:rPr>
      </w:pPr>
      <w:r>
        <w:rPr>
          <w:rFonts w:ascii="Arial" w:cs="Arial" w:eastAsia="Arial" w:hAnsi="Arial"/>
          <w:sz w:val="18"/>
          <w:szCs w:val="18"/>
          <w:color w:val="auto"/>
        </w:rPr>
        <w:t>On October 31, 2022, the Company entered into a Loan and Security Agreement (the “Loan Agreement”) with Innovatus Life Sciences Fund I, LP, as the collateral agent and a lender, under which the Company may borrow, subject to the Company’s achievement of certain milestones, up to a total of $50.0 million in a series of term loans. On the closing date, the Company borrowed the minimum amount of $7.5 million under the Loan Agreement. The Loan Agreement initially requires interest only payments through November 2027, followed by three monthly principal and interest payments. A final payment of $0.3 million, equal to 4.5% of the original borrowed principal, is due in January 2028. The terms loans advanced pursuant to the Loan Agreement (collectively, the “Term Loans”) bear interest at a floating rate per annum equal to the sum of (a) the greater of</w:t>
      </w:r>
    </w:p>
    <w:p>
      <w:pPr>
        <w:spacing w:after="0" w:line="6" w:lineRule="exact"/>
        <w:rPr>
          <w:sz w:val="20"/>
          <w:szCs w:val="20"/>
          <w:color w:val="auto"/>
        </w:rPr>
      </w:pPr>
    </w:p>
    <w:p>
      <w:pPr>
        <w:ind w:left="60" w:right="79" w:hanging="10"/>
        <w:spacing w:after="0" w:line="235" w:lineRule="auto"/>
        <w:tabs>
          <w:tab w:leader="none" w:pos="27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prime rate and (ii) 5.50% plus (b) 2.65%. The Term Loans mature on January 31, 2028 and require interest-only payments until November 1, 2027. The Term Loans are secured by substantially all of the personal property of the Company. The Company has the option to draw down (i) the remaining $7.5 million of the first tranche from the filing date of the Company’s Annual Report on Form 10-K for the year ended December 31, 2022 until September 30, 2023, (ii) up to $30.0 million less the amount funded from the first tranche between September 1, 2023 and December 15, 2023 if the Company achieves trailing three months revenue of $5.75 million prior to June 30, 2023, and (iii) up to $20.0 million between September 1, 2024 and December 15, 2024 if the Company achieves trailing three months revenue of $9.0 million prior to June 30, 2024. A performance covenant takes effect at the earlier of September 30, 2025 or the third tranche funding requiring that the Company achieve 50% of the trailing twelve months revenue target set in the Board-approved revenue plan in effect for such period. The Loan Agreement requires the payment of certain penalties if the Term Loans are paid off prior to maturity for any reason, including pursuant to an acceleration clause, and includes various restrictive covenants, including a restriction on the payment of dividends or making other distributions or payments on the Company’s capital stock, subject to limited exceptions. The Company was in compliance with these covenants as of December 31, 2022.</w:t>
      </w:r>
    </w:p>
    <w:p>
      <w:pPr>
        <w:spacing w:after="0" w:line="200" w:lineRule="exact"/>
        <w:rPr>
          <w:sz w:val="20"/>
          <w:szCs w:val="20"/>
          <w:color w:val="auto"/>
        </w:rPr>
      </w:pPr>
    </w:p>
    <w:p>
      <w:pPr>
        <w:ind w:left="60" w:right="779"/>
        <w:spacing w:after="0" w:line="246" w:lineRule="auto"/>
        <w:rPr>
          <w:sz w:val="20"/>
          <w:szCs w:val="20"/>
          <w:color w:val="auto"/>
        </w:rPr>
      </w:pPr>
      <w:r>
        <w:rPr>
          <w:rFonts w:ascii="Arial" w:cs="Arial" w:eastAsia="Arial" w:hAnsi="Arial"/>
          <w:sz w:val="18"/>
          <w:szCs w:val="18"/>
          <w:color w:val="auto"/>
        </w:rPr>
        <w:t>In connection with the Loan Agreement, the Company recorded $0.8 million of debt issuance costs and discounts as a reduction of long-term debt.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annual principal maturities of debt under the Loan Agreement are as follows: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53"/>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7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5"/>
                <w:szCs w:val="15"/>
                <w:color w:val="auto"/>
              </w:rPr>
            </w:pPr>
          </w:p>
        </w:tc>
        <w:tc>
          <w:tcPr>
            <w:tcW w:w="1080" w:type="dxa"/>
            <w:vAlign w:val="bottom"/>
          </w:tcPr>
          <w:p>
            <w:pPr>
              <w:jc w:val="right"/>
              <w:ind w:right="333"/>
              <w:spacing w:after="0"/>
              <w:rPr>
                <w:sz w:val="20"/>
                <w:szCs w:val="20"/>
                <w:color w:val="auto"/>
              </w:rPr>
            </w:pPr>
            <w:r>
              <w:rPr>
                <w:rFonts w:ascii="Arial" w:cs="Arial" w:eastAsia="Arial" w:hAnsi="Arial"/>
                <w:sz w:val="14"/>
                <w:szCs w:val="14"/>
                <w:b w:val="1"/>
                <w:bCs w:val="1"/>
                <w:color w:val="auto"/>
              </w:rPr>
              <w:t>2022</w:t>
            </w:r>
          </w:p>
        </w:tc>
      </w:tr>
      <w:tr>
        <w:trPr>
          <w:trHeight w:val="196"/>
        </w:trPr>
        <w:tc>
          <w:tcPr>
            <w:tcW w:w="74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74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2028</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2,500</w:t>
            </w:r>
          </w:p>
        </w:tc>
      </w:tr>
      <w:tr>
        <w:trPr>
          <w:trHeight w:val="196"/>
        </w:trPr>
        <w:tc>
          <w:tcPr>
            <w:tcW w:w="7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7,500</w:t>
            </w:r>
          </w:p>
        </w:tc>
      </w:tr>
      <w:tr>
        <w:trPr>
          <w:trHeight w:val="203"/>
        </w:trPr>
        <w:tc>
          <w:tcPr>
            <w:tcW w:w="7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Less: Unamortized debt costs and discounts</w:t>
            </w: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(753)</w:t>
            </w:r>
          </w:p>
        </w:tc>
      </w:tr>
      <w:tr>
        <w:trPr>
          <w:trHeight w:val="203"/>
        </w:trPr>
        <w:tc>
          <w:tcPr>
            <w:tcW w:w="772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6,747</w:t>
            </w:r>
          </w:p>
        </w:tc>
      </w:tr>
      <w:tr>
        <w:trPr>
          <w:trHeight w:val="20"/>
        </w:trPr>
        <w:tc>
          <w:tcPr>
            <w:tcW w:w="7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5. Leases</w:t>
      </w:r>
    </w:p>
    <w:p>
      <w:pPr>
        <w:spacing w:after="0" w:line="238"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We lease 23,890 square feet of office space in Minneapolis, Minnesota, which houses our principal executive offices and our manufacturing facility. We lease this space under an operating lease agreement that commenced December 1, 2008 and expires July 31, 2024. We intend to add new facilities as we grow, and we believe that suitable additional or substitute space will be available as needed to accommodate any such expansion of our operations. Our operating lease agreement includes an option to renew for one additional period of five years. The exercise of the lease renewal option is at our sole discretion and was not included in the lease term for the calculation of the ROU asset and lease liability upon adoption of ASC 842 on January 1, 2022, as it is not reasonably certain of exercise.</w:t>
      </w:r>
    </w:p>
    <w:p>
      <w:pPr>
        <w:spacing w:after="0" w:line="208"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addition to base rent, we will also pay our proportionate share of operating expenses, as defined in the lease. These payments will be made monthly and will be adjusted annually to reflect actual charges incurred for operating expenses, such as common area maintenance, taxes and insurance.</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lease balances within the consolidated balance sheets: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78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5"/>
                <w:szCs w:val="15"/>
                <w:color w:val="auto"/>
              </w:rPr>
            </w:pPr>
          </w:p>
        </w:tc>
        <w:tc>
          <w:tcPr>
            <w:tcW w:w="840" w:type="dxa"/>
            <w:vAlign w:val="bottom"/>
          </w:tcPr>
          <w:p>
            <w:pPr>
              <w:jc w:val="center"/>
              <w:ind w:right="1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7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ind w:left="120"/>
              <w:spacing w:after="0"/>
              <w:rPr>
                <w:sz w:val="20"/>
                <w:szCs w:val="20"/>
                <w:color w:val="auto"/>
              </w:rPr>
            </w:pPr>
            <w:r>
              <w:rPr>
                <w:rFonts w:ascii="Arial" w:cs="Arial" w:eastAsia="Arial" w:hAnsi="Arial"/>
                <w:sz w:val="18"/>
                <w:szCs w:val="18"/>
                <w:color w:val="auto"/>
              </w:rPr>
              <w:t>Operating lease right-of-use asset</w:t>
            </w:r>
          </w:p>
        </w:tc>
        <w:tc>
          <w:tcPr>
            <w:tcW w:w="240" w:type="dxa"/>
            <w:vAlign w:val="bottom"/>
          </w:tcPr>
          <w:p>
            <w:pPr>
              <w:jc w:val="right"/>
              <w:ind w:right="5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liabilities: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ind w:left="1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 liability, non-current portion</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96"/>
        </w:trPr>
        <w:tc>
          <w:tcPr>
            <w:tcW w:w="782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tcPr>
          <w:p>
            <w:pPr>
              <w:jc w:val="right"/>
              <w:ind w:right="57"/>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ind w:left="20"/>
              <w:spacing w:after="0"/>
              <w:rPr>
                <w:sz w:val="20"/>
                <w:szCs w:val="20"/>
                <w:color w:val="auto"/>
              </w:rPr>
            </w:pPr>
            <w:r>
              <w:rPr>
                <w:rFonts w:ascii="Arial" w:cs="Arial" w:eastAsia="Arial" w:hAnsi="Arial"/>
                <w:sz w:val="18"/>
                <w:szCs w:val="18"/>
                <w:color w:val="auto"/>
              </w:rPr>
              <w:t>Maturities of our lease liability for our operating lease are as follows as of December 31, 2022:</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8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78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5"/>
                <w:szCs w:val="15"/>
                <w:color w:val="auto"/>
              </w:rPr>
            </w:pPr>
          </w:p>
        </w:tc>
        <w:tc>
          <w:tcPr>
            <w:tcW w:w="840" w:type="dxa"/>
            <w:vAlign w:val="bottom"/>
          </w:tcPr>
          <w:p>
            <w:pPr>
              <w:jc w:val="center"/>
              <w:ind w:right="1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76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2023</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3"/>
        </w:trPr>
        <w:tc>
          <w:tcPr>
            <w:tcW w:w="76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2024</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78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undiscounted lease payments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3"/>
        </w:trPr>
        <w:tc>
          <w:tcPr>
            <w:tcW w:w="782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Present value of lease liability</w:t>
            </w:r>
          </w:p>
        </w:tc>
        <w:tc>
          <w:tcPr>
            <w:tcW w:w="240" w:type="dxa"/>
            <w:vAlign w:val="bottom"/>
            <w:tcBorders>
              <w:bottom w:val="single" w:sz="8" w:color="auto"/>
            </w:tcBorders>
            <w:shd w:val="clear" w:color="auto" w:fill="CCEEFF"/>
          </w:tcPr>
          <w:p>
            <w:pPr>
              <w:jc w:val="right"/>
              <w:ind w:right="57"/>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479"/>
        <w:spacing w:after="0" w:line="274" w:lineRule="auto"/>
        <w:rPr>
          <w:sz w:val="20"/>
          <w:szCs w:val="20"/>
          <w:color w:val="auto"/>
        </w:rPr>
      </w:pPr>
      <w:r>
        <w:rPr>
          <w:rFonts w:ascii="Arial" w:cs="Arial" w:eastAsia="Arial" w:hAnsi="Arial"/>
          <w:sz w:val="17"/>
          <w:szCs w:val="17"/>
          <w:color w:val="auto"/>
        </w:rPr>
        <w:t>As of December 31, 2022, the remaining lease term was 1.5 years, and the discount rate was 5.0%. The operating cash outflows from our operating lease were $0.4 million for the year ended December 31, 2022.</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As disclosed in the Company’s Annual Report on Form 10-K for the fiscal year ended December 31, 2021, the minimum lease payments under all operating leases as of December 31, 2021 were as follows for the years ending:</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03"/>
        </w:trPr>
        <w:tc>
          <w:tcPr>
            <w:tcW w:w="7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2022</w:t>
            </w:r>
          </w:p>
        </w:tc>
        <w:tc>
          <w:tcPr>
            <w:tcW w:w="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w:t>
            </w: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December 31, 2023</w:t>
            </w:r>
          </w:p>
        </w:tc>
        <w:tc>
          <w:tcPr>
            <w:tcW w:w="4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234</w:t>
            </w:r>
          </w:p>
        </w:tc>
      </w:tr>
      <w:tr>
        <w:trPr>
          <w:trHeight w:val="203"/>
        </w:trPr>
        <w:tc>
          <w:tcPr>
            <w:tcW w:w="7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2024</w:t>
            </w:r>
          </w:p>
        </w:tc>
        <w:tc>
          <w:tcPr>
            <w:tcW w:w="4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138</w:t>
            </w:r>
          </w:p>
        </w:tc>
      </w:tr>
      <w:tr>
        <w:trPr>
          <w:trHeight w:val="196"/>
        </w:trPr>
        <w:tc>
          <w:tcPr>
            <w:tcW w:w="78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599</w:t>
            </w:r>
          </w:p>
        </w:tc>
      </w:tr>
      <w:tr>
        <w:trPr>
          <w:trHeight w:val="20"/>
        </w:trPr>
        <w:tc>
          <w:tcPr>
            <w:tcW w:w="7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59"/>
        <w:spacing w:after="0" w:line="246" w:lineRule="auto"/>
        <w:rPr>
          <w:sz w:val="20"/>
          <w:szCs w:val="20"/>
          <w:color w:val="auto"/>
        </w:rPr>
      </w:pPr>
      <w:r>
        <w:rPr>
          <w:rFonts w:ascii="Arial" w:cs="Arial" w:eastAsia="Arial" w:hAnsi="Arial"/>
          <w:sz w:val="18"/>
          <w:szCs w:val="18"/>
          <w:color w:val="auto"/>
        </w:rPr>
        <w:t>Prior to January 1, 2022, we recorded operating lease rent expense under ASC 840 on a straight-line basis over the period of the lease. Rent expense for the year ended December 31, 2021 was $0.4 million.</w:t>
      </w:r>
    </w:p>
    <w:p>
      <w:pPr>
        <w:spacing w:after="0" w:line="200" w:lineRule="exact"/>
        <w:rPr>
          <w:sz w:val="20"/>
          <w:szCs w:val="20"/>
          <w:color w:val="auto"/>
        </w:rPr>
      </w:pPr>
    </w:p>
    <w:p>
      <w:pPr>
        <w:spacing w:after="0" w:line="3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6. Stockholders’ equity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Initial Public Offering</w:t>
      </w:r>
    </w:p>
    <w:p>
      <w:pPr>
        <w:spacing w:after="0" w:line="23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On July 2, 2021, the Company closed its IPO of 8,050,000 shares of its common stock at a public offering price of $18.00 per share, which included 1,050,000 shares of common stock issued upon the exercise in full by the underwriters of their option to purchase additional shares, for net proceeds from the IPO, after deducting the underwriting discount and other offering expenses payable by the Company totaling $1.6 million, of $133.2 million.</w:t>
      </w:r>
    </w:p>
    <w:p>
      <w:pPr>
        <w:spacing w:after="0" w:line="20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Upon the closing of the IPO, all shares of convertible preferred stock were automatically converted into common stock. Series G convertible preferred stock was converted into common stock on a 15.819-for-1 basis, and all other shares of convertible preferred stock were automatically converted into common stock on a 39.548-for-1 basis. The conversion of the outstanding preferred stock resulted in an aggregate of 11,929,584 shares of common stock. As of December 31, 2022 and 2021, no preferred stock was outstanding.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Reverse Stock Split</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connection with the IPO, the Company’s Board of Directors and stockholders approved a 1-for-39.548 reverse stock split of the Company’s common stock. The reverse stock split became effective on June 22, 2021. The par value of the common stock was not adjusted as a result of the reverse stock split. Adjustments corresponding to the reverse stock split were made to the ratio at which the convertible preferred stock converted into common stock in connection with the closing of the IPO. Accordingly, all share and per-share amounts for all periods presented in these financial statements and notes thereto have been adjusted retroactively, where applicable, to reflect the reverse stock split and the adjustment of the conversion ratio of the convertible preferred stock.</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Warrants</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 connection with the IPO, the warrants to purchase shares of convertible preferred stock automatically converted into warrants to purchase common stock, resulting in the reclassification of the related convertible preferred stock warrant liability to additional paid-in capital. Upon the closing of the IPO, these warrants to purchase convertible preferred stock became exercisable for 716,131 shares of common stock upon conversion at a weighted average exercise price of $2.39 per share.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7. Stock-Based compensation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plans and activity</w:t>
      </w:r>
    </w:p>
    <w:p>
      <w:pPr>
        <w:spacing w:after="0" w:line="234"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In June 2001, the Company’s Board of Directors and stockholders established the 2001 Stock Incentive Award Plan (“2001 Plan”). Under the 2001 Plan, as amended, 2,674,749 shares of common stock had been reserved for the issuance of incentive stock options granted to employees, non-employee directors, consultants or independent contractors. Options granted under the 2001 Plan have vesting terms that range from the date of grant to four years and expire within a maximum term of 10 years from the grant date.</w:t>
      </w:r>
    </w:p>
    <w:p>
      <w:pPr>
        <w:spacing w:after="0" w:line="202"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In connection with the IPO in 2021, the Company’s Board of Directors and stockholders established the 2021 Equity Incentive Plan (“2021 Plan”). The number of shares of common stock initially reserved for issuance under the 2021 Plan was 1,854,490 newly reserved shares in addition to the 600,737 shares that remained available for issuance under the 2001 Plan. The shares available for issuance under the 2021 Plan automatically increase on the first day of each year, commencing January 1, 2022, and ending on (and including) January 1, 2031, in an amount equal to 5% of the total number of shares of the Company’s common stock outstanding on the last day of the calendar month before the date of each automatic increase, or such lesser number of shares as determined by the Board of Directors. The annual increase resulted in an additional 1,019,967 shares being reserved for issuance under the 2021 Plan as of January 1, 2022. The 2021 Plan provides for the issuance of stock options, stock appreciation rights, restricted stock awards, stock unit awards and other stock-based awards and cash incentive awards to employees, consultants and non-employee directors of the Company and its subsidiaries. Awards granted under the 2021 Plan will have such vesting schedules and other terms as determined by the Compensation Committee and stock options and stock appreciation rights have a maximum term of 10 years from the grant date. No further awards can be made under the 2001 Plan following the adoption of the 2021 Plan. As of December 31, 2022, there were 1,514,213 shares available for future issuance under the 2021 Plan.</w:t>
      </w:r>
    </w:p>
    <w:p>
      <w:pPr>
        <w:spacing w:after="0" w:line="213" w:lineRule="exact"/>
        <w:rPr>
          <w:sz w:val="20"/>
          <w:szCs w:val="20"/>
          <w:color w:val="auto"/>
        </w:rPr>
      </w:pPr>
    </w:p>
    <w:p>
      <w:pPr>
        <w:ind w:left="60" w:right="659"/>
        <w:spacing w:after="0" w:line="246" w:lineRule="auto"/>
        <w:rPr>
          <w:sz w:val="20"/>
          <w:szCs w:val="20"/>
          <w:color w:val="auto"/>
        </w:rPr>
      </w:pPr>
      <w:r>
        <w:rPr>
          <w:rFonts w:ascii="Arial" w:cs="Arial" w:eastAsia="Arial" w:hAnsi="Arial"/>
          <w:sz w:val="18"/>
          <w:szCs w:val="18"/>
          <w:color w:val="auto"/>
        </w:rPr>
        <w:t>Options are granted at exercise prices not less than the fair market value (as determined by the Board of Directors) of the Company’s common stock on the date of grant.</w:t>
      </w:r>
    </w:p>
    <w:p>
      <w:pPr>
        <w:spacing w:after="0" w:line="19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During the years 2008 through December 31, 2022, the Board of Directors authorized the grant of stock options for the purchase of shares of common stock to the employers of certain non-employee directors. The options were not granted under the 2001 Plan or the 2021 Plan, but terms are substantially the same as the Company’s standard form of option agreement for non-employee directors as they have an exercise price not less than the fair market value on the grant date and vest over 48 months from the date of grant.</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stock option activity:</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122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auto"/>
              </w:rPr>
              <w:t>Aggregate</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22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auto"/>
              </w:rPr>
              <w:t>Intrinsic</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Price</w:t>
            </w:r>
          </w:p>
        </w:tc>
        <w:tc>
          <w:tcPr>
            <w:tcW w:w="66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8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1,473,359</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3,745</w:t>
            </w: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Arial" w:cs="Arial" w:eastAsia="Arial" w:hAnsi="Arial"/>
                <w:sz w:val="14"/>
                <w:szCs w:val="14"/>
                <w:color w:val="auto"/>
              </w:rPr>
              <w:t>Granted</w:t>
            </w:r>
          </w:p>
        </w:tc>
        <w:tc>
          <w:tcPr>
            <w:tcW w:w="960" w:type="dxa"/>
            <w:vAlign w:val="bottom"/>
          </w:tcPr>
          <w:p>
            <w:pPr>
              <w:jc w:val="right"/>
              <w:spacing w:after="0"/>
              <w:rPr>
                <w:sz w:val="20"/>
                <w:szCs w:val="20"/>
                <w:color w:val="auto"/>
              </w:rPr>
            </w:pPr>
            <w:r>
              <w:rPr>
                <w:rFonts w:ascii="Arial" w:cs="Arial" w:eastAsia="Arial" w:hAnsi="Arial"/>
                <w:sz w:val="14"/>
                <w:szCs w:val="14"/>
                <w:color w:val="auto"/>
              </w:rPr>
              <w:t>1,411,717</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13.31</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Cancelled / Forfeited</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(76,294)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(59,341)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0.39</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2021</w:t>
            </w:r>
          </w:p>
        </w:tc>
        <w:tc>
          <w:tcPr>
            <w:tcW w:w="9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2,749,441</w:t>
            </w: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7.93</w:t>
            </w:r>
          </w:p>
        </w:tc>
        <w:tc>
          <w:tcPr>
            <w:tcW w:w="24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gridSpan w:val="2"/>
            <w:shd w:val="clear" w:color="auto" w:fill="CCEEFF"/>
          </w:tcPr>
          <w:p>
            <w:pPr>
              <w:ind w:left="660"/>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16,262</w:t>
            </w: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Arial" w:cs="Arial" w:eastAsia="Arial" w:hAnsi="Arial"/>
                <w:sz w:val="14"/>
                <w:szCs w:val="14"/>
                <w:color w:val="auto"/>
              </w:rPr>
              <w:t>Granted</w:t>
            </w:r>
          </w:p>
        </w:tc>
        <w:tc>
          <w:tcPr>
            <w:tcW w:w="960" w:type="dxa"/>
            <w:vAlign w:val="bottom"/>
          </w:tcPr>
          <w:p>
            <w:pPr>
              <w:jc w:val="right"/>
              <w:spacing w:after="0"/>
              <w:rPr>
                <w:sz w:val="20"/>
                <w:szCs w:val="20"/>
                <w:color w:val="auto"/>
              </w:rPr>
            </w:pPr>
            <w:r>
              <w:rPr>
                <w:rFonts w:ascii="Arial" w:cs="Arial" w:eastAsia="Arial" w:hAnsi="Arial"/>
                <w:sz w:val="14"/>
                <w:szCs w:val="14"/>
                <w:color w:val="auto"/>
              </w:rPr>
              <w:t>1,486,805</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8.14</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Cancelled / Forfeited</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(328,902)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(150,509)</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1.22</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2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2022</w:t>
            </w:r>
          </w:p>
        </w:tc>
        <w:tc>
          <w:tcPr>
            <w:tcW w:w="9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3,756,835</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8.28</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CCEEFF"/>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36,616</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20"/>
              <w:spacing w:after="0"/>
              <w:rPr>
                <w:sz w:val="20"/>
                <w:szCs w:val="20"/>
                <w:color w:val="auto"/>
              </w:rPr>
            </w:pPr>
            <w:r>
              <w:rPr>
                <w:rFonts w:ascii="Arial" w:cs="Arial" w:eastAsia="Arial" w:hAnsi="Arial"/>
                <w:sz w:val="14"/>
                <w:szCs w:val="14"/>
                <w:color w:val="auto"/>
              </w:rPr>
              <w:t>Options exercisable as of December 31, 2022</w:t>
            </w: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6.22</w:t>
            </w: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820" w:type="dxa"/>
            <w:vAlign w:val="bottom"/>
            <w:vMerge w:val="continue"/>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1,639,936</w:t>
            </w:r>
          </w:p>
        </w:tc>
        <w:tc>
          <w:tcPr>
            <w:tcW w:w="2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660"/>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19,360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379"/>
        <w:spacing w:after="0" w:line="246" w:lineRule="auto"/>
        <w:rPr>
          <w:sz w:val="20"/>
          <w:szCs w:val="20"/>
          <w:color w:val="auto"/>
        </w:rPr>
      </w:pPr>
      <w:r>
        <w:rPr>
          <w:rFonts w:ascii="Arial" w:cs="Arial" w:eastAsia="Arial" w:hAnsi="Arial"/>
          <w:sz w:val="18"/>
          <w:szCs w:val="18"/>
          <w:color w:val="auto"/>
        </w:rPr>
        <w:t>As of December 31, 2022, stock options outstanding included 8,796 options that were not granted under the 2001 Plan or the 2021 Plan. For options outstanding as of December 31, 2022, the weighted average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659"/>
        <w:spacing w:after="0" w:line="246" w:lineRule="auto"/>
        <w:rPr>
          <w:sz w:val="20"/>
          <w:szCs w:val="20"/>
          <w:color w:val="auto"/>
        </w:rPr>
      </w:pPr>
      <w:r>
        <w:rPr>
          <w:rFonts w:ascii="Arial" w:cs="Arial" w:eastAsia="Arial" w:hAnsi="Arial"/>
          <w:sz w:val="18"/>
          <w:szCs w:val="18"/>
          <w:color w:val="auto"/>
        </w:rPr>
        <w:t>remaining contractual life was 7.8 years. For options exercisable as of December 31, 2022, the weighted average remaining contractual life was 6.6 years.</w:t>
      </w:r>
    </w:p>
    <w:p>
      <w:pPr>
        <w:spacing w:after="0" w:line="197"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In connection with the IPO, the Company’s Board of Directors and stockholders also established an Employee Stock Purchase Plan (the “ESPP”). The number of shares of common stock initially reserved for issuance under the ESPP was 278,170. The shares available for issuance under the ESPP automatically increase on the first day of each year, commencing January 1, 2022, and ending on (and including) January 1, 2031, in an amount equal to 1% of the total number of shares of the Company’s common stock outstanding on the last day of the calendar month before the date of each automatic increase, or such lesser number of shares as determined by the Board of Directors. The annual increase resulted in an additional 203,993 shares being reserved for issuance under the ESPP as of January 1, 2022. The ESPP will permit certain of the Company’s U.S. employees to purchase shares of the Company’s common stock at a price per share not less than 85% of the lower of (i) the closing market price per share of the Company’s common stock on the first day of the applicable purchase period or (ii) the closing market price per share of the Company’s common stock on the purchase date at the end of the applicable six-month purchase period. The first purchase date under the ESPP was June 30, 2022. Accordingly, as of December 31, 2022, 113,890 shares of common stock have been purchased under the ESPP for $0.6 million of employee contributions. As of December 31, 2022, there were 368,273 shares available for issuance under the ESPP.</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 expense</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Company uses the Black-Scholes option pricing model to determine the fair value of stock options and ESPP purchase rights on the grant date. The Company measures stock-based compensation expense based on the grant date fair value of the award and recognizes compensation expense over the requisite service period, which is generally the vesting period for stock options and the offering period for ESPP purchase rights. The amount of stock-based compensation expense recognized for stock option awards during a period is based on the portion of the awards that are ultimately expected to vest. The amount of stock-based compensation expense recognized for ESPP purchase rights during a period is based on the estimated purchase rights as of the grant date. The Company accounts for forfeitures as they occur.</w:t>
      </w:r>
    </w:p>
    <w:p>
      <w:pPr>
        <w:spacing w:after="0" w:line="208" w:lineRule="exact"/>
        <w:rPr>
          <w:sz w:val="20"/>
          <w:szCs w:val="20"/>
          <w:color w:val="auto"/>
        </w:rPr>
      </w:pPr>
    </w:p>
    <w:p>
      <w:pPr>
        <w:ind w:left="60" w:right="99"/>
        <w:spacing w:after="0" w:line="274" w:lineRule="auto"/>
        <w:rPr>
          <w:sz w:val="20"/>
          <w:szCs w:val="20"/>
          <w:color w:val="auto"/>
        </w:rPr>
      </w:pPr>
      <w:r>
        <w:rPr>
          <w:rFonts w:ascii="Arial" w:cs="Arial" w:eastAsia="Arial" w:hAnsi="Arial"/>
          <w:sz w:val="17"/>
          <w:szCs w:val="17"/>
          <w:color w:val="auto"/>
        </w:rPr>
        <w:t>The following table provides the weighted average fair value of options granted to employees and the related assumptions used in the Black-Scholes option pricing model for the years ended December 31, 2022 and 2021.</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5"/>
        </w:trPr>
        <w:tc>
          <w:tcPr>
            <w:tcW w:w="52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fair value of options granted</w:t>
            </w:r>
          </w:p>
        </w:tc>
        <w:tc>
          <w:tcPr>
            <w:tcW w:w="3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4.72</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5.64</w:t>
            </w:r>
          </w:p>
        </w:tc>
        <w:tc>
          <w:tcPr>
            <w:tcW w:w="200" w:type="dxa"/>
            <w:vAlign w:val="bottom"/>
            <w:shd w:val="clear" w:color="auto" w:fill="CCEEFF"/>
          </w:tcPr>
          <w:p>
            <w:pPr>
              <w:spacing w:after="0"/>
              <w:rPr>
                <w:sz w:val="17"/>
                <w:szCs w:val="17"/>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Expected term (in years) — non-officer employees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 to 6.1</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color w:val="auto"/>
              </w:rPr>
              <w:t>2.7 to 6.1</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 — officer employees</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to 6.1</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r>
    </w:tbl>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760" w:type="dxa"/>
            <w:vAlign w:val="bottom"/>
          </w:tcPr>
          <w:p>
            <w:pPr>
              <w:spacing w:after="0"/>
              <w:rPr>
                <w:sz w:val="20"/>
                <w:szCs w:val="20"/>
                <w:color w:val="auto"/>
              </w:rPr>
            </w:pPr>
            <w:r>
              <w:rPr>
                <w:rFonts w:ascii="Arial" w:cs="Arial" w:eastAsia="Arial" w:hAnsi="Arial"/>
                <w:sz w:val="18"/>
                <w:szCs w:val="18"/>
                <w:color w:val="auto"/>
              </w:rPr>
              <w:t>Expected volatility</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56.3% to 60.4 %</w:t>
            </w:r>
          </w:p>
        </w:tc>
        <w:tc>
          <w:tcPr>
            <w:tcW w:w="1660" w:type="dxa"/>
            <w:vAlign w:val="bottom"/>
          </w:tcPr>
          <w:p>
            <w:pPr>
              <w:jc w:val="right"/>
              <w:spacing w:after="0"/>
              <w:rPr>
                <w:sz w:val="20"/>
                <w:szCs w:val="20"/>
                <w:color w:val="auto"/>
              </w:rPr>
            </w:pPr>
            <w:r>
              <w:rPr>
                <w:rFonts w:ascii="Arial" w:cs="Arial" w:eastAsia="Arial" w:hAnsi="Arial"/>
                <w:sz w:val="18"/>
                <w:szCs w:val="18"/>
                <w:color w:val="auto"/>
              </w:rPr>
              <w:t>56.1% to 63.4 %</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1.75% to 4.18 %</w:t>
            </w:r>
          </w:p>
        </w:tc>
        <w:tc>
          <w:tcPr>
            <w:tcW w:w="1660" w:type="dxa"/>
            <w:vAlign w:val="bottom"/>
          </w:tcPr>
          <w:p>
            <w:pPr>
              <w:jc w:val="right"/>
              <w:spacing w:after="0"/>
              <w:rPr>
                <w:sz w:val="20"/>
                <w:szCs w:val="20"/>
                <w:color w:val="auto"/>
              </w:rPr>
            </w:pPr>
            <w:r>
              <w:rPr>
                <w:rFonts w:ascii="Arial" w:cs="Arial" w:eastAsia="Arial" w:hAnsi="Arial"/>
                <w:sz w:val="18"/>
                <w:szCs w:val="18"/>
                <w:color w:val="auto"/>
              </w:rPr>
              <w:t>0.17% to 1.44 %</w:t>
            </w:r>
          </w:p>
        </w:tc>
      </w:tr>
    </w:tbl>
    <w:p>
      <w:pPr>
        <w:spacing w:after="0" w:line="188" w:lineRule="exact"/>
        <w:rPr>
          <w:sz w:val="20"/>
          <w:szCs w:val="20"/>
          <w:color w:val="auto"/>
        </w:rPr>
      </w:pPr>
    </w:p>
    <w:p>
      <w:pPr>
        <w:jc w:val="both"/>
        <w:ind w:left="60" w:right="919"/>
        <w:spacing w:after="0" w:line="274" w:lineRule="auto"/>
        <w:rPr>
          <w:sz w:val="20"/>
          <w:szCs w:val="20"/>
          <w:color w:val="auto"/>
        </w:rPr>
      </w:pPr>
      <w:r>
        <w:rPr>
          <w:rFonts w:ascii="Arial" w:cs="Arial" w:eastAsia="Arial" w:hAnsi="Arial"/>
          <w:sz w:val="17"/>
          <w:szCs w:val="17"/>
          <w:color w:val="auto"/>
        </w:rPr>
        <w:t>The following table provides the weighted average fair value of ESPP purchase rights and the related assumptions used in the Black-Scholes option pricing model for the year ended December 31, 2022.</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ind w:left="16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32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4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fair value per ESPP purchase right</w:t>
            </w:r>
          </w:p>
        </w:tc>
        <w:tc>
          <w:tcPr>
            <w:tcW w:w="30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4320" w:type="dxa"/>
            <w:vAlign w:val="bottom"/>
          </w:tcPr>
          <w:p>
            <w:pPr>
              <w:ind w:left="20"/>
              <w:spacing w:after="0" w:line="202" w:lineRule="exact"/>
              <w:rPr>
                <w:sz w:val="20"/>
                <w:szCs w:val="20"/>
                <w:color w:val="auto"/>
              </w:rPr>
            </w:pPr>
            <w:r>
              <w:rPr>
                <w:rFonts w:ascii="Arial" w:cs="Arial" w:eastAsia="Arial" w:hAnsi="Arial"/>
                <w:sz w:val="18"/>
                <w:szCs w:val="18"/>
                <w:color w:val="auto"/>
              </w:rPr>
              <w:t xml:space="preserve">Expected term (in years) </w:t>
            </w:r>
          </w:p>
        </w:tc>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3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51.3% to 62.9 %</w:t>
            </w:r>
          </w:p>
        </w:tc>
        <w:tc>
          <w:tcPr>
            <w:tcW w:w="20" w:type="dxa"/>
            <w:vAlign w:val="bottom"/>
          </w:tcPr>
          <w:p>
            <w:pPr>
              <w:spacing w:after="0"/>
              <w:rPr>
                <w:sz w:val="17"/>
                <w:szCs w:val="17"/>
                <w:color w:val="auto"/>
              </w:rPr>
            </w:pPr>
          </w:p>
        </w:tc>
      </w:tr>
      <w:tr>
        <w:trPr>
          <w:trHeight w:val="203"/>
        </w:trPr>
        <w:tc>
          <w:tcPr>
            <w:tcW w:w="4320" w:type="dxa"/>
            <w:vAlign w:val="bottom"/>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 %</w:t>
            </w:r>
          </w:p>
        </w:tc>
        <w:tc>
          <w:tcPr>
            <w:tcW w:w="20" w:type="dxa"/>
            <w:vAlign w:val="bottom"/>
          </w:tcPr>
          <w:p>
            <w:pPr>
              <w:spacing w:after="0"/>
              <w:rPr>
                <w:sz w:val="17"/>
                <w:szCs w:val="17"/>
                <w:color w:val="auto"/>
              </w:rPr>
            </w:pPr>
          </w:p>
        </w:tc>
      </w:tr>
      <w:tr>
        <w:trPr>
          <w:trHeight w:val="203"/>
        </w:trPr>
        <w:tc>
          <w:tcPr>
            <w:tcW w:w="4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3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0.22% to 2.52 %</w:t>
            </w:r>
          </w:p>
        </w:tc>
        <w:tc>
          <w:tcPr>
            <w:tcW w:w="20" w:type="dxa"/>
            <w:vAlign w:val="bottom"/>
          </w:tcPr>
          <w:p>
            <w:pPr>
              <w:spacing w:after="0"/>
              <w:rPr>
                <w:sz w:val="17"/>
                <w:szCs w:val="17"/>
                <w:color w:val="auto"/>
              </w:rPr>
            </w:pPr>
          </w:p>
        </w:tc>
      </w:tr>
      <w:tr>
        <w:trPr>
          <w:trHeight w:val="634"/>
        </w:trPr>
        <w:tc>
          <w:tcPr>
            <w:tcW w:w="4320" w:type="dxa"/>
            <w:vAlign w:val="bottom"/>
          </w:tcPr>
          <w:p>
            <w:pPr>
              <w:spacing w:after="0"/>
              <w:rPr>
                <w:sz w:val="24"/>
                <w:szCs w:val="24"/>
                <w:color w:val="auto"/>
              </w:rPr>
            </w:pPr>
          </w:p>
        </w:tc>
        <w:tc>
          <w:tcPr>
            <w:tcW w:w="3060" w:type="dxa"/>
            <w:vAlign w:val="bottom"/>
          </w:tcPr>
          <w:p>
            <w:pPr>
              <w:jc w:val="right"/>
              <w:ind w:right="273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3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were no ESPP purchase rights for the year ended December 31, 2021.</w:t>
      </w:r>
    </w:p>
    <w:p>
      <w:pPr>
        <w:spacing w:after="0" w:line="212"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 xml:space="preserve">The Company reviews these assumptions on a periodic basis and adjusts them, as necessary. The expected term of a stock option award was determined based on the Company’s analysis of historical exercise behavior while taking into consideration various participant demographics and option characteristics. The expected term of an ESPP purchase right is based on the offering period. </w:t>
      </w:r>
      <w:r>
        <w:rPr>
          <w:rFonts w:ascii="Arial" w:cs="Arial" w:eastAsia="Arial" w:hAnsi="Arial"/>
          <w:sz w:val="18"/>
          <w:szCs w:val="18"/>
          <w:color w:val="231F20"/>
        </w:rPr>
        <w:t>We utilize the simplified method to develop the</w:t>
      </w:r>
      <w:r>
        <w:rPr>
          <w:rFonts w:ascii="Arial" w:cs="Arial" w:eastAsia="Arial" w:hAnsi="Arial"/>
          <w:sz w:val="18"/>
          <w:szCs w:val="18"/>
          <w:color w:val="auto"/>
        </w:rPr>
        <w:t xml:space="preserve"> </w:t>
      </w:r>
      <w:r>
        <w:rPr>
          <w:rFonts w:ascii="Arial" w:cs="Arial" w:eastAsia="Arial" w:hAnsi="Arial"/>
          <w:sz w:val="18"/>
          <w:szCs w:val="18"/>
          <w:color w:val="231F20"/>
        </w:rPr>
        <w:t>estimate of the expected term</w:t>
      </w:r>
      <w:r>
        <w:rPr>
          <w:rFonts w:ascii="Arial" w:cs="Arial" w:eastAsia="Arial" w:hAnsi="Arial"/>
          <w:sz w:val="18"/>
          <w:szCs w:val="18"/>
          <w:color w:val="000000"/>
        </w:rPr>
        <w:t>. The expected volatility is based upon observed volatility of comparable public</w:t>
      </w:r>
      <w:r>
        <w:rPr>
          <w:rFonts w:ascii="Arial" w:cs="Arial" w:eastAsia="Arial" w:hAnsi="Arial"/>
          <w:sz w:val="18"/>
          <w:szCs w:val="18"/>
          <w:color w:val="231F20"/>
        </w:rPr>
        <w:t xml:space="preserve"> </w:t>
      </w:r>
      <w:r>
        <w:rPr>
          <w:rFonts w:ascii="Arial" w:cs="Arial" w:eastAsia="Arial" w:hAnsi="Arial"/>
          <w:sz w:val="18"/>
          <w:szCs w:val="18"/>
          <w:color w:val="000000"/>
        </w:rPr>
        <w:t>companies. The expected dividend yield is assumed to be zero, as the Company has never paid dividends and has no current plans to do so. The risk-free interest rate is based on the yield on U.S. Treasury securities for a period approximating the expected term of the options being valued.</w:t>
      </w:r>
    </w:p>
    <w:p>
      <w:pPr>
        <w:spacing w:after="0" w:line="208" w:lineRule="exact"/>
        <w:rPr>
          <w:sz w:val="20"/>
          <w:szCs w:val="20"/>
          <w:color w:val="auto"/>
        </w:rPr>
      </w:pPr>
    </w:p>
    <w:p>
      <w:pPr>
        <w:ind w:left="60" w:right="299"/>
        <w:spacing w:after="0" w:line="246" w:lineRule="auto"/>
        <w:rPr>
          <w:sz w:val="20"/>
          <w:szCs w:val="20"/>
          <w:color w:val="auto"/>
        </w:rPr>
      </w:pPr>
      <w:r>
        <w:rPr>
          <w:rFonts w:ascii="Arial" w:cs="Arial" w:eastAsia="Arial" w:hAnsi="Arial"/>
          <w:sz w:val="18"/>
          <w:szCs w:val="18"/>
          <w:color w:val="auto"/>
        </w:rPr>
        <w:t>The following table presents the components and classification of stock-based compensation expense for the periods indicated:</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Year Ended December 31,</w:t>
            </w:r>
          </w:p>
        </w:tc>
      </w:tr>
      <w:tr>
        <w:trPr>
          <w:trHeight w:val="175"/>
        </w:trPr>
        <w:tc>
          <w:tcPr>
            <w:tcW w:w="68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5"/>
                <w:szCs w:val="15"/>
                <w:color w:val="auto"/>
              </w:rPr>
            </w:pPr>
          </w:p>
        </w:tc>
        <w:tc>
          <w:tcPr>
            <w:tcW w:w="820" w:type="dxa"/>
            <w:vAlign w:val="bottom"/>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2021</w:t>
            </w:r>
          </w:p>
        </w:tc>
      </w:tr>
      <w:tr>
        <w:trPr>
          <w:trHeight w:val="196"/>
        </w:trPr>
        <w:tc>
          <w:tcPr>
            <w:tcW w:w="66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3,664</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1,912</w:t>
            </w:r>
          </w:p>
        </w:tc>
      </w:tr>
      <w:tr>
        <w:trPr>
          <w:trHeight w:val="203"/>
        </w:trPr>
        <w:tc>
          <w:tcPr>
            <w:tcW w:w="682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8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3,887</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1,912</w:t>
            </w: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3"/>
        </w:trPr>
        <w:tc>
          <w:tcPr>
            <w:tcW w:w="6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03"/>
        </w:trPr>
        <w:tc>
          <w:tcPr>
            <w:tcW w:w="6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Selling, general &amp; administrative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1,468</w:t>
            </w:r>
          </w:p>
        </w:tc>
      </w:tr>
      <w:tr>
        <w:trPr>
          <w:trHeight w:val="203"/>
        </w:trPr>
        <w:tc>
          <w:tcPr>
            <w:tcW w:w="6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Research &amp; development</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519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420</w:t>
            </w:r>
          </w:p>
        </w:tc>
      </w:tr>
      <w:tr>
        <w:trPr>
          <w:trHeight w:val="203"/>
        </w:trPr>
        <w:tc>
          <w:tcPr>
            <w:tcW w:w="6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r>
      <w:tr>
        <w:trPr>
          <w:trHeight w:val="196"/>
        </w:trPr>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3,887</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1,912</w:t>
            </w: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As of December 31, 2022, unrecognized compensation expense related to unvested stock-based compensation arrangements was $8.7 million. As of December 31, 2022, the related weighted average period over which the expense is expected to be recognized is approximately 2.5 years.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Early exercise of stock options</w:t>
      </w:r>
    </w:p>
    <w:p>
      <w:pPr>
        <w:spacing w:after="0" w:line="23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Under the 2001 Plan, the Company has issued options to certain executive officers with early-exercise provisions. The options may be exercised by the holder any time after they are granted. The Company has the right to repurchase, at the original option exercise price, shares issued pursuant to such early-exercise provisions, upon the termination of employment or death of the stockholder. This repurchase right expires based upon the original option vesting schedule. As of December 31, 2022 and 2021, there have been no early exercises and therefore there is no liability recorded for the early exercise of stock options.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8. Income taxes</w:t>
      </w:r>
    </w:p>
    <w:p>
      <w:pPr>
        <w:spacing w:after="0" w:line="238"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As of December 31, 2022 and 2021, a valuation allowance was recorded against all deferred tax assets due to the Company’s cumulative net loss position.</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our provision for income taxes are as follows for the periods indicated:</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060" w:type="dxa"/>
            <w:vAlign w:val="bottom"/>
            <w:gridSpan w:val="4"/>
          </w:tcPr>
          <w:p>
            <w:pPr>
              <w:ind w:left="6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5"/>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Current</w:t>
            </w:r>
          </w:p>
        </w:tc>
        <w:tc>
          <w:tcPr>
            <w:tcW w:w="2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2" w:lineRule="exact"/>
              <w:rPr>
                <w:sz w:val="20"/>
                <w:szCs w:val="20"/>
                <w:color w:val="auto"/>
              </w:rPr>
            </w:pPr>
            <w:r>
              <w:rPr>
                <w:rFonts w:ascii="Arial" w:cs="Arial" w:eastAsia="Arial" w:hAnsi="Arial"/>
                <w:sz w:val="18"/>
                <w:szCs w:val="18"/>
                <w:color w:val="auto"/>
              </w:rPr>
              <w:t>Federal and state</w:t>
            </w:r>
          </w:p>
        </w:tc>
        <w:tc>
          <w:tcPr>
            <w:tcW w:w="2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Foreign</w:t>
            </w:r>
          </w:p>
        </w:tc>
        <w:tc>
          <w:tcPr>
            <w:tcW w:w="242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46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line="196" w:lineRule="exact"/>
              <w:rPr>
                <w:sz w:val="20"/>
                <w:szCs w:val="20"/>
                <w:color w:val="auto"/>
              </w:rPr>
            </w:pPr>
            <w:r>
              <w:rPr>
                <w:rFonts w:ascii="Arial" w:cs="Arial" w:eastAsia="Arial" w:hAnsi="Arial"/>
                <w:sz w:val="18"/>
                <w:szCs w:val="18"/>
                <w:color w:val="auto"/>
              </w:rPr>
              <w:t>Total provision for income taxes</w:t>
            </w:r>
          </w:p>
        </w:tc>
        <w:tc>
          <w:tcPr>
            <w:tcW w:w="24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w:t>
            </w:r>
          </w:p>
        </w:tc>
        <w:tc>
          <w:tcPr>
            <w:tcW w:w="4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420" w:type="dxa"/>
            <w:vAlign w:val="bottom"/>
            <w:vMerge w:val="restart"/>
          </w:tcPr>
          <w:p>
            <w:pPr>
              <w:jc w:val="right"/>
              <w:ind w:right="1210"/>
              <w:spacing w:after="0"/>
              <w:rPr>
                <w:sz w:val="20"/>
                <w:szCs w:val="20"/>
                <w:color w:val="auto"/>
              </w:rPr>
            </w:pPr>
            <w:r>
              <w:rPr>
                <w:rFonts w:ascii="Arial" w:cs="Arial" w:eastAsia="Arial" w:hAnsi="Arial"/>
                <w:sz w:val="18"/>
                <w:szCs w:val="18"/>
                <w:color w:val="auto"/>
              </w:rPr>
              <w:t>94</w:t>
            </w: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4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19"/>
        <w:spacing w:after="0" w:line="246" w:lineRule="auto"/>
        <w:rPr>
          <w:sz w:val="20"/>
          <w:szCs w:val="20"/>
          <w:color w:val="auto"/>
        </w:rPr>
      </w:pPr>
      <w:r>
        <w:rPr>
          <w:rFonts w:ascii="Arial" w:cs="Arial" w:eastAsia="Arial" w:hAnsi="Arial"/>
          <w:sz w:val="18"/>
          <w:szCs w:val="18"/>
          <w:color w:val="auto"/>
        </w:rPr>
        <w:t>The reconciliation of taxes at the federal statutory rate to our provision for income taxes are as follows for the periods indicated:</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32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r>
      <w:tr>
        <w:trPr>
          <w:trHeight w:val="175"/>
        </w:trPr>
        <w:tc>
          <w:tcPr>
            <w:tcW w:w="57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r>
      <w:tr>
        <w:trPr>
          <w:trHeight w:val="196"/>
        </w:trPr>
        <w:tc>
          <w:tcPr>
            <w:tcW w:w="5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Tax at federal statutory rate</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44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87"/>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Permanent differences</w:t>
            </w:r>
          </w:p>
        </w:tc>
        <w:tc>
          <w:tcPr>
            <w:tcW w:w="170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(2.1)</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w:t>
            </w:r>
          </w:p>
        </w:tc>
        <w:tc>
          <w:tcPr>
            <w:tcW w:w="240" w:type="dxa"/>
            <w:vAlign w:val="bottom"/>
          </w:tcPr>
          <w:p>
            <w:pPr>
              <w:spacing w:after="0"/>
              <w:rPr>
                <w:sz w:val="17"/>
                <w:szCs w:val="17"/>
                <w:color w:val="auto"/>
              </w:rPr>
            </w:pPr>
          </w:p>
        </w:tc>
      </w:tr>
      <w:tr>
        <w:trPr>
          <w:trHeight w:val="203"/>
        </w:trPr>
        <w:tc>
          <w:tcPr>
            <w:tcW w:w="5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development ("R&amp;D") tax credit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Uncertain tax position</w:t>
            </w:r>
          </w:p>
        </w:tc>
        <w:tc>
          <w:tcPr>
            <w:tcW w:w="170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(0.3)</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(0.2)</w:t>
            </w:r>
          </w:p>
        </w:tc>
        <w:tc>
          <w:tcPr>
            <w:tcW w:w="240" w:type="dxa"/>
            <w:vAlign w:val="bottom"/>
          </w:tcPr>
          <w:p>
            <w:pPr>
              <w:spacing w:after="0"/>
              <w:rPr>
                <w:sz w:val="17"/>
                <w:szCs w:val="17"/>
                <w:color w:val="auto"/>
              </w:rPr>
            </w:pPr>
          </w:p>
        </w:tc>
      </w:tr>
      <w:tr>
        <w:trPr>
          <w:trHeight w:val="203"/>
        </w:trPr>
        <w:tc>
          <w:tcPr>
            <w:tcW w:w="5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State, net of federal benefit</w:t>
            </w:r>
          </w:p>
        </w:tc>
        <w:tc>
          <w:tcPr>
            <w:tcW w:w="1700" w:type="dxa"/>
            <w:vAlign w:val="bottom"/>
            <w:gridSpan w:val="2"/>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(0.5)</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7"/>
                <w:szCs w:val="17"/>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Deferred rate change</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4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5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1700" w:type="dxa"/>
            <w:vAlign w:val="bottom"/>
            <w:gridSpan w:val="2"/>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(19.5)</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spacing w:after="0"/>
              <w:rPr>
                <w:sz w:val="17"/>
                <w:szCs w:val="17"/>
                <w:color w:val="auto"/>
              </w:rPr>
            </w:pPr>
          </w:p>
        </w:tc>
      </w:tr>
      <w:tr>
        <w:trPr>
          <w:trHeight w:val="196"/>
        </w:trPr>
        <w:tc>
          <w:tcPr>
            <w:tcW w:w="570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(0.3)</w:t>
            </w:r>
          </w:p>
        </w:tc>
        <w:tc>
          <w:tcPr>
            <w:tcW w:w="44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87"/>
              </w:rPr>
              <w:t>%</w:t>
            </w:r>
          </w:p>
        </w:tc>
        <w:tc>
          <w:tcPr>
            <w:tcW w:w="1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(0.2)</w:t>
            </w:r>
          </w:p>
        </w:tc>
        <w:tc>
          <w:tcPr>
            <w:tcW w:w="2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w w:val="99"/>
              </w:rPr>
              <w:t>%</w:t>
            </w:r>
          </w:p>
        </w:tc>
      </w:tr>
      <w:tr>
        <w:trPr>
          <w:trHeight w:val="20"/>
        </w:trPr>
        <w:tc>
          <w:tcPr>
            <w:tcW w:w="57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Significant components of net deferred tax assets were as follows for the periods indicated:</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60" w:type="dxa"/>
            <w:vAlign w:val="bottom"/>
            <w:gridSpan w:val="5"/>
          </w:tcPr>
          <w:p>
            <w:pPr>
              <w:ind w:left="620"/>
              <w:spacing w:after="0"/>
              <w:rPr>
                <w:sz w:val="20"/>
                <w:szCs w:val="20"/>
                <w:color w:val="auto"/>
              </w:rPr>
            </w:pPr>
            <w:r>
              <w:rPr>
                <w:rFonts w:ascii="Arial" w:cs="Arial" w:eastAsia="Arial" w:hAnsi="Arial"/>
                <w:sz w:val="14"/>
                <w:szCs w:val="14"/>
                <w:b w:val="1"/>
                <w:bCs w:val="1"/>
                <w:color w:val="auto"/>
              </w:rPr>
              <w:t>Year Ended December 31,</w:t>
            </w:r>
          </w:p>
        </w:tc>
      </w:tr>
      <w:tr>
        <w:trPr>
          <w:trHeight w:val="175"/>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6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r>
      <w:tr>
        <w:trPr>
          <w:trHeight w:val="196"/>
        </w:trPr>
        <w:tc>
          <w:tcPr>
            <w:tcW w:w="4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16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80" w:type="dxa"/>
            <w:vAlign w:val="bottom"/>
          </w:tcPr>
          <w:p>
            <w:pPr>
              <w:ind w:left="120"/>
              <w:spacing w:after="0" w:line="202" w:lineRule="exact"/>
              <w:rPr>
                <w:sz w:val="20"/>
                <w:szCs w:val="20"/>
                <w:color w:val="auto"/>
              </w:rPr>
            </w:pPr>
            <w:r>
              <w:rPr>
                <w:rFonts w:ascii="Arial" w:cs="Arial" w:eastAsia="Arial" w:hAnsi="Arial"/>
                <w:sz w:val="18"/>
                <w:szCs w:val="18"/>
                <w:color w:val="auto"/>
              </w:rPr>
              <w:t>Net operating loss carryforwards</w:t>
            </w: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82,050</w:t>
            </w:r>
          </w:p>
        </w:tc>
        <w:tc>
          <w:tcPr>
            <w:tcW w:w="120" w:type="dxa"/>
            <w:vAlign w:val="bottom"/>
          </w:tcPr>
          <w:p>
            <w:pPr>
              <w:spacing w:after="0"/>
              <w:rPr>
                <w:sz w:val="17"/>
                <w:szCs w:val="17"/>
                <w:color w:val="auto"/>
              </w:rPr>
            </w:pP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74,716</w:t>
            </w:r>
          </w:p>
        </w:tc>
        <w:tc>
          <w:tcPr>
            <w:tcW w:w="20" w:type="dxa"/>
            <w:vAlign w:val="bottom"/>
          </w:tcPr>
          <w:p>
            <w:pPr>
              <w:spacing w:after="0"/>
              <w:rPr>
                <w:sz w:val="17"/>
                <w:szCs w:val="17"/>
                <w:color w:val="auto"/>
              </w:rPr>
            </w:pPr>
          </w:p>
        </w:tc>
      </w:tr>
      <w:tr>
        <w:trPr>
          <w:trHeight w:val="203"/>
        </w:trPr>
        <w:tc>
          <w:tcPr>
            <w:tcW w:w="4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R&amp;D tax credits</w:t>
            </w:r>
          </w:p>
        </w:tc>
        <w:tc>
          <w:tcPr>
            <w:tcW w:w="1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9,072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8,711</w:t>
            </w:r>
          </w:p>
        </w:tc>
        <w:tc>
          <w:tcPr>
            <w:tcW w:w="20" w:type="dxa"/>
            <w:vAlign w:val="bottom"/>
          </w:tcPr>
          <w:p>
            <w:pPr>
              <w:spacing w:after="0"/>
              <w:rPr>
                <w:sz w:val="17"/>
                <w:szCs w:val="17"/>
                <w:color w:val="auto"/>
              </w:rPr>
            </w:pPr>
          </w:p>
        </w:tc>
      </w:tr>
      <w:tr>
        <w:trPr>
          <w:trHeight w:val="203"/>
        </w:trPr>
        <w:tc>
          <w:tcPr>
            <w:tcW w:w="4180" w:type="dxa"/>
            <w:vAlign w:val="bottom"/>
          </w:tcPr>
          <w:p>
            <w:pPr>
              <w:ind w:left="120"/>
              <w:spacing w:after="0" w:line="202" w:lineRule="exact"/>
              <w:rPr>
                <w:sz w:val="20"/>
                <w:szCs w:val="20"/>
                <w:color w:val="auto"/>
              </w:rPr>
            </w:pPr>
            <w:r>
              <w:rPr>
                <w:rFonts w:ascii="Arial" w:cs="Arial" w:eastAsia="Arial" w:hAnsi="Arial"/>
                <w:sz w:val="18"/>
                <w:szCs w:val="18"/>
                <w:color w:val="auto"/>
              </w:rPr>
              <w:t>Capitalized R&amp;D expenses</w:t>
            </w:r>
          </w:p>
        </w:tc>
        <w:tc>
          <w:tcPr>
            <w:tcW w:w="16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8,412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8,577</w:t>
            </w:r>
          </w:p>
        </w:tc>
        <w:tc>
          <w:tcPr>
            <w:tcW w:w="20" w:type="dxa"/>
            <w:vAlign w:val="bottom"/>
          </w:tcPr>
          <w:p>
            <w:pPr>
              <w:spacing w:after="0"/>
              <w:rPr>
                <w:sz w:val="17"/>
                <w:szCs w:val="17"/>
                <w:color w:val="auto"/>
              </w:rPr>
            </w:pPr>
          </w:p>
        </w:tc>
      </w:tr>
      <w:tr>
        <w:trPr>
          <w:trHeight w:val="203"/>
        </w:trPr>
        <w:tc>
          <w:tcPr>
            <w:tcW w:w="4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Start-up costs</w:t>
            </w:r>
          </w:p>
        </w:tc>
        <w:tc>
          <w:tcPr>
            <w:tcW w:w="1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1,104</w:t>
            </w:r>
          </w:p>
        </w:tc>
        <w:tc>
          <w:tcPr>
            <w:tcW w:w="20" w:type="dxa"/>
            <w:vAlign w:val="bottom"/>
          </w:tcPr>
          <w:p>
            <w:pPr>
              <w:spacing w:after="0"/>
              <w:rPr>
                <w:sz w:val="17"/>
                <w:szCs w:val="17"/>
                <w:color w:val="auto"/>
              </w:rPr>
            </w:pPr>
          </w:p>
        </w:tc>
      </w:tr>
      <w:tr>
        <w:trPr>
          <w:trHeight w:val="203"/>
        </w:trPr>
        <w:tc>
          <w:tcPr>
            <w:tcW w:w="4180" w:type="dxa"/>
            <w:vAlign w:val="bottom"/>
          </w:tcPr>
          <w:p>
            <w:pPr>
              <w:ind w:left="120"/>
              <w:spacing w:after="0" w:line="202" w:lineRule="exact"/>
              <w:rPr>
                <w:sz w:val="20"/>
                <w:szCs w:val="20"/>
                <w:color w:val="auto"/>
              </w:rPr>
            </w:pPr>
            <w:r>
              <w:rPr>
                <w:rFonts w:ascii="Arial" w:cs="Arial" w:eastAsia="Arial" w:hAnsi="Arial"/>
                <w:sz w:val="18"/>
                <w:szCs w:val="18"/>
                <w:color w:val="auto"/>
              </w:rPr>
              <w:t>Non-qualified stock options</w:t>
            </w:r>
          </w:p>
        </w:tc>
        <w:tc>
          <w:tcPr>
            <w:tcW w:w="16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752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c>
          <w:tcPr>
            <w:tcW w:w="20" w:type="dxa"/>
            <w:vAlign w:val="bottom"/>
          </w:tcPr>
          <w:p>
            <w:pPr>
              <w:spacing w:after="0"/>
              <w:rPr>
                <w:sz w:val="17"/>
                <w:szCs w:val="17"/>
                <w:color w:val="auto"/>
              </w:rPr>
            </w:pPr>
          </w:p>
        </w:tc>
      </w:tr>
      <w:tr>
        <w:trPr>
          <w:trHeight w:val="203"/>
        </w:trPr>
        <w:tc>
          <w:tcPr>
            <w:tcW w:w="4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Property and equipment</w:t>
            </w:r>
          </w:p>
        </w:tc>
        <w:tc>
          <w:tcPr>
            <w:tcW w:w="1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r>
      <w:tr>
        <w:trPr>
          <w:trHeight w:val="203"/>
        </w:trPr>
        <w:tc>
          <w:tcPr>
            <w:tcW w:w="4180" w:type="dxa"/>
            <w:vAlign w:val="bottom"/>
          </w:tcPr>
          <w:p>
            <w:pPr>
              <w:ind w:left="120"/>
              <w:spacing w:after="0" w:line="202" w:lineRule="exact"/>
              <w:rPr>
                <w:sz w:val="20"/>
                <w:szCs w:val="20"/>
                <w:color w:val="auto"/>
              </w:rPr>
            </w:pPr>
            <w:r>
              <w:rPr>
                <w:rFonts w:ascii="Arial" w:cs="Arial" w:eastAsia="Arial" w:hAnsi="Arial"/>
                <w:sz w:val="18"/>
                <w:szCs w:val="18"/>
                <w:color w:val="auto"/>
              </w:rPr>
              <w:t>Accrued vacation</w:t>
            </w:r>
          </w:p>
        </w:tc>
        <w:tc>
          <w:tcPr>
            <w:tcW w:w="16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20" w:type="dxa"/>
            <w:vAlign w:val="bottom"/>
          </w:tcPr>
          <w:p>
            <w:pPr>
              <w:spacing w:after="0"/>
              <w:rPr>
                <w:sz w:val="17"/>
                <w:szCs w:val="17"/>
                <w:color w:val="auto"/>
              </w:rPr>
            </w:pPr>
          </w:p>
        </w:tc>
      </w:tr>
      <w:tr>
        <w:trPr>
          <w:trHeight w:val="203"/>
        </w:trPr>
        <w:tc>
          <w:tcPr>
            <w:tcW w:w="4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r>
      <w:tr>
        <w:trPr>
          <w:trHeight w:val="236"/>
        </w:trPr>
        <w:tc>
          <w:tcPr>
            <w:tcW w:w="418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deferred tax assets</w:t>
            </w:r>
          </w:p>
        </w:tc>
        <w:tc>
          <w:tcPr>
            <w:tcW w:w="168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101,836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93,759</w:t>
            </w:r>
          </w:p>
        </w:tc>
        <w:tc>
          <w:tcPr>
            <w:tcW w:w="20" w:type="dxa"/>
            <w:vAlign w:val="bottom"/>
          </w:tcPr>
          <w:p>
            <w:pPr>
              <w:spacing w:after="0"/>
              <w:rPr>
                <w:sz w:val="20"/>
                <w:szCs w:val="20"/>
                <w:color w:val="auto"/>
              </w:rPr>
            </w:pPr>
          </w:p>
        </w:tc>
      </w:tr>
      <w:tr>
        <w:trPr>
          <w:trHeight w:val="183"/>
        </w:trPr>
        <w:tc>
          <w:tcPr>
            <w:tcW w:w="41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Valuation allowance</w:t>
            </w:r>
          </w:p>
        </w:tc>
        <w:tc>
          <w:tcPr>
            <w:tcW w:w="168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(101,836)</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(93,759)</w:t>
            </w:r>
          </w:p>
        </w:tc>
        <w:tc>
          <w:tcPr>
            <w:tcW w:w="20" w:type="dxa"/>
            <w:vAlign w:val="bottom"/>
          </w:tcPr>
          <w:p>
            <w:pPr>
              <w:spacing w:after="0"/>
              <w:rPr>
                <w:sz w:val="15"/>
                <w:szCs w:val="15"/>
                <w:color w:val="auto"/>
              </w:rPr>
            </w:pPr>
          </w:p>
        </w:tc>
      </w:tr>
      <w:tr>
        <w:trPr>
          <w:trHeight w:val="196"/>
        </w:trPr>
        <w:tc>
          <w:tcPr>
            <w:tcW w:w="4180" w:type="dxa"/>
            <w:vAlign w:val="bottom"/>
          </w:tcPr>
          <w:p>
            <w:pPr>
              <w:ind w:left="20"/>
              <w:spacing w:after="0" w:line="196" w:lineRule="exact"/>
              <w:rPr>
                <w:sz w:val="20"/>
                <w:szCs w:val="20"/>
                <w:color w:val="auto"/>
              </w:rPr>
            </w:pPr>
            <w:r>
              <w:rPr>
                <w:rFonts w:ascii="Arial" w:cs="Arial" w:eastAsia="Arial" w:hAnsi="Arial"/>
                <w:sz w:val="18"/>
                <w:szCs w:val="18"/>
                <w:color w:val="auto"/>
              </w:rPr>
              <w:t>Net deferred tax assets</w:t>
            </w:r>
          </w:p>
        </w:tc>
        <w:tc>
          <w:tcPr>
            <w:tcW w:w="16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
        </w:trPr>
        <w:tc>
          <w:tcPr>
            <w:tcW w:w="4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As of December 31, 2022, the Company had federal and state net operating loss carryforwards (“NOLs”) of approximately $361.0 million and $6.2 million, respectively. The federal NOLs began expiring in 2021 and the state NOLs began expiring in 2020. As of December 31, 2022, the Company had federal and state tax credit carryforwards of approximately $9.3 million and $1.8 million, respectively. The federal tax credit carryforwards began expiring in 2021 and the state tax credits will begin expiring in 2028.</w:t>
      </w:r>
    </w:p>
    <w:p>
      <w:pPr>
        <w:spacing w:after="0" w:line="1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Utilization of NOLs may be subject to an annual limitation due to the ownership change limitations provided by Section 382 of the Internal Revenue Code of 1986, as amended, and similar state provisions. The Company has not performed a detailed analysis to determine whether an ownership change has occurred. Such a change of ownership would limit the Company’s utilization of the NOLs and could be triggered by subsequent sales of securities by the Company or its stockholders.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changes to our gross unrecognized tax benefits were as follows of the periods indicated:</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60" w:type="dxa"/>
            <w:vAlign w:val="bottom"/>
            <w:gridSpan w:val="5"/>
          </w:tcPr>
          <w:p>
            <w:pPr>
              <w:ind w:left="6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5"/>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56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Gross unrecognized tax benefits at beginning of year</w:t>
            </w:r>
          </w:p>
        </w:tc>
        <w:tc>
          <w:tcPr>
            <w:tcW w:w="15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00" w:type="dxa"/>
            <w:vAlign w:val="bottom"/>
          </w:tcPr>
          <w:p>
            <w:pPr>
              <w:ind w:left="20"/>
              <w:spacing w:after="0" w:line="202" w:lineRule="exact"/>
              <w:rPr>
                <w:sz w:val="20"/>
                <w:szCs w:val="20"/>
                <w:color w:val="auto"/>
              </w:rPr>
            </w:pPr>
            <w:r>
              <w:rPr>
                <w:rFonts w:ascii="Arial" w:cs="Arial" w:eastAsia="Arial" w:hAnsi="Arial"/>
                <w:sz w:val="18"/>
                <w:szCs w:val="18"/>
                <w:color w:val="auto"/>
              </w:rPr>
              <w:t>Gross increases:</w:t>
            </w:r>
          </w:p>
        </w:tc>
        <w:tc>
          <w:tcPr>
            <w:tcW w:w="1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Prior year tax positions</w:t>
            </w:r>
          </w:p>
        </w:tc>
        <w:tc>
          <w:tcPr>
            <w:tcW w:w="15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120"/>
              <w:spacing w:after="0" w:line="202" w:lineRule="exact"/>
              <w:rPr>
                <w:sz w:val="20"/>
                <w:szCs w:val="20"/>
                <w:color w:val="auto"/>
              </w:rPr>
            </w:pPr>
            <w:r>
              <w:rPr>
                <w:rFonts w:ascii="Arial" w:cs="Arial" w:eastAsia="Arial" w:hAnsi="Arial"/>
                <w:sz w:val="18"/>
                <w:szCs w:val="18"/>
                <w:color w:val="auto"/>
              </w:rPr>
              <w:t>Current year tax positions</w:t>
            </w:r>
          </w:p>
        </w:tc>
        <w:tc>
          <w:tcPr>
            <w:tcW w:w="15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Gross decreases:</w:t>
            </w:r>
          </w:p>
        </w:tc>
        <w:tc>
          <w:tcPr>
            <w:tcW w:w="1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120"/>
              <w:spacing w:after="0" w:line="202" w:lineRule="exact"/>
              <w:rPr>
                <w:sz w:val="20"/>
                <w:szCs w:val="20"/>
                <w:color w:val="auto"/>
              </w:rPr>
            </w:pPr>
            <w:r>
              <w:rPr>
                <w:rFonts w:ascii="Arial" w:cs="Arial" w:eastAsia="Arial" w:hAnsi="Arial"/>
                <w:sz w:val="18"/>
                <w:szCs w:val="18"/>
                <w:color w:val="auto"/>
              </w:rPr>
              <w:t>Prior year tax positions</w:t>
            </w:r>
          </w:p>
        </w:tc>
        <w:tc>
          <w:tcPr>
            <w:tcW w:w="1560" w:type="dxa"/>
            <w:vAlign w:val="bottom"/>
          </w:tcPr>
          <w:p>
            <w:pPr>
              <w:spacing w:after="0"/>
              <w:rPr>
                <w:sz w:val="17"/>
                <w:szCs w:val="17"/>
                <w:color w:val="auto"/>
              </w:rPr>
            </w:pP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3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Gross unrecognized tax benefits at end of year</w:t>
            </w:r>
          </w:p>
        </w:tc>
        <w:tc>
          <w:tcPr>
            <w:tcW w:w="156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2,046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60" w:type="dxa"/>
            <w:vAlign w:val="bottom"/>
            <w:vMerge w:val="restart"/>
          </w:tcPr>
          <w:p>
            <w:pPr>
              <w:jc w:val="right"/>
              <w:ind w:right="1210"/>
              <w:spacing w:after="0"/>
              <w:rPr>
                <w:sz w:val="20"/>
                <w:szCs w:val="20"/>
                <w:color w:val="auto"/>
              </w:rPr>
            </w:pPr>
            <w:r>
              <w:rPr>
                <w:rFonts w:ascii="Arial" w:cs="Arial" w:eastAsia="Arial" w:hAnsi="Arial"/>
                <w:sz w:val="18"/>
                <w:szCs w:val="18"/>
                <w:color w:val="auto"/>
              </w:rPr>
              <w:t>95</w:t>
            </w: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30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All of these unrecognized tax benefits, if recognized, would impact the effective tax rate before taking consideration of the valuation allowance. The amount of unrecognized tax benefits subjected to the valuation allowance was $1.6 million and $1.5 million for the years ended December 31, 2022 and 2021, respectively. The Company recognized approximately $66,000 and $61,000 of interest or penalties for the years ended December 31, 2022 and 2021, respectively. As of December 31, 2022 and 2021, total accrued interest and penalties were $0.4 million and $0.3 million, respectively. The Company recognizes accrued interest and penalties related to unrecognized tax positions as a component of income tax expense. The Company does not expect a significant change in the amount of unrecognized tax benefits in the next year.</w:t>
      </w:r>
    </w:p>
    <w:p>
      <w:pPr>
        <w:spacing w:after="0" w:line="194"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The Company is subject to U.S. federal income tax as well as income tax of multiple state and foreign jurisdictions. Tax years from 2001 through present remain open for audit under the applicable statute of limitations due to the carryover of the unused NOLs and tax credit carryforwards. The Company does not have any tax audits or other proceedings pending.</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9. Loss Per Share</w:t>
      </w:r>
    </w:p>
    <w:p>
      <w:pPr>
        <w:spacing w:after="0" w:line="238" w:lineRule="exact"/>
        <w:rPr>
          <w:sz w:val="20"/>
          <w:szCs w:val="20"/>
          <w:color w:val="auto"/>
        </w:rPr>
      </w:pPr>
    </w:p>
    <w:p>
      <w:pPr>
        <w:ind w:left="60" w:right="739"/>
        <w:spacing w:after="0" w:line="246" w:lineRule="auto"/>
        <w:rPr>
          <w:sz w:val="20"/>
          <w:szCs w:val="20"/>
          <w:color w:val="auto"/>
        </w:rPr>
      </w:pPr>
      <w:r>
        <w:rPr>
          <w:rFonts w:ascii="Arial" w:cs="Arial" w:eastAsia="Arial" w:hAnsi="Arial"/>
          <w:sz w:val="18"/>
          <w:szCs w:val="18"/>
          <w:color w:val="auto"/>
        </w:rPr>
        <w:t>Basic and diluted net loss per share attributable to common stockholders was calculated for the periods indicated (in thousands, except share and per share data):</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rPr>
              <w:t>Year Ended December 31,</w:t>
            </w:r>
          </w:p>
        </w:tc>
      </w:tr>
      <w:tr>
        <w:trPr>
          <w:trHeight w:val="175"/>
        </w:trPr>
        <w:tc>
          <w:tcPr>
            <w:tcW w:w="62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(41,428)</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(43,078)</w:t>
            </w:r>
          </w:p>
        </w:tc>
      </w:tr>
      <w:tr>
        <w:trPr>
          <w:trHeight w:val="202"/>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43"/>
        </w:trPr>
        <w:tc>
          <w:tcPr>
            <w:tcW w:w="62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Weighted average common shares outstanding — basic and diluted</w:t>
            </w:r>
          </w:p>
        </w:tc>
        <w:tc>
          <w:tcPr>
            <w:tcW w:w="3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20,532,838</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10,360,054</w:t>
            </w:r>
          </w:p>
        </w:tc>
      </w:tr>
      <w:tr>
        <w:trPr>
          <w:trHeight w:val="183"/>
        </w:trPr>
        <w:tc>
          <w:tcPr>
            <w:tcW w:w="62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Net loss per share attributable to common stockholders — basic and diluted</w:t>
            </w:r>
          </w:p>
        </w:tc>
        <w:tc>
          <w:tcPr>
            <w:tcW w:w="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(2.02)</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(4.16)</w:t>
            </w:r>
          </w:p>
        </w:tc>
      </w:tr>
      <w:tr>
        <w:trPr>
          <w:trHeight w:val="20"/>
        </w:trPr>
        <w:tc>
          <w:tcPr>
            <w:tcW w:w="6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Company’s potentially dilutive securities, which include stock options, shares of convertible preferred stock, warrants to purchase shares of convertible preferred stock and warrants to purchase shares of common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00" w:type="dxa"/>
            <w:vAlign w:val="bottom"/>
          </w:tcPr>
          <w:p>
            <w:pPr>
              <w:spacing w:after="0"/>
              <w:rPr>
                <w:sz w:val="14"/>
                <w:szCs w:val="14"/>
                <w:color w:val="auto"/>
              </w:rPr>
            </w:pPr>
          </w:p>
        </w:tc>
        <w:tc>
          <w:tcPr>
            <w:tcW w:w="2200" w:type="dxa"/>
            <w:vAlign w:val="bottom"/>
            <w:gridSpan w:val="3"/>
          </w:tcPr>
          <w:p>
            <w:pPr>
              <w:jc w:val="right"/>
              <w:ind w:right="155"/>
              <w:spacing w:after="0"/>
              <w:rPr>
                <w:sz w:val="20"/>
                <w:szCs w:val="20"/>
                <w:color w:val="auto"/>
              </w:rPr>
            </w:pPr>
            <w:r>
              <w:rPr>
                <w:rFonts w:ascii="Arial" w:cs="Arial" w:eastAsia="Arial" w:hAnsi="Arial"/>
                <w:sz w:val="14"/>
                <w:szCs w:val="14"/>
                <w:b w:val="1"/>
                <w:bCs w:val="1"/>
                <w:color w:val="auto"/>
              </w:rPr>
              <w:t>Year Ended December 31,</w:t>
            </w:r>
          </w:p>
        </w:tc>
      </w:tr>
      <w:tr>
        <w:trPr>
          <w:trHeight w:val="175"/>
        </w:trPr>
        <w:tc>
          <w:tcPr>
            <w:tcW w:w="67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to purchase common stock</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3,756,835</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2,749,441</w:t>
            </w:r>
          </w:p>
        </w:tc>
      </w:tr>
      <w:tr>
        <w:trPr>
          <w:trHeight w:val="203"/>
        </w:trPr>
        <w:tc>
          <w:tcPr>
            <w:tcW w:w="67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716,131</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716,131</w:t>
            </w:r>
          </w:p>
        </w:tc>
      </w:tr>
      <w:tr>
        <w:trPr>
          <w:trHeight w:val="196"/>
        </w:trPr>
        <w:tc>
          <w:tcPr>
            <w:tcW w:w="67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4,472,966</w:t>
            </w: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3,465,572</w:t>
            </w:r>
          </w:p>
        </w:tc>
      </w:tr>
      <w:tr>
        <w:trPr>
          <w:trHeight w:val="20"/>
        </w:trPr>
        <w:tc>
          <w:tcPr>
            <w:tcW w:w="6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10.Commitments and contingencies</w:t>
      </w:r>
    </w:p>
    <w:p>
      <w:pPr>
        <w:spacing w:after="0" w:line="238"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There have been no contingent liabilities requiring accrual or disclosure as of December 31, 2022 or December 31, 2021.</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11.Employee benefit plans</w:t>
      </w:r>
    </w:p>
    <w:p>
      <w:pPr>
        <w:spacing w:after="0" w:line="238"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The Company sponsors a voluntary defined-contribution employee retirement plan (the “401(k) plan”) for its U.S. employees. The 401(k) plan provides that each participant may contribute pre-tax or post-tax</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compensation up to the statutory limit allowable. Under the 401(k) plan, each participant is fully vested in his or her deferred salary contributions when contributed. The Company does not provide matching contributions to employees.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12.Segment, geographic information and revenue disaggregation</w:t>
      </w:r>
    </w:p>
    <w:p>
      <w:pPr>
        <w:spacing w:after="0" w:line="238"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chief operating decision maker for the Company is the Chief Executive Officer. The Chief Executive Officer reviews financial information presented on a consolidated basis, accompanied by information about revenue by geographic region,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 The Company and its Chief Executive Officer evaluate performance based primarily on revenue in the geographic locations in which the Company operates.</w:t>
      </w:r>
    </w:p>
    <w:p>
      <w:pPr>
        <w:spacing w:after="0" w:line="208"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Company derives all its revenues from sales to customers in Europe and the U.S. The following table provides revenue by country for each location accounting for more than 10% of the total revenue for the periods indicated:</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4"/>
                <w:szCs w:val="14"/>
                <w:color w:val="auto"/>
              </w:rPr>
            </w:pPr>
          </w:p>
        </w:tc>
      </w:tr>
      <w:tr>
        <w:trPr>
          <w:trHeight w:val="175"/>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196"/>
        </w:trPr>
        <w:tc>
          <w:tcPr>
            <w:tcW w:w="5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U.S.</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18,021</w:t>
            </w: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9,147</w:t>
            </w:r>
          </w:p>
        </w:tc>
      </w:tr>
      <w:tr>
        <w:trPr>
          <w:trHeight w:val="203"/>
        </w:trPr>
        <w:tc>
          <w:tcPr>
            <w:tcW w:w="5580" w:type="dxa"/>
            <w:vAlign w:val="bottom"/>
          </w:tcPr>
          <w:p>
            <w:pPr>
              <w:ind w:left="20"/>
              <w:spacing w:after="0" w:line="202" w:lineRule="exact"/>
              <w:rPr>
                <w:sz w:val="20"/>
                <w:szCs w:val="20"/>
                <w:color w:val="auto"/>
              </w:rPr>
            </w:pPr>
            <w:r>
              <w:rPr>
                <w:rFonts w:ascii="Arial" w:cs="Arial" w:eastAsia="Arial" w:hAnsi="Arial"/>
                <w:sz w:val="18"/>
                <w:szCs w:val="18"/>
                <w:color w:val="auto"/>
              </w:rPr>
              <w:t>Germany</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3,477</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3,250</w:t>
            </w:r>
          </w:p>
        </w:tc>
      </w:tr>
      <w:tr>
        <w:trPr>
          <w:trHeight w:val="203"/>
        </w:trPr>
        <w:tc>
          <w:tcPr>
            <w:tcW w:w="5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countries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971</w:t>
            </w:r>
          </w:p>
        </w:tc>
        <w:tc>
          <w:tcPr>
            <w:tcW w:w="4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639</w:t>
            </w:r>
          </w:p>
        </w:tc>
      </w:tr>
      <w:tr>
        <w:trPr>
          <w:trHeight w:val="196"/>
        </w:trPr>
        <w:tc>
          <w:tcPr>
            <w:tcW w:w="558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22,469</w:t>
            </w:r>
          </w:p>
        </w:tc>
        <w:tc>
          <w:tcPr>
            <w:tcW w:w="4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13,036</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2022 and 2021, long-lived assets were located primarily in the U.S.</w:t>
      </w:r>
    </w:p>
    <w:p>
      <w:pPr>
        <w:spacing w:after="0" w:line="21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right="139"/>
        <w:spacing w:after="0" w:line="261"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9A. Controls and Procedures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07"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management, with the participation of our chief executive officer and our chief financial officer, evaluated the effectiveness of our disclosure controls and procedures as of the end of the period covered by this Annual Report on Form 10-K. Based on that evaluation, our chief executive officer and our chief financial officer concluded that our disclosure controls and procedures were effective, at the reasonable assurance level, as of the end of the period covered by this Annual Report on Form 10-K.</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3" w:lineRule="exact"/>
        <w:rPr>
          <w:sz w:val="20"/>
          <w:szCs w:val="20"/>
          <w:color w:val="auto"/>
        </w:rPr>
      </w:pPr>
    </w:p>
    <w:p>
      <w:pPr>
        <w:ind w:left="60" w:right="299"/>
        <w:spacing w:after="0" w:line="261" w:lineRule="auto"/>
        <w:rPr>
          <w:sz w:val="20"/>
          <w:szCs w:val="20"/>
          <w:color w:val="auto"/>
        </w:rPr>
      </w:pPr>
      <w:r>
        <w:rPr>
          <w:rFonts w:ascii="Arial" w:cs="Arial" w:eastAsia="Arial" w:hAnsi="Arial"/>
          <w:sz w:val="17"/>
          <w:szCs w:val="17"/>
          <w:color w:val="auto"/>
        </w:rPr>
        <w:t>There were no changes in our internal control over financial reporting (as defined in Rules 13a-15(f) and 15d-15(f) under the Exchange Act) that occurred during the three months ended December 31, 2022, that have materially affected, or are reasonably likely to materially affect, our internal control over financial reporting.</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Management Report on Internal Control over Financial Reporting</w:t>
      </w:r>
    </w:p>
    <w:p>
      <w:pPr>
        <w:spacing w:after="0" w:line="19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accounting principles generally accepted in the United States of America (“U.S. GAAP”).</w:t>
      </w:r>
    </w:p>
    <w:p>
      <w:pPr>
        <w:spacing w:after="0" w:line="270"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Management assessed our internal control over financial reporting as of December 31, 2022 based on criteria established in Internal Control—Integrated Framework issued by the Committee of Sponsoring Organizations of the Treadway Commission (2013 framework). Management’s assessment included evaluation of elements such as the design and operating effectiveness of key financial reporting controls, process documentation, accounting policies, and our overall control environment.</w:t>
      </w:r>
    </w:p>
    <w:p>
      <w:pPr>
        <w:spacing w:after="0" w:line="27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Based on this assessment, management has concluded that our internal control over financial reporting was effective as of the end of the fiscal year to provide reasonable assurance regarding the reliability of financial reporting and the preparation of consolidated financial statements for external reporting purposes in accordance with U.S. GAAP. We reviewed the results of management’s assessment with the audit committee of our board of directors.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9B. Other Information</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Item 9C. Disclosure Regarding Foreign Jurisdictions that Prevent Inspections</w:t>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PART III</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38" w:lineRule="exact"/>
        <w:rPr>
          <w:sz w:val="20"/>
          <w:szCs w:val="20"/>
          <w:color w:val="auto"/>
        </w:rPr>
      </w:pPr>
    </w:p>
    <w:p>
      <w:pPr>
        <w:jc w:val="both"/>
        <w:ind w:left="60" w:right="139"/>
        <w:spacing w:after="0"/>
        <w:rPr>
          <w:sz w:val="20"/>
          <w:szCs w:val="20"/>
          <w:color w:val="auto"/>
        </w:rPr>
      </w:pPr>
      <w:r>
        <w:rPr>
          <w:rFonts w:ascii="Arial" w:cs="Arial" w:eastAsia="Arial" w:hAnsi="Arial"/>
          <w:sz w:val="18"/>
          <w:szCs w:val="18"/>
          <w:color w:val="auto"/>
        </w:rPr>
        <w:t>The information required by this Item is incorporated by reference to our definitive proxy statement for our 2023 annual meeting of stockholders to be filed with the SEC within 120 days of the fiscal year ended December 31,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11. Executive Compensation</w:t>
      </w:r>
    </w:p>
    <w:p>
      <w:pPr>
        <w:spacing w:after="0" w:line="238" w:lineRule="exact"/>
        <w:rPr>
          <w:sz w:val="20"/>
          <w:szCs w:val="20"/>
          <w:color w:val="auto"/>
        </w:rPr>
      </w:pPr>
    </w:p>
    <w:p>
      <w:pPr>
        <w:jc w:val="both"/>
        <w:ind w:left="60" w:right="139"/>
        <w:spacing w:after="0"/>
        <w:rPr>
          <w:sz w:val="20"/>
          <w:szCs w:val="20"/>
          <w:color w:val="auto"/>
        </w:rPr>
      </w:pPr>
      <w:r>
        <w:rPr>
          <w:rFonts w:ascii="Arial" w:cs="Arial" w:eastAsia="Arial" w:hAnsi="Arial"/>
          <w:sz w:val="18"/>
          <w:szCs w:val="18"/>
          <w:color w:val="auto"/>
        </w:rPr>
        <w:t>The information required by this Item is incorporated by reference to our definitive proxy statement for our 2023 annual meeting of stockholders to be filed with the SEC within 120 days of the fiscal year ended December 31, 2022.</w:t>
      </w:r>
    </w:p>
    <w:p>
      <w:pPr>
        <w:spacing w:after="0" w:line="171" w:lineRule="exact"/>
        <w:rPr>
          <w:sz w:val="20"/>
          <w:szCs w:val="20"/>
          <w:color w:val="auto"/>
        </w:rPr>
      </w:pPr>
    </w:p>
    <w:p>
      <w:pPr>
        <w:ind w:left="60" w:right="799"/>
        <w:spacing w:after="0" w:line="261"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83" w:lineRule="exact"/>
        <w:rPr>
          <w:sz w:val="20"/>
          <w:szCs w:val="20"/>
          <w:color w:val="auto"/>
        </w:rPr>
      </w:pPr>
    </w:p>
    <w:p>
      <w:pPr>
        <w:jc w:val="both"/>
        <w:ind w:left="60" w:right="139"/>
        <w:spacing w:after="0"/>
        <w:rPr>
          <w:sz w:val="20"/>
          <w:szCs w:val="20"/>
          <w:color w:val="auto"/>
        </w:rPr>
      </w:pPr>
      <w:r>
        <w:rPr>
          <w:rFonts w:ascii="Arial" w:cs="Arial" w:eastAsia="Arial" w:hAnsi="Arial"/>
          <w:sz w:val="18"/>
          <w:szCs w:val="18"/>
          <w:color w:val="auto"/>
        </w:rPr>
        <w:t>The information required by this Item is incorporated by reference to our definitive proxy statement for our 2023 annual meeting of stockholders to be filed with the SEC within 120 days of the fiscal year ended December 31,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Item 13. Certain Relationships and Related Transactions, and Director Independence</w:t>
      </w:r>
    </w:p>
    <w:p>
      <w:pPr>
        <w:spacing w:after="0" w:line="249" w:lineRule="exact"/>
        <w:rPr>
          <w:sz w:val="20"/>
          <w:szCs w:val="20"/>
          <w:color w:val="auto"/>
        </w:rPr>
      </w:pPr>
    </w:p>
    <w:p>
      <w:pPr>
        <w:jc w:val="both"/>
        <w:ind w:left="60" w:right="139"/>
        <w:spacing w:after="0"/>
        <w:rPr>
          <w:sz w:val="20"/>
          <w:szCs w:val="20"/>
          <w:color w:val="auto"/>
        </w:rPr>
      </w:pPr>
      <w:r>
        <w:rPr>
          <w:rFonts w:ascii="Arial" w:cs="Arial" w:eastAsia="Arial" w:hAnsi="Arial"/>
          <w:sz w:val="18"/>
          <w:szCs w:val="18"/>
          <w:color w:val="auto"/>
        </w:rPr>
        <w:t>The information required by this Item is incorporated by reference to our definitive proxy statement for our 2023 annual meeting of stockholders to be filed with the SEC within 120 days of the fiscal year ended December 31,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238" w:lineRule="exact"/>
        <w:rPr>
          <w:sz w:val="20"/>
          <w:szCs w:val="20"/>
          <w:color w:val="auto"/>
        </w:rPr>
      </w:pPr>
    </w:p>
    <w:p>
      <w:pPr>
        <w:jc w:val="both"/>
        <w:ind w:left="60" w:right="139"/>
        <w:spacing w:after="0"/>
        <w:rPr>
          <w:sz w:val="20"/>
          <w:szCs w:val="20"/>
          <w:color w:val="auto"/>
        </w:rPr>
      </w:pPr>
      <w:r>
        <w:rPr>
          <w:rFonts w:ascii="Arial" w:cs="Arial" w:eastAsia="Arial" w:hAnsi="Arial"/>
          <w:sz w:val="18"/>
          <w:szCs w:val="18"/>
          <w:color w:val="auto"/>
        </w:rPr>
        <w:t>The information required by this Item is incorporated by reference to our definitive proxy statement for our 2023 annual meeting of stockholders to be filed with the SEC within 120 days of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PART IV</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15. Exhibit and Financial Statement Schedules</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1. Financial Statements: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consolidated financial statements of the Company are set forth in Part II, Item 8:</w:t>
      </w:r>
    </w:p>
    <w:p>
      <w:pPr>
        <w:spacing w:after="0" w:line="21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Report of Independent Registered Public Accounting Firm (PCAOB ID 248)</w:t>
      </w:r>
    </w:p>
    <w:p>
      <w:pPr>
        <w:spacing w:after="0" w:line="21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Balance Sheets as of December 31, 2022 and 2021</w:t>
      </w:r>
    </w:p>
    <w:p>
      <w:pPr>
        <w:spacing w:after="0" w:line="212" w:lineRule="exact"/>
        <w:rPr>
          <w:sz w:val="20"/>
          <w:szCs w:val="20"/>
          <w:color w:val="auto"/>
        </w:rPr>
      </w:pPr>
    </w:p>
    <w:p>
      <w:pPr>
        <w:ind w:left="1340" w:right="839"/>
        <w:spacing w:after="0" w:line="246" w:lineRule="auto"/>
        <w:rPr>
          <w:sz w:val="20"/>
          <w:szCs w:val="20"/>
          <w:color w:val="auto"/>
        </w:rPr>
      </w:pPr>
      <w:r>
        <w:rPr>
          <w:rFonts w:ascii="Arial" w:cs="Arial" w:eastAsia="Arial" w:hAnsi="Arial"/>
          <w:sz w:val="18"/>
          <w:szCs w:val="18"/>
          <w:color w:val="auto"/>
        </w:rPr>
        <w:t>Consolidated Statements of Operations and Comprehensive Loss for the years ended December 31, 2022 and 2021</w:t>
      </w:r>
    </w:p>
    <w:p>
      <w:pPr>
        <w:spacing w:after="0" w:line="197" w:lineRule="exact"/>
        <w:rPr>
          <w:sz w:val="20"/>
          <w:szCs w:val="20"/>
          <w:color w:val="auto"/>
        </w:rPr>
      </w:pPr>
    </w:p>
    <w:p>
      <w:pPr>
        <w:ind w:left="1340" w:right="239"/>
        <w:spacing w:after="0" w:line="246" w:lineRule="auto"/>
        <w:rPr>
          <w:sz w:val="20"/>
          <w:szCs w:val="20"/>
          <w:color w:val="auto"/>
        </w:rPr>
      </w:pPr>
      <w:r>
        <w:rPr>
          <w:rFonts w:ascii="Arial" w:cs="Arial" w:eastAsia="Arial" w:hAnsi="Arial"/>
          <w:sz w:val="18"/>
          <w:szCs w:val="18"/>
          <w:color w:val="auto"/>
        </w:rPr>
        <w:t>Consolidated Statements of Convertible Preferred Stock and Stockholders’ Equity (Deficit) for the years ended December 31, 2022 and 2021</w:t>
      </w:r>
    </w:p>
    <w:p>
      <w:pPr>
        <w:spacing w:after="0" w:line="19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Statements of Cash Flows for the years ended December 31, 2022 and 2021</w:t>
      </w:r>
    </w:p>
    <w:p>
      <w:pPr>
        <w:spacing w:after="0" w:line="21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Notes to Consolidated Financial Statements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 Financial Statement Schedules:</w:t>
      </w:r>
    </w:p>
    <w:p>
      <w:pPr>
        <w:spacing w:after="0" w:line="198" w:lineRule="exact"/>
        <w:rPr>
          <w:sz w:val="20"/>
          <w:szCs w:val="20"/>
          <w:color w:val="auto"/>
        </w:rPr>
      </w:pPr>
    </w:p>
    <w:p>
      <w:pPr>
        <w:ind w:left="700" w:right="839"/>
        <w:spacing w:after="0" w:line="246" w:lineRule="auto"/>
        <w:rPr>
          <w:sz w:val="20"/>
          <w:szCs w:val="20"/>
          <w:color w:val="auto"/>
        </w:rPr>
      </w:pPr>
      <w:r>
        <w:rPr>
          <w:rFonts w:ascii="Arial" w:cs="Arial" w:eastAsia="Arial" w:hAnsi="Arial"/>
          <w:sz w:val="18"/>
          <w:szCs w:val="18"/>
          <w:color w:val="auto"/>
        </w:rPr>
        <w:t>[All financial statement schedules are omitted as the required information is inapplicable or the information is presented in the consolidated financial statements or related notes.]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 Exhibits: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the response to Item 15(b) below.</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 Exhibits:</w:t>
      </w:r>
    </w:p>
    <w:tbl>
      <w:tblPr>
        <w:tblLayout w:type="fixed"/>
        <w:tblInd w:w="4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400" w:type="dxa"/>
            <w:vAlign w:val="bottom"/>
            <w:gridSpan w:val="12"/>
          </w:tcPr>
          <w:p>
            <w:pPr>
              <w:jc w:val="center"/>
              <w:ind w:right="3500"/>
              <w:spacing w:after="0"/>
              <w:rPr>
                <w:sz w:val="20"/>
                <w:szCs w:val="20"/>
                <w:color w:val="auto"/>
              </w:rPr>
            </w:pPr>
            <w:r>
              <w:rPr>
                <w:rFonts w:ascii="Arial" w:cs="Arial" w:eastAsia="Arial" w:hAnsi="Arial"/>
                <w:sz w:val="22"/>
                <w:szCs w:val="22"/>
                <w:b w:val="1"/>
                <w:bCs w:val="1"/>
                <w:color w:val="auto"/>
                <w:w w:val="98"/>
              </w:rPr>
              <w:t>EXHIBIT INDEX</w:t>
            </w:r>
          </w:p>
        </w:tc>
      </w:tr>
      <w:tr>
        <w:trPr>
          <w:trHeight w:val="342"/>
        </w:trPr>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5"/>
        </w:trPr>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No.</w:t>
            </w:r>
          </w:p>
        </w:tc>
        <w:tc>
          <w:tcPr>
            <w:tcW w:w="8080" w:type="dxa"/>
            <w:vAlign w:val="bottom"/>
            <w:gridSpan w:val="14"/>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372"/>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7900" w:type="dxa"/>
            <w:vAlign w:val="bottom"/>
            <w:gridSpan w:val="13"/>
          </w:tcPr>
          <w:p>
            <w:pPr>
              <w:spacing w:after="0"/>
              <w:rPr>
                <w:rFonts w:ascii="Arial" w:cs="Arial" w:eastAsia="Arial" w:hAnsi="Arial"/>
                <w:sz w:val="18"/>
                <w:szCs w:val="18"/>
                <w:color w:val="0000EE"/>
              </w:rPr>
            </w:pPr>
            <w:hyperlink r:id="rId121">
              <w:r>
                <w:rPr>
                  <w:rFonts w:ascii="Arial" w:cs="Arial" w:eastAsia="Arial" w:hAnsi="Arial"/>
                  <w:sz w:val="18"/>
                  <w:szCs w:val="18"/>
                  <w:color w:val="0000EE"/>
                </w:rPr>
                <w:t>Amended and Restated Certificate of Incorporation of CVRx, Inc. (incorporated by reference to</w:t>
              </w:r>
            </w:hyperlink>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121">
              <w:r>
                <w:rPr>
                  <w:rFonts w:ascii="Arial" w:cs="Arial" w:eastAsia="Arial" w:hAnsi="Arial"/>
                  <w:sz w:val="18"/>
                  <w:szCs w:val="18"/>
                  <w:color w:val="0000EE"/>
                </w:rPr>
                <w:t>Exhibit 3.1 to the Company’s Current Report on Form 8-K filed on July 7, 2021)</w:t>
              </w:r>
            </w:hyperlink>
          </w:p>
        </w:tc>
        <w:tc>
          <w:tcPr>
            <w:tcW w:w="400" w:type="dxa"/>
            <w:vAlign w:val="bottom"/>
            <w:gridSpan w:val="3"/>
          </w:tcPr>
          <w:p>
            <w:pPr>
              <w:spacing w:after="0"/>
              <w:rPr>
                <w:sz w:val="15"/>
                <w:szCs w:val="15"/>
                <w:color w:val="auto"/>
              </w:rPr>
            </w:pPr>
          </w:p>
        </w:tc>
      </w:tr>
      <w:tr>
        <w:trPr>
          <w:trHeight w:val="20"/>
        </w:trPr>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7480" w:type="dxa"/>
            <w:vAlign w:val="bottom"/>
            <w:tcBorders>
              <w:bottom w:val="single" w:sz="8" w:color="0000EE"/>
            </w:tcBorders>
            <w:gridSpan w:val="9"/>
          </w:tcPr>
          <w:p>
            <w:pPr>
              <w:spacing w:after="0"/>
              <w:rPr>
                <w:rFonts w:ascii="Arial" w:cs="Arial" w:eastAsia="Arial" w:hAnsi="Arial"/>
                <w:sz w:val="18"/>
                <w:szCs w:val="18"/>
                <w:color w:val="0000EE"/>
                <w:w w:val="99"/>
              </w:rPr>
            </w:pPr>
            <w:hyperlink r:id="rId122">
              <w:r>
                <w:rPr>
                  <w:rFonts w:ascii="Arial" w:cs="Arial" w:eastAsia="Arial" w:hAnsi="Arial"/>
                  <w:sz w:val="18"/>
                  <w:szCs w:val="18"/>
                  <w:color w:val="0000EE"/>
                  <w:w w:val="99"/>
                </w:rPr>
                <w:t>Amended and Restated By-Laws of CVRx, Inc. (incorporated by reference to Exhibit 3.2 to the</w:t>
              </w:r>
            </w:hyperlink>
          </w:p>
        </w:tc>
        <w:tc>
          <w:tcPr>
            <w:tcW w:w="420" w:type="dxa"/>
            <w:vAlign w:val="bottom"/>
            <w:gridSpan w:val="4"/>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8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122">
              <w:r>
                <w:rPr>
                  <w:rFonts w:ascii="Arial" w:cs="Arial" w:eastAsia="Arial" w:hAnsi="Arial"/>
                  <w:sz w:val="18"/>
                  <w:szCs w:val="18"/>
                  <w:color w:val="0000EE"/>
                  <w:w w:val="99"/>
                </w:rPr>
                <w:t>Company’s Current Report on Form 8-K filed on July 7, 2021)</w:t>
              </w:r>
            </w:hyperlink>
          </w:p>
        </w:tc>
        <w:tc>
          <w:tcPr>
            <w:tcW w:w="3020" w:type="dxa"/>
            <w:vAlign w:val="bottom"/>
            <w:gridSpan w:val="10"/>
          </w:tcPr>
          <w:p>
            <w:pPr>
              <w:spacing w:after="0"/>
              <w:rPr>
                <w:sz w:val="15"/>
                <w:szCs w:val="15"/>
                <w:color w:val="auto"/>
              </w:rPr>
            </w:pPr>
          </w:p>
        </w:tc>
      </w:tr>
      <w:tr>
        <w:trPr>
          <w:trHeight w:val="38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7440" w:type="dxa"/>
            <w:vAlign w:val="bottom"/>
            <w:tcBorders>
              <w:bottom w:val="single" w:sz="8" w:color="0000EE"/>
            </w:tcBorders>
            <w:gridSpan w:val="8"/>
          </w:tcPr>
          <w:p>
            <w:pPr>
              <w:spacing w:after="0"/>
              <w:rPr>
                <w:rFonts w:ascii="Arial" w:cs="Arial" w:eastAsia="Arial" w:hAnsi="Arial"/>
                <w:sz w:val="18"/>
                <w:szCs w:val="18"/>
                <w:color w:val="0000EE"/>
                <w:w w:val="99"/>
              </w:rPr>
            </w:pPr>
            <w:hyperlink r:id="rId123">
              <w:r>
                <w:rPr>
                  <w:rFonts w:ascii="Arial" w:cs="Arial" w:eastAsia="Arial" w:hAnsi="Arial"/>
                  <w:sz w:val="18"/>
                  <w:szCs w:val="18"/>
                  <w:color w:val="0000EE"/>
                  <w:w w:val="99"/>
                </w:rPr>
                <w:t>Form of Common Stock Certificate (incorporated by reference to Exhibit 4.2 to the Company’s</w:t>
              </w:r>
            </w:hyperlink>
          </w:p>
        </w:tc>
        <w:tc>
          <w:tcPr>
            <w:tcW w:w="460" w:type="dxa"/>
            <w:vAlign w:val="bottom"/>
            <w:gridSpan w:val="5"/>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2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123">
              <w:r>
                <w:rPr>
                  <w:rFonts w:ascii="Arial" w:cs="Arial" w:eastAsia="Arial" w:hAnsi="Arial"/>
                  <w:sz w:val="18"/>
                  <w:szCs w:val="18"/>
                  <w:color w:val="0000EE"/>
                  <w:w w:val="99"/>
                </w:rPr>
                <w:t>Registration Statement on Form S-1/A filed on June 23, 2021)</w:t>
              </w:r>
            </w:hyperlink>
          </w:p>
        </w:tc>
        <w:tc>
          <w:tcPr>
            <w:tcW w:w="2980" w:type="dxa"/>
            <w:vAlign w:val="bottom"/>
            <w:gridSpan w:val="9"/>
          </w:tcPr>
          <w:p>
            <w:pPr>
              <w:spacing w:after="0"/>
              <w:rPr>
                <w:sz w:val="15"/>
                <w:szCs w:val="15"/>
                <w:color w:val="auto"/>
              </w:rPr>
            </w:pPr>
          </w:p>
        </w:tc>
      </w:tr>
      <w:tr>
        <w:trPr>
          <w:trHeight w:val="38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7320" w:type="dxa"/>
            <w:vAlign w:val="bottom"/>
            <w:tcBorders>
              <w:bottom w:val="single" w:sz="8" w:color="0000EE"/>
            </w:tcBorders>
            <w:gridSpan w:val="7"/>
          </w:tcPr>
          <w:p>
            <w:pPr>
              <w:spacing w:after="0"/>
              <w:rPr>
                <w:rFonts w:ascii="Arial" w:cs="Arial" w:eastAsia="Arial" w:hAnsi="Arial"/>
                <w:sz w:val="18"/>
                <w:szCs w:val="18"/>
                <w:color w:val="0000EE"/>
                <w:w w:val="99"/>
              </w:rPr>
            </w:pPr>
            <w:hyperlink r:id="rId124">
              <w:r>
                <w:rPr>
                  <w:rFonts w:ascii="Arial" w:cs="Arial" w:eastAsia="Arial" w:hAnsi="Arial"/>
                  <w:sz w:val="18"/>
                  <w:szCs w:val="18"/>
                  <w:color w:val="0000EE"/>
                  <w:w w:val="99"/>
                </w:rPr>
                <w:t>Warrant to Purchase Stock, dated as of September 12, 2014, issued by the Company to Life</w:t>
              </w:r>
            </w:hyperlink>
          </w:p>
        </w:tc>
        <w:tc>
          <w:tcPr>
            <w:tcW w:w="580" w:type="dxa"/>
            <w:vAlign w:val="bottom"/>
            <w:gridSpan w:val="6"/>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30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r:id="rId124">
              <w:r>
                <w:rPr>
                  <w:rFonts w:ascii="Arial" w:cs="Arial" w:eastAsia="Arial" w:hAnsi="Arial"/>
                  <w:sz w:val="18"/>
                  <w:szCs w:val="18"/>
                  <w:color w:val="0000EE"/>
                  <w:w w:val="99"/>
                </w:rPr>
                <w:t>Science Loans, LLC (incorporated by reference to Exhibit 4.3 to the Company’s Registration</w:t>
              </w:r>
            </w:hyperlink>
          </w:p>
        </w:tc>
        <w:tc>
          <w:tcPr>
            <w:tcW w:w="600" w:type="dxa"/>
            <w:vAlign w:val="bottom"/>
            <w:gridSpan w:val="7"/>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4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124">
              <w:r>
                <w:rPr>
                  <w:rFonts w:ascii="Arial" w:cs="Arial" w:eastAsia="Arial" w:hAnsi="Arial"/>
                  <w:sz w:val="18"/>
                  <w:szCs w:val="18"/>
                  <w:color w:val="0000EE"/>
                  <w:w w:val="99"/>
                </w:rPr>
                <w:t>Statement on Form S-1 filed on June 4, 2021)</w:t>
              </w:r>
            </w:hyperlink>
          </w:p>
        </w:tc>
        <w:tc>
          <w:tcPr>
            <w:tcW w:w="4260" w:type="dxa"/>
            <w:vAlign w:val="bottom"/>
            <w:gridSpan w:val="11"/>
          </w:tcPr>
          <w:p>
            <w:pPr>
              <w:spacing w:after="0"/>
              <w:rPr>
                <w:sz w:val="15"/>
                <w:szCs w:val="15"/>
                <w:color w:val="auto"/>
              </w:rPr>
            </w:pPr>
          </w:p>
        </w:tc>
      </w:tr>
      <w:tr>
        <w:trPr>
          <w:trHeight w:val="38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7560" w:type="dxa"/>
            <w:vAlign w:val="bottom"/>
            <w:tcBorders>
              <w:bottom w:val="single" w:sz="8" w:color="0000EE"/>
            </w:tcBorders>
            <w:gridSpan w:val="11"/>
          </w:tcPr>
          <w:p>
            <w:pPr>
              <w:spacing w:after="0"/>
              <w:rPr>
                <w:rFonts w:ascii="Arial" w:cs="Arial" w:eastAsia="Arial" w:hAnsi="Arial"/>
                <w:sz w:val="18"/>
                <w:szCs w:val="18"/>
                <w:color w:val="0000EE"/>
                <w:w w:val="99"/>
              </w:rPr>
            </w:pPr>
            <w:hyperlink r:id="rId125">
              <w:r>
                <w:rPr>
                  <w:rFonts w:ascii="Arial" w:cs="Arial" w:eastAsia="Arial" w:hAnsi="Arial"/>
                  <w:sz w:val="18"/>
                  <w:szCs w:val="18"/>
                  <w:color w:val="0000EE"/>
                  <w:w w:val="99"/>
                </w:rPr>
                <w:t>Warrant to Purchase Stock, dated as of September 12, 2014, issued by the Company to Silicon</w:t>
              </w:r>
            </w:hyperlink>
          </w:p>
        </w:tc>
        <w:tc>
          <w:tcPr>
            <w:tcW w:w="340" w:type="dxa"/>
            <w:vAlign w:val="bottom"/>
            <w:gridSpan w:val="2"/>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00" w:type="dxa"/>
            <w:vAlign w:val="bottom"/>
            <w:gridSpan w:val="13"/>
          </w:tcPr>
          <w:p>
            <w:pPr>
              <w:spacing w:after="0" w:line="182" w:lineRule="exact"/>
              <w:rPr>
                <w:rFonts w:ascii="Arial" w:cs="Arial" w:eastAsia="Arial" w:hAnsi="Arial"/>
                <w:sz w:val="18"/>
                <w:szCs w:val="18"/>
                <w:color w:val="0000EE"/>
              </w:rPr>
            </w:pPr>
            <w:hyperlink r:id="rId125">
              <w:r>
                <w:rPr>
                  <w:rFonts w:ascii="Arial" w:cs="Arial" w:eastAsia="Arial" w:hAnsi="Arial"/>
                  <w:sz w:val="18"/>
                  <w:szCs w:val="18"/>
                  <w:color w:val="0000EE"/>
                </w:rPr>
                <w:t>Valley Bank (incorporated by reference to Exhibit 4.4 to the Company’s Registration Statement on</w:t>
              </w:r>
            </w:hyperlink>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4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125">
              <w:r>
                <w:rPr>
                  <w:rFonts w:ascii="Arial" w:cs="Arial" w:eastAsia="Arial" w:hAnsi="Arial"/>
                  <w:sz w:val="18"/>
                  <w:szCs w:val="18"/>
                  <w:color w:val="0000EE"/>
                </w:rPr>
                <w:t>Form S-1 filed on June 4, 2021)</w:t>
              </w:r>
            </w:hyperlink>
          </w:p>
        </w:tc>
        <w:tc>
          <w:tcPr>
            <w:tcW w:w="160" w:type="dxa"/>
            <w:vAlign w:val="bottom"/>
          </w:tcPr>
          <w:p>
            <w:pPr>
              <w:spacing w:after="0"/>
              <w:rPr>
                <w:sz w:val="15"/>
                <w:szCs w:val="15"/>
                <w:color w:val="auto"/>
              </w:rPr>
            </w:pPr>
          </w:p>
        </w:tc>
      </w:tr>
      <w:tr>
        <w:trPr>
          <w:trHeight w:val="64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tcBorders>
              <w:top w:val="single" w:sz="8" w:color="0000EE"/>
            </w:tcBorders>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20" w:right="23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126">
        <w:r>
          <w:rPr>
            <w:rFonts w:ascii="Arial" w:cs="Arial" w:eastAsia="Arial" w:hAnsi="Arial"/>
            <w:sz w:val="18"/>
            <w:szCs w:val="18"/>
            <w:u w:val="single" w:color="auto"/>
            <w:color w:val="0000EE"/>
          </w:rPr>
          <w:t>Warrant to Purchase Stock, dated as of July 21, 2015, issued by the Company to Life Science</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Loans, LLC (incorporated by reference to Exhibit 4.5 to the Company’s Registration Statement on</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Form S-1 filed on June 4, 2021)</w:t>
        </w:r>
      </w:hyperlink>
    </w:p>
    <w:p>
      <w:pPr>
        <w:spacing w:after="0" w:line="189" w:lineRule="exact"/>
        <w:rPr>
          <w:rFonts w:ascii="Arial" w:cs="Arial" w:eastAsia="Arial" w:hAnsi="Arial"/>
          <w:sz w:val="18"/>
          <w:szCs w:val="18"/>
          <w:u w:val="single" w:color="auto"/>
          <w:color w:val="0000EE"/>
        </w:rPr>
      </w:pPr>
    </w:p>
    <w:p>
      <w:pPr>
        <w:ind w:left="1020" w:right="27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127">
        <w:r>
          <w:rPr>
            <w:rFonts w:ascii="Arial" w:cs="Arial" w:eastAsia="Arial" w:hAnsi="Arial"/>
            <w:sz w:val="18"/>
            <w:szCs w:val="18"/>
            <w:u w:val="single" w:color="auto"/>
            <w:color w:val="0000EE"/>
          </w:rPr>
          <w:t>Warrant to Purchase Stock, dated as of July 21, 2015, issued by the Company to Silicon Valley</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Bank (incorporated by reference to Exhibit 4.6 to the Company’s Registration Statement on Form</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S-1 filed on June 4, 2021)</w:t>
        </w:r>
      </w:hyperlink>
    </w:p>
    <w:p>
      <w:pPr>
        <w:spacing w:after="0" w:line="189" w:lineRule="exact"/>
        <w:rPr>
          <w:rFonts w:ascii="Arial" w:cs="Arial" w:eastAsia="Arial" w:hAnsi="Arial"/>
          <w:sz w:val="18"/>
          <w:szCs w:val="18"/>
          <w:u w:val="single" w:color="auto"/>
          <w:color w:val="0000EE"/>
        </w:rPr>
      </w:pPr>
    </w:p>
    <w:p>
      <w:pPr>
        <w:ind w:left="1020" w:right="13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4.6*</w:t>
      </w:r>
      <w:r>
        <w:rPr>
          <w:sz w:val="20"/>
          <w:szCs w:val="20"/>
          <w:color w:val="auto"/>
        </w:rPr>
        <w:tab/>
      </w:r>
      <w:hyperlink r:id="rId128">
        <w:r>
          <w:rPr>
            <w:rFonts w:ascii="Arial" w:cs="Arial" w:eastAsia="Arial" w:hAnsi="Arial"/>
            <w:sz w:val="18"/>
            <w:szCs w:val="18"/>
            <w:u w:val="single" w:color="auto"/>
            <w:color w:val="0000EE"/>
          </w:rPr>
          <w:t>Warrant to Purchase Stock, dated as of May 31, 2016, issued by the Company to Oxford Finance</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LLC (incorporated by reference to Exhibit 4.7 to the Company’s Registration Statement on Form S-</w:t>
        </w:r>
      </w:hyperlink>
      <w:hyperlink r:id="rId128">
        <w:r>
          <w:rPr>
            <w:rFonts w:ascii="Arial" w:cs="Arial" w:eastAsia="Arial" w:hAnsi="Arial"/>
            <w:sz w:val="18"/>
            <w:szCs w:val="18"/>
            <w:u w:val="single" w:color="auto"/>
            <w:color w:val="0000EE"/>
          </w:rPr>
          <w:t>1 filed on June 4, 2021)</w:t>
        </w:r>
      </w:hyperlink>
    </w:p>
    <w:p>
      <w:pPr>
        <w:spacing w:after="0" w:line="189" w:lineRule="exact"/>
        <w:rPr>
          <w:rFonts w:ascii="Arial" w:cs="Arial" w:eastAsia="Arial" w:hAnsi="Arial"/>
          <w:sz w:val="18"/>
          <w:szCs w:val="18"/>
          <w:u w:val="single" w:color="auto"/>
          <w:color w:val="0000EE"/>
        </w:rPr>
      </w:pPr>
    </w:p>
    <w:p>
      <w:pPr>
        <w:ind w:left="1020" w:right="13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4.7*</w:t>
      </w:r>
      <w:r>
        <w:rPr>
          <w:sz w:val="20"/>
          <w:szCs w:val="20"/>
          <w:color w:val="auto"/>
        </w:rPr>
        <w:tab/>
      </w:r>
      <w:hyperlink r:id="rId129">
        <w:r>
          <w:rPr>
            <w:rFonts w:ascii="Arial" w:cs="Arial" w:eastAsia="Arial" w:hAnsi="Arial"/>
            <w:sz w:val="18"/>
            <w:szCs w:val="18"/>
            <w:u w:val="single" w:color="auto"/>
            <w:color w:val="0000EE"/>
          </w:rPr>
          <w:t>Warrant to Purchase Stock, dated as of May 31, 2016, issued by the Company to Oxford Finance</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LLC (incorporated by reference to Exhibit 4.8 to the Company’s Registration Statement on Form S-</w:t>
        </w:r>
      </w:hyperlink>
      <w:hyperlink r:id="rId129">
        <w:r>
          <w:rPr>
            <w:rFonts w:ascii="Arial" w:cs="Arial" w:eastAsia="Arial" w:hAnsi="Arial"/>
            <w:sz w:val="18"/>
            <w:szCs w:val="18"/>
            <w:u w:val="single" w:color="auto"/>
            <w:color w:val="0000EE"/>
          </w:rPr>
          <w:t>1 filed on June 4, 2021)</w:t>
        </w:r>
      </w:hyperlink>
    </w:p>
    <w:p>
      <w:pPr>
        <w:spacing w:after="0" w:line="189" w:lineRule="exact"/>
        <w:rPr>
          <w:rFonts w:ascii="Arial" w:cs="Arial" w:eastAsia="Arial" w:hAnsi="Arial"/>
          <w:sz w:val="18"/>
          <w:szCs w:val="18"/>
          <w:u w:val="single" w:color="auto"/>
          <w:color w:val="0000EE"/>
        </w:rPr>
      </w:pPr>
    </w:p>
    <w:p>
      <w:pPr>
        <w:ind w:left="1020" w:right="13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4.8*</w:t>
      </w:r>
      <w:r>
        <w:rPr>
          <w:sz w:val="20"/>
          <w:szCs w:val="20"/>
          <w:color w:val="auto"/>
        </w:rPr>
        <w:tab/>
      </w:r>
      <w:hyperlink r:id="rId130">
        <w:r>
          <w:rPr>
            <w:rFonts w:ascii="Arial" w:cs="Arial" w:eastAsia="Arial" w:hAnsi="Arial"/>
            <w:sz w:val="18"/>
            <w:szCs w:val="18"/>
            <w:u w:val="single" w:color="auto"/>
            <w:color w:val="0000EE"/>
          </w:rPr>
          <w:t>Warrant to Purchase Stock, dated as of May 31, 2016, issued by the Company to Oxford Finance</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LLC (incorporated by reference to Exhibit 4.9 to the Company’s Registration Statement on Form S-</w:t>
        </w:r>
      </w:hyperlink>
      <w:hyperlink r:id="rId130">
        <w:r>
          <w:rPr>
            <w:rFonts w:ascii="Arial" w:cs="Arial" w:eastAsia="Arial" w:hAnsi="Arial"/>
            <w:sz w:val="18"/>
            <w:szCs w:val="18"/>
            <w:u w:val="single" w:color="auto"/>
            <w:color w:val="0000EE"/>
          </w:rPr>
          <w:t>1 filed on June 4, 2021)</w:t>
        </w:r>
      </w:hyperlink>
    </w:p>
    <w:p>
      <w:pPr>
        <w:spacing w:after="0" w:line="189" w:lineRule="exact"/>
        <w:rPr>
          <w:rFonts w:ascii="Arial" w:cs="Arial" w:eastAsia="Arial" w:hAnsi="Arial"/>
          <w:sz w:val="18"/>
          <w:szCs w:val="18"/>
          <w:u w:val="single" w:color="auto"/>
          <w:color w:val="0000EE"/>
        </w:rPr>
      </w:pPr>
    </w:p>
    <w:p>
      <w:pPr>
        <w:jc w:val="both"/>
        <w:ind w:left="1020" w:right="25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4.9*</w:t>
      </w:r>
      <w:r>
        <w:rPr>
          <w:sz w:val="20"/>
          <w:szCs w:val="20"/>
          <w:color w:val="auto"/>
        </w:rPr>
        <w:tab/>
      </w:r>
      <w:hyperlink r:id="rId131">
        <w:r>
          <w:rPr>
            <w:rFonts w:ascii="Arial" w:cs="Arial" w:eastAsia="Arial" w:hAnsi="Arial"/>
            <w:sz w:val="18"/>
            <w:szCs w:val="18"/>
            <w:u w:val="single" w:color="auto"/>
            <w:color w:val="0000EE"/>
          </w:rPr>
          <w:t>Warrant to Purchase Stock, dated as of May 31, 2016, issued by the Company to Oxford Finance</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LLC (incorporated by reference to Exhibit 4.10 to the Company’s Registration Statement on Form</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S-1 filed on June 4, 2021)</w:t>
        </w:r>
      </w:hyperlink>
    </w:p>
    <w:p>
      <w:pPr>
        <w:spacing w:after="0" w:line="189" w:lineRule="exact"/>
        <w:rPr>
          <w:rFonts w:ascii="Arial" w:cs="Arial" w:eastAsia="Arial" w:hAnsi="Arial"/>
          <w:sz w:val="18"/>
          <w:szCs w:val="18"/>
          <w:u w:val="single" w:color="auto"/>
          <w:color w:val="0000EE"/>
        </w:rPr>
      </w:pPr>
    </w:p>
    <w:p>
      <w:pPr>
        <w:ind w:left="1020" w:right="17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4.10</w:t>
      </w:r>
      <w:r>
        <w:rPr>
          <w:sz w:val="20"/>
          <w:szCs w:val="20"/>
          <w:color w:val="auto"/>
        </w:rPr>
        <w:tab/>
      </w:r>
      <w:hyperlink r:id="rId132">
        <w:r>
          <w:rPr>
            <w:rFonts w:ascii="Arial" w:cs="Arial" w:eastAsia="Arial" w:hAnsi="Arial"/>
            <w:sz w:val="18"/>
            <w:szCs w:val="18"/>
            <w:u w:val="single" w:color="auto"/>
            <w:color w:val="0000EE"/>
          </w:rPr>
          <w:t>Warrant to Purchase Series G Convertible Preferred Stock, dated as of September 28, 2018,</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issued by the Company to Biosense Webster, Inc. (incorporated by reference to Exhibit 4.12 to the</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Company’s Registration Statement on Form S-1 filed on June 4, 2021)</w:t>
        </w:r>
      </w:hyperlink>
    </w:p>
    <w:p>
      <w:pPr>
        <w:spacing w:after="0" w:line="189" w:lineRule="exact"/>
        <w:rPr>
          <w:rFonts w:ascii="Arial" w:cs="Arial" w:eastAsia="Arial" w:hAnsi="Arial"/>
          <w:sz w:val="18"/>
          <w:szCs w:val="18"/>
          <w:u w:val="single" w:color="auto"/>
          <w:color w:val="0000EE"/>
        </w:rPr>
      </w:pPr>
    </w:p>
    <w:p>
      <w:pPr>
        <w:ind w:left="1020" w:right="179" w:hanging="969"/>
        <w:spacing w:after="0" w:line="238"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4.11</w:t>
      </w:r>
      <w:r>
        <w:rPr>
          <w:sz w:val="20"/>
          <w:szCs w:val="20"/>
          <w:color w:val="auto"/>
        </w:rPr>
        <w:tab/>
      </w:r>
      <w:hyperlink r:id="rId133">
        <w:r>
          <w:rPr>
            <w:rFonts w:ascii="Arial" w:cs="Arial" w:eastAsia="Arial" w:hAnsi="Arial"/>
            <w:sz w:val="18"/>
            <w:szCs w:val="18"/>
            <w:u w:val="single" w:color="auto"/>
            <w:color w:val="0000EE"/>
          </w:rPr>
          <w:t>Warrant to Purchase Shares of Series G Preferred Stock (Loan A), dated as of September 30,</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2019, issued by the Company to Horizon Technology Finance Corporation, as assigned to Horizon</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Credit II LLC on February 6, 2020 (incorporated by reference to Exhibit 4.13 to the Company’s</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Registration Statement on Form S-1 filed on June 4, 2021)</w:t>
        </w:r>
      </w:hyperlink>
    </w:p>
    <w:p>
      <w:pPr>
        <w:spacing w:after="0" w:line="191" w:lineRule="exact"/>
        <w:rPr>
          <w:rFonts w:ascii="Arial" w:cs="Arial" w:eastAsia="Arial" w:hAnsi="Arial"/>
          <w:sz w:val="18"/>
          <w:szCs w:val="18"/>
          <w:u w:val="single" w:color="auto"/>
          <w:color w:val="0000EE"/>
        </w:rPr>
      </w:pPr>
    </w:p>
    <w:p>
      <w:pPr>
        <w:ind w:left="1020" w:right="179" w:hanging="969"/>
        <w:spacing w:after="0" w:line="238"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4.12</w:t>
      </w:r>
      <w:r>
        <w:rPr>
          <w:sz w:val="20"/>
          <w:szCs w:val="20"/>
          <w:color w:val="auto"/>
        </w:rPr>
        <w:tab/>
      </w:r>
      <w:hyperlink r:id="rId134">
        <w:r>
          <w:rPr>
            <w:rFonts w:ascii="Arial" w:cs="Arial" w:eastAsia="Arial" w:hAnsi="Arial"/>
            <w:sz w:val="18"/>
            <w:szCs w:val="18"/>
            <w:u w:val="single" w:color="auto"/>
            <w:color w:val="0000EE"/>
          </w:rPr>
          <w:t>Warrant to Purchase Shares of Series G Preferred Stock (Loan B), dated as of September 30,</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2019, issued by the Company to Horizon Technology Finance Corporation, as assigned to Horizon</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Credit II LLC on February 6, 2020 (incorporated by reference to Exhibit 4.14 to the Company’s</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Registration Statement on Form S-1 filed on June 4, 2021)</w:t>
        </w:r>
      </w:hyperlink>
    </w:p>
    <w:p>
      <w:pPr>
        <w:spacing w:after="0" w:line="191" w:lineRule="exact"/>
        <w:rPr>
          <w:rFonts w:ascii="Arial" w:cs="Arial" w:eastAsia="Arial" w:hAnsi="Arial"/>
          <w:sz w:val="18"/>
          <w:szCs w:val="18"/>
          <w:u w:val="single" w:color="auto"/>
          <w:color w:val="0000EE"/>
        </w:rPr>
      </w:pPr>
    </w:p>
    <w:p>
      <w:pPr>
        <w:ind w:left="1020" w:right="179" w:hanging="969"/>
        <w:spacing w:after="0" w:line="238"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4.13</w:t>
      </w:r>
      <w:r>
        <w:rPr>
          <w:sz w:val="20"/>
          <w:szCs w:val="20"/>
          <w:color w:val="auto"/>
        </w:rPr>
        <w:tab/>
      </w:r>
      <w:hyperlink r:id="rId135">
        <w:r>
          <w:rPr>
            <w:rFonts w:ascii="Arial" w:cs="Arial" w:eastAsia="Arial" w:hAnsi="Arial"/>
            <w:sz w:val="18"/>
            <w:szCs w:val="18"/>
            <w:u w:val="single" w:color="auto"/>
            <w:color w:val="0000EE"/>
          </w:rPr>
          <w:t>Warrant to Purchase Shares of Series G Preferred Stock (Loan C), dated as of September 30,</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2019, issued by the Company to Horizon Technology Finance Corporation, as assigned to Horizon</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Funding Trust 2019-1 on February 18, 2020 (incorporated by reference to Exhibit 4.15 to the</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Company’s Registration Statement on Form S-1 filed on June 4, 2021)</w:t>
        </w:r>
      </w:hyperlink>
    </w:p>
    <w:p>
      <w:pPr>
        <w:spacing w:after="0" w:line="191" w:lineRule="exact"/>
        <w:rPr>
          <w:rFonts w:ascii="Arial" w:cs="Arial" w:eastAsia="Arial" w:hAnsi="Arial"/>
          <w:sz w:val="18"/>
          <w:szCs w:val="18"/>
          <w:u w:val="single" w:color="auto"/>
          <w:color w:val="0000EE"/>
        </w:rPr>
      </w:pPr>
    </w:p>
    <w:p>
      <w:pPr>
        <w:ind w:left="1020" w:right="219" w:hanging="969"/>
        <w:spacing w:after="0" w:line="238"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4.14</w:t>
      </w:r>
      <w:r>
        <w:rPr>
          <w:sz w:val="20"/>
          <w:szCs w:val="20"/>
          <w:color w:val="auto"/>
        </w:rPr>
        <w:tab/>
      </w:r>
      <w:hyperlink r:id="rId136">
        <w:r>
          <w:rPr>
            <w:rFonts w:ascii="Arial" w:cs="Arial" w:eastAsia="Arial" w:hAnsi="Arial"/>
            <w:sz w:val="18"/>
            <w:szCs w:val="18"/>
            <w:u w:val="single" w:color="auto"/>
            <w:color w:val="0000EE"/>
          </w:rPr>
          <w:t>Warrant to Purchase Shares of Series G Preferred Stock (Loan D), dated as of September 30,</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2019, issued by the Company to Horizon Technology Finance Corporation as assigned to Horizon</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Funding Trust 2019-1 on February 18, 2020 (incorporated by reference to Exhibit 4.16 to the</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Company’s Registration Statement on Form S-1 filed on June 4, 2021)</w:t>
        </w:r>
      </w:hyperlink>
    </w:p>
    <w:p>
      <w:pPr>
        <w:spacing w:after="0" w:line="191" w:lineRule="exact"/>
        <w:rPr>
          <w:rFonts w:ascii="Arial" w:cs="Arial" w:eastAsia="Arial" w:hAnsi="Arial"/>
          <w:sz w:val="18"/>
          <w:szCs w:val="18"/>
          <w:u w:val="single" w:color="auto"/>
          <w:color w:val="0000EE"/>
        </w:rPr>
      </w:pPr>
    </w:p>
    <w:p>
      <w:pPr>
        <w:ind w:left="1020" w:right="519" w:hanging="957"/>
        <w:spacing w:after="0" w:line="246"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4.15</w:t>
      </w:r>
      <w:r>
        <w:rPr>
          <w:sz w:val="20"/>
          <w:szCs w:val="20"/>
          <w:color w:val="auto"/>
        </w:rPr>
        <w:tab/>
      </w:r>
      <w:hyperlink r:id="rId137">
        <w:r>
          <w:rPr>
            <w:rFonts w:ascii="Arial" w:cs="Arial" w:eastAsia="Arial" w:hAnsi="Arial"/>
            <w:sz w:val="18"/>
            <w:szCs w:val="18"/>
            <w:u w:val="single" w:color="auto"/>
            <w:color w:val="0000EE"/>
          </w:rPr>
          <w:t>Description of the Company’s Common Stock (incorporated by reference to Exhibit 4.16 to the</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Company’s Annual Report on Form 10-K filed on February 22, 2022)</w:t>
        </w:r>
      </w:hyperlink>
    </w:p>
    <w:p>
      <w:pPr>
        <w:spacing w:after="0" w:line="386" w:lineRule="exact"/>
        <w:rPr>
          <w:sz w:val="20"/>
          <w:szCs w:val="20"/>
          <w:color w:val="auto"/>
        </w:rPr>
      </w:pPr>
    </w:p>
    <w:p>
      <w:pPr>
        <w:ind w:left="1020" w:right="13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38">
        <w:r>
          <w:rPr>
            <w:rFonts w:ascii="Arial" w:cs="Arial" w:eastAsia="Arial" w:hAnsi="Arial"/>
            <w:sz w:val="18"/>
            <w:szCs w:val="18"/>
            <w:u w:val="single" w:color="auto"/>
            <w:color w:val="0000EE"/>
          </w:rPr>
          <w:t>Lease, dated October 13, 2008, by and between the Company and Duke Realty Limited</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Partnership (incorporated by reference to Exhibit 10.1 to the Company’s Registration Statement on</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Form S-1/A filed on June 23, 2021)</w:t>
        </w:r>
      </w:hyperlink>
    </w:p>
    <w:p>
      <w:pPr>
        <w:sectPr>
          <w:pgSz w:w="11900" w:h="16838" w:orient="portrait"/>
          <w:cols w:equalWidth="0" w:num="1">
            <w:col w:w="9019"/>
          </w:cols>
          <w:pgMar w:left="1440" w:top="517" w:right="1440" w:bottom="1440" w:gutter="0" w:footer="0" w:header="0"/>
        </w:sectPr>
      </w:pPr>
    </w:p>
    <w:p>
      <w:pPr>
        <w:spacing w:after="0" w:line="200" w:lineRule="exact"/>
        <w:rPr>
          <w:rFonts w:ascii="Arial" w:cs="Arial" w:eastAsia="Arial" w:hAnsi="Arial"/>
          <w:sz w:val="18"/>
          <w:szCs w:val="18"/>
          <w:u w:val="single" w:color="auto"/>
          <w:color w:val="0000EE"/>
        </w:rPr>
      </w:pPr>
    </w:p>
    <w:p>
      <w:pPr>
        <w:spacing w:after="0" w:line="205"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20" w:right="7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40">
        <w:r>
          <w:rPr>
            <w:rFonts w:ascii="Arial" w:cs="Arial" w:eastAsia="Arial" w:hAnsi="Arial"/>
            <w:sz w:val="18"/>
            <w:szCs w:val="18"/>
            <w:u w:val="single" w:color="auto"/>
            <w:color w:val="0000EE"/>
          </w:rPr>
          <w:t>First Lease Amendment, dated November 30, 2010, by and between the Company and Duke</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Realty Limited Partnership (incorporated by reference to Exhibit 10.2 to the Company’s Registration</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Statement on Form S-1/A filed on June 23, 2021)</w:t>
        </w:r>
      </w:hyperlink>
    </w:p>
    <w:p>
      <w:pPr>
        <w:spacing w:after="0" w:line="189" w:lineRule="exact"/>
        <w:rPr>
          <w:rFonts w:ascii="Arial" w:cs="Arial" w:eastAsia="Arial" w:hAnsi="Arial"/>
          <w:sz w:val="18"/>
          <w:szCs w:val="18"/>
          <w:u w:val="single" w:color="auto"/>
          <w:color w:val="0000EE"/>
        </w:rPr>
      </w:pPr>
    </w:p>
    <w:p>
      <w:pPr>
        <w:ind w:left="1020" w:right="7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41">
        <w:r>
          <w:rPr>
            <w:rFonts w:ascii="Arial" w:cs="Arial" w:eastAsia="Arial" w:hAnsi="Arial"/>
            <w:sz w:val="18"/>
            <w:szCs w:val="18"/>
            <w:u w:val="single" w:color="auto"/>
            <w:color w:val="0000EE"/>
          </w:rPr>
          <w:t>Second Lease Amendment, dated October 22, 2012, by and between the Company and Duke</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Realty Limited Partnership (incorporated by reference to Exhibit 10.3 to the Company’s Registration</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Statement on Form S-1/A filed on June 23, 2021)</w:t>
        </w:r>
      </w:hyperlink>
    </w:p>
    <w:p>
      <w:pPr>
        <w:spacing w:after="0" w:line="189" w:lineRule="exact"/>
        <w:rPr>
          <w:rFonts w:ascii="Arial" w:cs="Arial" w:eastAsia="Arial" w:hAnsi="Arial"/>
          <w:sz w:val="18"/>
          <w:szCs w:val="18"/>
          <w:u w:val="single" w:color="auto"/>
          <w:color w:val="0000EE"/>
        </w:rPr>
      </w:pPr>
    </w:p>
    <w:p>
      <w:pPr>
        <w:jc w:val="both"/>
        <w:ind w:left="1020" w:right="39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42">
        <w:r>
          <w:rPr>
            <w:rFonts w:ascii="Arial" w:cs="Arial" w:eastAsia="Arial" w:hAnsi="Arial"/>
            <w:sz w:val="18"/>
            <w:szCs w:val="18"/>
            <w:u w:val="single" w:color="auto"/>
            <w:color w:val="0000EE"/>
          </w:rPr>
          <w:t>Lease Amending Agreement No. 3, dated April 21, 2016, by and between the Company and AX</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CROSSTOWN VI L.P. (incorporated by reference to Exhibit 10.4 to the Company’s Registration</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Statement on Form S-1/A filed on June 23, 2021)</w:t>
        </w:r>
      </w:hyperlink>
    </w:p>
    <w:p>
      <w:pPr>
        <w:spacing w:after="0" w:line="189" w:lineRule="exact"/>
        <w:rPr>
          <w:rFonts w:ascii="Arial" w:cs="Arial" w:eastAsia="Arial" w:hAnsi="Arial"/>
          <w:sz w:val="18"/>
          <w:szCs w:val="18"/>
          <w:u w:val="single" w:color="auto"/>
          <w:color w:val="0000EE"/>
        </w:rPr>
      </w:pPr>
    </w:p>
    <w:p>
      <w:pPr>
        <w:jc w:val="both"/>
        <w:ind w:left="1020" w:right="41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43">
        <w:r>
          <w:rPr>
            <w:rFonts w:ascii="Arial" w:cs="Arial" w:eastAsia="Arial" w:hAnsi="Arial"/>
            <w:sz w:val="18"/>
            <w:szCs w:val="18"/>
            <w:u w:val="single" w:color="auto"/>
            <w:color w:val="0000EE"/>
          </w:rPr>
          <w:t>Lease Amending Agreement No. 4, dated May 18, 2020, by and between the Company and AX</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CROSSTOWN VI L.P. (incorporated by reference to Exhibit 10.5 to the Company’s Registration</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Statement on Form S-1/A filed on June 23, 2021)</w:t>
        </w:r>
      </w:hyperlink>
    </w:p>
    <w:p>
      <w:pPr>
        <w:spacing w:after="0" w:line="189" w:lineRule="exact"/>
        <w:rPr>
          <w:rFonts w:ascii="Arial" w:cs="Arial" w:eastAsia="Arial" w:hAnsi="Arial"/>
          <w:sz w:val="18"/>
          <w:szCs w:val="18"/>
          <w:u w:val="single" w:color="auto"/>
          <w:color w:val="0000EE"/>
        </w:rPr>
      </w:pPr>
    </w:p>
    <w:p>
      <w:pPr>
        <w:ind w:left="1020" w:right="11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44">
        <w:r>
          <w:rPr>
            <w:rFonts w:ascii="Arial" w:cs="Arial" w:eastAsia="Arial" w:hAnsi="Arial"/>
            <w:sz w:val="18"/>
            <w:szCs w:val="18"/>
            <w:u w:val="single" w:color="auto"/>
            <w:color w:val="0000EE"/>
          </w:rPr>
          <w:t>Eighth Amended and Restated Investors’ Rights Agreement, dated July 1, 2020, by and among the</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Company and the holders listed therein (incorporated by reference to Exhibit 10.7 to the</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Company’s Registration Statement on Form S-1/A filed on June 23, 2021)</w:t>
        </w:r>
      </w:hyperlink>
    </w:p>
    <w:p>
      <w:pPr>
        <w:spacing w:after="0" w:line="189" w:lineRule="exact"/>
        <w:rPr>
          <w:rFonts w:ascii="Arial" w:cs="Arial" w:eastAsia="Arial" w:hAnsi="Arial"/>
          <w:sz w:val="18"/>
          <w:szCs w:val="18"/>
          <w:u w:val="single" w:color="auto"/>
          <w:color w:val="0000EE"/>
        </w:rPr>
      </w:pPr>
    </w:p>
    <w:p>
      <w:pPr>
        <w:ind w:left="1020" w:right="219" w:hanging="969"/>
        <w:spacing w:after="0" w:line="246"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45">
        <w:r>
          <w:rPr>
            <w:rFonts w:ascii="Arial" w:cs="Arial" w:eastAsia="Arial" w:hAnsi="Arial"/>
            <w:sz w:val="18"/>
            <w:szCs w:val="18"/>
            <w:u w:val="single" w:color="auto"/>
            <w:color w:val="0000EE"/>
          </w:rPr>
          <w:t>2001 Stock Incentive Plan, as amended and restated (incorporated by reference to Exhibit 10.8 to</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the Company’s Registration Statement on Form S-1/A filed on June 23, 2021)</w:t>
        </w:r>
      </w:hyperlink>
    </w:p>
    <w:p>
      <w:pPr>
        <w:spacing w:after="0" w:line="183" w:lineRule="exact"/>
        <w:rPr>
          <w:sz w:val="20"/>
          <w:szCs w:val="20"/>
          <w:color w:val="auto"/>
        </w:rPr>
      </w:pPr>
    </w:p>
    <w:p>
      <w:pPr>
        <w:ind w:left="1020" w:right="31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46">
        <w:r>
          <w:rPr>
            <w:rFonts w:ascii="Arial" w:cs="Arial" w:eastAsia="Arial" w:hAnsi="Arial"/>
            <w:sz w:val="18"/>
            <w:szCs w:val="18"/>
            <w:u w:val="single" w:color="auto"/>
            <w:color w:val="0000EE"/>
          </w:rPr>
          <w:t>Form of Stock Option Agreement (Employees/Officers) pursuant to 2001 Stock Incentive Plan</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(incorporated by reference to Exhibit 10.2 to the Company’s Registration Statement on Form S-8</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filed on July 1, 2021)</w:t>
        </w:r>
      </w:hyperlink>
    </w:p>
    <w:p>
      <w:pPr>
        <w:spacing w:after="0" w:line="189" w:lineRule="exact"/>
        <w:rPr>
          <w:rFonts w:ascii="Arial" w:cs="Arial" w:eastAsia="Arial" w:hAnsi="Arial"/>
          <w:sz w:val="18"/>
          <w:szCs w:val="18"/>
          <w:u w:val="single" w:color="auto"/>
          <w:color w:val="0000EE"/>
        </w:rPr>
      </w:pPr>
    </w:p>
    <w:p>
      <w:pPr>
        <w:ind w:left="1020" w:right="15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47">
        <w:r>
          <w:rPr>
            <w:rFonts w:ascii="Arial" w:cs="Arial" w:eastAsia="Arial" w:hAnsi="Arial"/>
            <w:sz w:val="18"/>
            <w:szCs w:val="18"/>
            <w:u w:val="single" w:color="auto"/>
            <w:color w:val="0000EE"/>
          </w:rPr>
          <w:t>Form of Stock Option Agreement (Non-Employee Directors) pursuant to 2001 Stock Incentive Plan</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(incorporated by reference to Exhibit 10.3 to the Company’s Registration Statement on Form S-8</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filed on July 1, 2021)</w:t>
        </w:r>
      </w:hyperlink>
    </w:p>
    <w:p>
      <w:pPr>
        <w:spacing w:after="0" w:line="189" w:lineRule="exact"/>
        <w:rPr>
          <w:rFonts w:ascii="Arial" w:cs="Arial" w:eastAsia="Arial" w:hAnsi="Arial"/>
          <w:sz w:val="18"/>
          <w:szCs w:val="18"/>
          <w:u w:val="single" w:color="auto"/>
          <w:color w:val="0000EE"/>
        </w:rPr>
      </w:pPr>
    </w:p>
    <w:p>
      <w:pPr>
        <w:ind w:left="1020" w:right="1059" w:hanging="969"/>
        <w:spacing w:after="0" w:line="246"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48">
        <w:r>
          <w:rPr>
            <w:rFonts w:ascii="Arial" w:cs="Arial" w:eastAsia="Arial" w:hAnsi="Arial"/>
            <w:sz w:val="18"/>
            <w:szCs w:val="18"/>
            <w:u w:val="single" w:color="auto"/>
            <w:color w:val="0000EE"/>
          </w:rPr>
          <w:t>2021 Equity Incentive Plan (incorporated by reference to Exhibit 10.9 to the Company’s</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Registration Statement on Form S-1/A filed on June 23, 2021)</w:t>
        </w:r>
      </w:hyperlink>
    </w:p>
    <w:p>
      <w:pPr>
        <w:spacing w:after="0" w:line="183" w:lineRule="exact"/>
        <w:rPr>
          <w:sz w:val="20"/>
          <w:szCs w:val="20"/>
          <w:color w:val="auto"/>
        </w:rPr>
      </w:pPr>
    </w:p>
    <w:p>
      <w:pPr>
        <w:ind w:left="1020" w:right="31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49">
        <w:r>
          <w:rPr>
            <w:rFonts w:ascii="Arial" w:cs="Arial" w:eastAsia="Arial" w:hAnsi="Arial"/>
            <w:sz w:val="18"/>
            <w:szCs w:val="18"/>
            <w:u w:val="single" w:color="auto"/>
            <w:color w:val="0000EE"/>
          </w:rPr>
          <w:t>Form of Stock Option Agreement (Employees/Officers) pursuant to 2021 Equity Incentive Plan</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(incorporated by reference to Exhibit 10.5 to the Company’s Registration Statement on Form S-8</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filed on July 1, 2021)</w:t>
        </w:r>
      </w:hyperlink>
    </w:p>
    <w:p>
      <w:pPr>
        <w:spacing w:after="0" w:line="189" w:lineRule="exact"/>
        <w:rPr>
          <w:rFonts w:ascii="Arial" w:cs="Arial" w:eastAsia="Arial" w:hAnsi="Arial"/>
          <w:sz w:val="18"/>
          <w:szCs w:val="18"/>
          <w:u w:val="single" w:color="auto"/>
          <w:color w:val="0000EE"/>
        </w:rPr>
      </w:pPr>
    </w:p>
    <w:p>
      <w:pPr>
        <w:ind w:left="1020" w:right="9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50">
        <w:r>
          <w:rPr>
            <w:rFonts w:ascii="Arial" w:cs="Arial" w:eastAsia="Arial" w:hAnsi="Arial"/>
            <w:sz w:val="18"/>
            <w:szCs w:val="18"/>
            <w:u w:val="single" w:color="auto"/>
            <w:color w:val="0000EE"/>
          </w:rPr>
          <w:t>Form of Stock Option Agreement (Non-Employee Directors) pursuant to 2021 Equity Incentive Plan</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(incorporated by reference to Exhibit 10.6 to the Company’s Registration Statement on Form S-8</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filed on July 1, 2021)</w:t>
        </w:r>
      </w:hyperlink>
    </w:p>
    <w:p>
      <w:pPr>
        <w:spacing w:after="0" w:line="189" w:lineRule="exact"/>
        <w:rPr>
          <w:rFonts w:ascii="Arial" w:cs="Arial" w:eastAsia="Arial" w:hAnsi="Arial"/>
          <w:sz w:val="18"/>
          <w:szCs w:val="18"/>
          <w:u w:val="single" w:color="auto"/>
          <w:color w:val="0000EE"/>
        </w:rPr>
      </w:pPr>
    </w:p>
    <w:p>
      <w:pPr>
        <w:ind w:left="1020" w:right="719" w:hanging="969"/>
        <w:spacing w:after="0" w:line="246"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51">
        <w:r>
          <w:rPr>
            <w:rFonts w:ascii="Arial" w:cs="Arial" w:eastAsia="Arial" w:hAnsi="Arial"/>
            <w:sz w:val="18"/>
            <w:szCs w:val="18"/>
            <w:u w:val="single" w:color="auto"/>
            <w:color w:val="0000EE"/>
          </w:rPr>
          <w:t>Form of Non-Plan Stock Option Agreement (incorporated by reference to Exhibit 10.7 to the</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Company’s Registration Statement on Form S-8 filed on July 1, 2021)</w:t>
        </w:r>
      </w:hyperlink>
    </w:p>
    <w:p>
      <w:pPr>
        <w:spacing w:after="0" w:line="183" w:lineRule="exact"/>
        <w:rPr>
          <w:sz w:val="20"/>
          <w:szCs w:val="20"/>
          <w:color w:val="auto"/>
        </w:rPr>
      </w:pPr>
    </w:p>
    <w:p>
      <w:pPr>
        <w:ind w:left="1020" w:right="579" w:hanging="957"/>
        <w:spacing w:after="0" w:line="246"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52">
        <w:r>
          <w:rPr>
            <w:rFonts w:ascii="Arial" w:cs="Arial" w:eastAsia="Arial" w:hAnsi="Arial"/>
            <w:sz w:val="18"/>
            <w:szCs w:val="18"/>
            <w:u w:val="single" w:color="auto"/>
            <w:color w:val="0000EE"/>
          </w:rPr>
          <w:t>Employee Stock Purchase Plan (incorporated by reference to Exhibit 10.14 to the Company’s</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Annual Report on Form 10-K filed on February 22, 2022)</w:t>
        </w:r>
      </w:hyperlink>
    </w:p>
    <w:p>
      <w:pPr>
        <w:spacing w:after="0" w:line="386" w:lineRule="exact"/>
        <w:rPr>
          <w:sz w:val="20"/>
          <w:szCs w:val="20"/>
          <w:color w:val="auto"/>
        </w:rPr>
      </w:pPr>
    </w:p>
    <w:p>
      <w:pPr>
        <w:ind w:left="1020" w:right="339" w:hanging="969"/>
        <w:spacing w:after="0" w:line="246"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53">
        <w:r>
          <w:rPr>
            <w:rFonts w:ascii="Arial" w:cs="Arial" w:eastAsia="Arial" w:hAnsi="Arial"/>
            <w:sz w:val="18"/>
            <w:szCs w:val="18"/>
            <w:u w:val="single" w:color="auto"/>
            <w:color w:val="0000EE"/>
          </w:rPr>
          <w:t>Form of Executive Officer Employment Agreement (incorporated by reference to Exhibit 10.12 to</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the Company’s Registration Statement on Form S-1/A filed on June 23, 2021)</w:t>
        </w:r>
      </w:hyperlink>
    </w:p>
    <w:p>
      <w:pPr>
        <w:spacing w:after="0" w:line="183" w:lineRule="exact"/>
        <w:rPr>
          <w:sz w:val="20"/>
          <w:szCs w:val="20"/>
          <w:color w:val="auto"/>
        </w:rPr>
      </w:pPr>
    </w:p>
    <w:p>
      <w:pPr>
        <w:ind w:left="1020" w:right="31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54">
        <w:r>
          <w:rPr>
            <w:rFonts w:ascii="Arial" w:cs="Arial" w:eastAsia="Arial" w:hAnsi="Arial"/>
            <w:sz w:val="18"/>
            <w:szCs w:val="18"/>
            <w:u w:val="single" w:color="auto"/>
            <w:color w:val="0000EE"/>
          </w:rPr>
          <w:t>Form of Indemnification Agreement between the Company and its directors and officers</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(incorporated by reference to Exhibit 10.13 to the Company’s Registration Statement on Form S-</w:t>
        </w:r>
      </w:hyperlink>
      <w:hyperlink r:id="rId154">
        <w:r>
          <w:rPr>
            <w:rFonts w:ascii="Arial" w:cs="Arial" w:eastAsia="Arial" w:hAnsi="Arial"/>
            <w:sz w:val="18"/>
            <w:szCs w:val="18"/>
            <w:u w:val="single" w:color="auto"/>
            <w:color w:val="0000EE"/>
          </w:rPr>
          <w:t>1/A filed on June 23, 2021)</w:t>
        </w:r>
      </w:hyperlink>
    </w:p>
    <w:p>
      <w:pPr>
        <w:sectPr>
          <w:pgSz w:w="11900" w:h="16838" w:orient="portrait"/>
          <w:cols w:equalWidth="0" w:num="1">
            <w:col w:w="9019"/>
          </w:cols>
          <w:pgMar w:left="1440" w:top="517" w:right="1440" w:bottom="1440" w:gutter="0" w:footer="0" w:header="0"/>
        </w:sectPr>
      </w:pPr>
    </w:p>
    <w:p>
      <w:pPr>
        <w:spacing w:after="0" w:line="200" w:lineRule="exact"/>
        <w:rPr>
          <w:rFonts w:ascii="Arial" w:cs="Arial" w:eastAsia="Arial" w:hAnsi="Arial"/>
          <w:sz w:val="18"/>
          <w:szCs w:val="18"/>
          <w:u w:val="single" w:color="auto"/>
          <w:color w:val="0000EE"/>
        </w:rPr>
      </w:pPr>
    </w:p>
    <w:p>
      <w:pPr>
        <w:spacing w:after="0" w:line="205"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20" w:right="219" w:hanging="957"/>
        <w:spacing w:after="0" w:line="238"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56">
        <w:r>
          <w:rPr>
            <w:rFonts w:ascii="Arial" w:cs="Arial" w:eastAsia="Arial" w:hAnsi="Arial"/>
            <w:sz w:val="18"/>
            <w:szCs w:val="18"/>
            <w:u w:val="single" w:color="auto"/>
            <w:color w:val="0000EE"/>
          </w:rPr>
          <w:t>Loan and Security Agreement, dated as of October 31, 2022, among the Company, Innovatus Life</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Sciences Fund I, LP, as the collateral agent and a lender, and the other lenders from time to time</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party thereto (incorporated by reference to Exhibit 10.1 to the Company’s Current Report on Form</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8-K filed on November 1, 2022)</w:t>
        </w:r>
      </w:hyperlink>
    </w:p>
    <w:p>
      <w:pPr>
        <w:spacing w:after="0" w:line="191" w:lineRule="exact"/>
        <w:rPr>
          <w:rFonts w:ascii="Arial" w:cs="Arial" w:eastAsia="Arial" w:hAnsi="Arial"/>
          <w:sz w:val="18"/>
          <w:szCs w:val="18"/>
          <w:u w:val="single" w:color="auto"/>
          <w:color w:val="0000EE"/>
        </w:rPr>
      </w:pPr>
    </w:p>
    <w:p>
      <w:pPr>
        <w:ind w:left="1020" w:right="259" w:hanging="957"/>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57">
        <w:r>
          <w:rPr>
            <w:rFonts w:ascii="Arial" w:cs="Arial" w:eastAsia="Arial" w:hAnsi="Arial"/>
            <w:sz w:val="18"/>
            <w:szCs w:val="18"/>
            <w:u w:val="single" w:color="auto"/>
            <w:color w:val="0000EE"/>
          </w:rPr>
          <w:t>Equity Distribution Agreement, dated as of November 4, 2022, by and between the Company and</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Piper Sandler &amp; Co. (incorporated by reference to Exhibit 1.2 to the Company’s Registration</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Statement on Form S-3 filed on November 4, 2022)</w:t>
        </w:r>
      </w:hyperlink>
    </w:p>
    <w:p>
      <w:pPr>
        <w:spacing w:after="0" w:line="176" w:lineRule="exact"/>
        <w:rPr>
          <w:rFonts w:ascii="Arial" w:cs="Arial" w:eastAsia="Arial" w:hAnsi="Arial"/>
          <w:sz w:val="18"/>
          <w:szCs w:val="18"/>
          <w:u w:val="single" w:color="auto"/>
          <w:color w:val="0000EE"/>
        </w:rPr>
      </w:pPr>
    </w:p>
    <w:p>
      <w:pPr>
        <w:ind w:left="60"/>
        <w:spacing w:after="0"/>
        <w:tabs>
          <w:tab w:leader="none" w:pos="10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EE"/>
        </w:rPr>
        <w:t>Certification of Chief Executive Officer Pursuant to Section 302 of the Sarbanes-Oxley Act of 2002</w:t>
      </w:r>
    </w:p>
    <w:p>
      <w:pPr>
        <w:spacing w:after="0" w:line="212" w:lineRule="exact"/>
        <w:rPr>
          <w:rFonts w:ascii="Arial" w:cs="Arial" w:eastAsia="Arial" w:hAnsi="Arial"/>
          <w:sz w:val="18"/>
          <w:szCs w:val="18"/>
          <w:u w:val="single" w:color="auto"/>
          <w:color w:val="0000EE"/>
        </w:rPr>
      </w:pPr>
    </w:p>
    <w:p>
      <w:pPr>
        <w:ind w:left="60"/>
        <w:spacing w:after="0"/>
        <w:tabs>
          <w:tab w:leader="none" w:pos="10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EE"/>
        </w:rPr>
        <w:t>Certification of Chief Financial Officer Pursuant to Section 302 of the Sarbanes-Oxley Act of 2002</w:t>
      </w:r>
    </w:p>
    <w:p>
      <w:pPr>
        <w:spacing w:after="0" w:line="212" w:lineRule="exact"/>
        <w:rPr>
          <w:rFonts w:ascii="Arial" w:cs="Arial" w:eastAsia="Arial" w:hAnsi="Arial"/>
          <w:sz w:val="18"/>
          <w:szCs w:val="18"/>
          <w:u w:val="single" w:color="auto"/>
          <w:color w:val="0000EE"/>
        </w:rPr>
      </w:pPr>
    </w:p>
    <w:p>
      <w:pPr>
        <w:ind w:left="1020" w:right="139" w:hanging="969"/>
        <w:spacing w:after="0" w:line="261" w:lineRule="auto"/>
        <w:tabs>
          <w:tab w:leader="none" w:pos="10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EE"/>
        </w:rPr>
        <w:t>Certification of Chief Executive Officer Pursuant to 18 U.S.C. Section 1350, as adopted pursuant to Section 906 of the Sarbanes-Oxley Act of 2002</w:t>
      </w:r>
    </w:p>
    <w:p>
      <w:pPr>
        <w:spacing w:after="0" w:line="184" w:lineRule="exact"/>
        <w:rPr>
          <w:rFonts w:ascii="Arial" w:cs="Arial" w:eastAsia="Arial" w:hAnsi="Arial"/>
          <w:sz w:val="18"/>
          <w:szCs w:val="18"/>
          <w:u w:val="single" w:color="auto"/>
          <w:color w:val="0000EE"/>
        </w:rPr>
      </w:pPr>
    </w:p>
    <w:p>
      <w:pPr>
        <w:ind w:left="1020" w:right="199" w:hanging="969"/>
        <w:spacing w:after="0" w:line="261" w:lineRule="auto"/>
        <w:tabs>
          <w:tab w:leader="none" w:pos="10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EE"/>
        </w:rPr>
        <w:t>Certification of Chief Financial Officer Pursuant to 18 U.S.C. Section 1350, as adopted pursuant to Section 906 of the Sarbanes-Oxley Act of 2002</w:t>
      </w:r>
    </w:p>
    <w:p>
      <w:pPr>
        <w:spacing w:after="0" w:line="198" w:lineRule="exact"/>
        <w:rPr>
          <w:rFonts w:ascii="Arial" w:cs="Arial" w:eastAsia="Arial" w:hAnsi="Arial"/>
          <w:sz w:val="18"/>
          <w:szCs w:val="18"/>
          <w:u w:val="single" w:color="auto"/>
          <w:color w:val="0000EE"/>
        </w:rPr>
      </w:pPr>
    </w:p>
    <w:p>
      <w:pPr>
        <w:ind w:left="1020" w:right="239" w:hanging="969"/>
        <w:spacing w:after="0" w:line="246"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21.1</w:t>
      </w:r>
      <w:r>
        <w:rPr>
          <w:sz w:val="20"/>
          <w:szCs w:val="20"/>
          <w:color w:val="auto"/>
        </w:rPr>
        <w:tab/>
      </w:r>
      <w:hyperlink r:id="rId158">
        <w:r>
          <w:rPr>
            <w:rFonts w:ascii="Arial" w:cs="Arial" w:eastAsia="Arial" w:hAnsi="Arial"/>
            <w:sz w:val="18"/>
            <w:szCs w:val="18"/>
            <w:u w:val="single" w:color="auto"/>
            <w:color w:val="0000EE"/>
          </w:rPr>
          <w:t>List of Subsidiaries (incorporated by reference to Exhibit 21.1 to the Company’s Annual Report on</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Form 10-K filed on February 22, 2022)</w:t>
        </w:r>
      </w:hyperlink>
    </w:p>
    <w:p>
      <w:pPr>
        <w:spacing w:after="0" w:line="17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EE"/>
        </w:rPr>
        <w:t>Consent of Grant Thornton LLP, independent registered public accounting firm</w:t>
      </w:r>
    </w:p>
    <w:p>
      <w:pPr>
        <w:spacing w:after="0" w:line="212" w:lineRule="exact"/>
        <w:rPr>
          <w:sz w:val="20"/>
          <w:szCs w:val="20"/>
          <w:color w:val="auto"/>
        </w:rPr>
      </w:pPr>
    </w:p>
    <w:p>
      <w:pPr>
        <w:ind w:left="1020" w:right="299" w:hanging="969"/>
        <w:spacing w:after="0" w:line="277" w:lineRule="auto"/>
        <w:tabs>
          <w:tab w:leader="none" w:pos="1000" w:val="left"/>
        </w:tabs>
        <w:rPr>
          <w:sz w:val="20"/>
          <w:szCs w:val="20"/>
          <w:color w:val="auto"/>
        </w:rPr>
      </w:pPr>
      <w:r>
        <w:rPr>
          <w:rFonts w:ascii="Arial" w:cs="Arial" w:eastAsia="Arial" w:hAnsi="Arial"/>
          <w:sz w:val="18"/>
          <w:szCs w:val="18"/>
          <w:color w:val="auto"/>
        </w:rPr>
        <w:t>101.INS†</w:t>
        <w:tab/>
        <w:t>Inline XBRL Instance Document – the instance document does not appear in the Interactive Data File because its XBRL tags are embedded within the Inline XBRL document</w:t>
      </w:r>
    </w:p>
    <w:p>
      <w:pPr>
        <w:spacing w:after="0" w:line="143"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7"/>
          <w:szCs w:val="17"/>
          <w:color w:val="auto"/>
        </w:rPr>
        <w:t>Inline XBRL Taxonomy Extension Schema Document</w:t>
      </w:r>
    </w:p>
    <w:p>
      <w:pPr>
        <w:spacing w:after="0" w:line="21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7"/>
          <w:szCs w:val="17"/>
          <w:color w:val="auto"/>
        </w:rPr>
        <w:t>Inline XBRL Taxonomy Extension Calculation Linkbase Document</w:t>
      </w:r>
    </w:p>
    <w:p>
      <w:pPr>
        <w:spacing w:after="0" w:line="21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7"/>
          <w:szCs w:val="17"/>
          <w:color w:val="auto"/>
        </w:rPr>
        <w:t>Inline XBRL Taxonomy Extension Definition Linkbase Document</w:t>
      </w:r>
    </w:p>
    <w:p>
      <w:pPr>
        <w:spacing w:after="0" w:line="21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7"/>
          <w:szCs w:val="17"/>
          <w:color w:val="auto"/>
        </w:rPr>
        <w:t>Inline XBRL Taxonomy Extension Label Linkbase Document</w:t>
      </w:r>
    </w:p>
    <w:p>
      <w:pPr>
        <w:spacing w:after="0" w:line="21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7"/>
          <w:szCs w:val="17"/>
          <w:color w:val="auto"/>
        </w:rPr>
        <w:t>Inline XBRL Taxonomy Extension Presentation Linkbase Document</w:t>
      </w:r>
    </w:p>
    <w:p>
      <w:pPr>
        <w:spacing w:after="0" w:line="21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83185</wp:posOffset>
            </wp:positionV>
            <wp:extent cx="14141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5" w:lineRule="exact"/>
        <w:rPr>
          <w:sz w:val="20"/>
          <w:szCs w:val="20"/>
          <w:color w:val="auto"/>
        </w:rPr>
      </w:pPr>
    </w:p>
    <w:p>
      <w:pPr>
        <w:ind w:left="380" w:hanging="330"/>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80" w:hanging="330"/>
        <w:spacing w:after="0"/>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ind w:left="380" w:right="239" w:hanging="330"/>
        <w:spacing w:after="0"/>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Certain exhibits and schedules have been omitted pursuant to Item 601(a)(5) of Regulation S-K under the Securities Act. The Company agrees to furnish supplementally any omitted exhibits and schedules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16. Form 10-K Summary</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38"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behalf by the undersigned, thereunto duly authorized.</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10, 2023</w:t>
      </w:r>
    </w:p>
    <w:p>
      <w:pPr>
        <w:spacing w:after="0" w:line="20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CVRX, INC.</w:t>
      </w:r>
    </w:p>
    <w:p>
      <w:pPr>
        <w:spacing w:after="0" w:line="243" w:lineRule="exact"/>
        <w:rPr>
          <w:sz w:val="20"/>
          <w:szCs w:val="20"/>
          <w:color w:val="auto"/>
        </w:rPr>
      </w:pPr>
    </w:p>
    <w:p>
      <w:pPr>
        <w:ind w:left="3960"/>
        <w:spacing w:after="0"/>
        <w:tabs>
          <w:tab w:leader="none" w:pos="4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Nadim Yared</w:t>
      </w:r>
    </w:p>
    <w:p>
      <w:pPr>
        <w:ind w:left="3960"/>
        <w:spacing w:after="0"/>
        <w:rPr>
          <w:sz w:val="20"/>
          <w:szCs w:val="20"/>
          <w:color w:val="auto"/>
        </w:rPr>
      </w:pPr>
      <w:r>
        <w:rPr>
          <w:rFonts w:ascii="Arial" w:cs="Arial" w:eastAsia="Arial" w:hAnsi="Arial"/>
          <w:sz w:val="18"/>
          <w:szCs w:val="18"/>
          <w:color w:val="auto"/>
        </w:rPr>
        <w:t>Name: Nadim Yared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-130175</wp:posOffset>
            </wp:positionV>
            <wp:extent cx="27946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3960"/>
        <w:spacing w:after="0"/>
        <w:tabs>
          <w:tab w:leader="none" w:pos="4520" w:val="left"/>
        </w:tabs>
        <w:rPr>
          <w:sz w:val="20"/>
          <w:szCs w:val="20"/>
          <w:color w:val="auto"/>
        </w:rPr>
      </w:pPr>
      <w:r>
        <w:rPr>
          <w:rFonts w:ascii="Arial" w:cs="Arial" w:eastAsia="Arial" w:hAnsi="Arial"/>
          <w:sz w:val="18"/>
          <w:szCs w:val="18"/>
          <w:color w:val="auto"/>
        </w:rPr>
        <w:t>Title:</w:t>
        <w:tab/>
        <w:t>President and 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8"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10, 2023</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Signature</w:t>
            </w:r>
          </w:p>
        </w:tc>
        <w:tc>
          <w:tcPr>
            <w:tcW w:w="5040" w:type="dxa"/>
            <w:vAlign w:val="bottom"/>
            <w:gridSpan w:val="3"/>
          </w:tcPr>
          <w:p>
            <w:pPr>
              <w:ind w:left="2360"/>
              <w:spacing w:after="0"/>
              <w:rPr>
                <w:sz w:val="20"/>
                <w:szCs w:val="20"/>
                <w:color w:val="auto"/>
              </w:rPr>
            </w:pPr>
            <w:r>
              <w:rPr>
                <w:rFonts w:ascii="Arial" w:cs="Arial" w:eastAsia="Arial" w:hAnsi="Arial"/>
                <w:sz w:val="16"/>
                <w:szCs w:val="16"/>
                <w:b w:val="1"/>
                <w:bCs w:val="1"/>
                <w:color w:val="auto"/>
              </w:rPr>
              <w:t>Title</w:t>
            </w:r>
          </w:p>
        </w:tc>
        <w:tc>
          <w:tcPr>
            <w:tcW w:w="1520" w:type="dxa"/>
            <w:vAlign w:val="bottom"/>
            <w:gridSpan w:val="3"/>
          </w:tcPr>
          <w:p>
            <w:pPr>
              <w:ind w:left="640"/>
              <w:spacing w:after="0"/>
              <w:rPr>
                <w:sz w:val="20"/>
                <w:szCs w:val="20"/>
                <w:color w:val="auto"/>
              </w:rPr>
            </w:pPr>
            <w:r>
              <w:rPr>
                <w:rFonts w:ascii="Arial" w:cs="Arial" w:eastAsia="Arial" w:hAnsi="Arial"/>
                <w:sz w:val="16"/>
                <w:szCs w:val="16"/>
                <w:b w:val="1"/>
                <w:bCs w:val="1"/>
                <w:color w:val="auto"/>
              </w:rPr>
              <w:t>Date</w:t>
            </w:r>
          </w:p>
        </w:tc>
      </w:tr>
      <w:tr>
        <w:trPr>
          <w:trHeight w:val="20"/>
        </w:trPr>
        <w:tc>
          <w:tcPr>
            <w:tcW w:w="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57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9"/>
              </w:rPr>
              <w:t>/s/ Nadim Yared</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President and Chief Executive Officer (Principal Executive Officer)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10, 2023</w:t>
            </w:r>
          </w:p>
        </w:tc>
      </w:tr>
      <w:tr>
        <w:trPr>
          <w:trHeight w:val="208"/>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Nadim Yared</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52"/>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Jared Oasheim</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Chief Financial Officer (Principal Financial and Accounting Officer)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10, 2023</w:t>
            </w:r>
          </w:p>
        </w:tc>
      </w:tr>
      <w:tr>
        <w:trPr>
          <w:trHeight w:val="208"/>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Jared Oasheim</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52"/>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Ali Behbahani</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10, 2023</w:t>
            </w:r>
          </w:p>
        </w:tc>
      </w:tr>
      <w:tr>
        <w:trPr>
          <w:trHeight w:val="208"/>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Ali Behbahani</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52"/>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9"/>
              </w:rPr>
              <w:t>/s/ Kevin Hykes</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10, 2023</w:t>
            </w:r>
          </w:p>
        </w:tc>
      </w:tr>
      <w:tr>
        <w:trPr>
          <w:trHeight w:val="208"/>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Kevin Hykes</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52"/>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John Nehra</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10, 2023</w:t>
            </w:r>
          </w:p>
        </w:tc>
      </w:tr>
      <w:tr>
        <w:trPr>
          <w:trHeight w:val="208"/>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John Nehra</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52"/>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Joseph Slattery</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10, 2023</w:t>
            </w:r>
          </w:p>
        </w:tc>
      </w:tr>
      <w:tr>
        <w:trPr>
          <w:trHeight w:val="208"/>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Joseph Slattery</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52"/>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9"/>
              </w:rPr>
              <w:t>/s/ Mudit Jain</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10, 2023</w:t>
            </w:r>
          </w:p>
        </w:tc>
      </w:tr>
      <w:tr>
        <w:trPr>
          <w:trHeight w:val="208"/>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Mudit Jain</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52"/>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Kirk Nielsen</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10, 2023</w:t>
            </w:r>
          </w:p>
        </w:tc>
      </w:tr>
      <w:tr>
        <w:trPr>
          <w:trHeight w:val="208"/>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Kirk Nielsen</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52"/>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Martha Shadan</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10, 2023</w:t>
            </w:r>
          </w:p>
        </w:tc>
      </w:tr>
      <w:tr>
        <w:trPr>
          <w:trHeight w:val="208"/>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Martha Shadan</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jc w:val="right"/>
        <w:ind w:right="219"/>
        <w:spacing w:after="0"/>
        <w:rPr>
          <w:sz w:val="20"/>
          <w:szCs w:val="20"/>
          <w:color w:val="auto"/>
        </w:rPr>
      </w:pPr>
      <w:r>
        <w:rPr>
          <w:rFonts w:ascii="Arial" w:cs="Arial" w:eastAsia="Arial" w:hAnsi="Arial"/>
          <w:sz w:val="16"/>
          <w:szCs w:val="16"/>
          <w:b w:val="1"/>
          <w:bCs w:val="1"/>
          <w:color w:val="auto"/>
        </w:rPr>
        <w:t>Exhibit 23.1</w:t>
      </w:r>
    </w:p>
    <w:p>
      <w:pPr>
        <w:spacing w:after="0" w:line="39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14" w:lineRule="exact"/>
        <w:rPr>
          <w:sz w:val="20"/>
          <w:szCs w:val="20"/>
          <w:color w:val="auto"/>
        </w:rPr>
      </w:pPr>
    </w:p>
    <w:p>
      <w:pPr>
        <w:ind w:left="200" w:right="259"/>
        <w:spacing w:after="0" w:line="257" w:lineRule="auto"/>
        <w:rPr>
          <w:sz w:val="20"/>
          <w:szCs w:val="20"/>
          <w:color w:val="auto"/>
        </w:rPr>
      </w:pPr>
      <w:r>
        <w:rPr>
          <w:rFonts w:ascii="Arial" w:cs="Arial" w:eastAsia="Arial" w:hAnsi="Arial"/>
          <w:sz w:val="16"/>
          <w:szCs w:val="16"/>
          <w:color w:val="auto"/>
        </w:rPr>
        <w:t>We have issued our report dated February 10, 2023, with respect to the consolidated financial statements included in the Annual Report of CVRx, Inc. on Form 10-K for the year ended December 31, 2022. We consent to the incorporation by reference of said report in the Registration Statements of CVRx, Inc. on Forms S-8 (File No. 333-257616 and File No. 333-262901) and on Form S-3 (File No. 333-268183).</w:t>
      </w:r>
    </w:p>
    <w:p>
      <w:pPr>
        <w:spacing w:after="0" w:line="3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 GRANT THORNTON LLP</w:t>
      </w:r>
    </w:p>
    <w:p>
      <w:pPr>
        <w:spacing w:after="0" w:line="39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231F20"/>
        </w:rPr>
        <w:t>February 10</w:t>
      </w:r>
      <w:r>
        <w:rPr>
          <w:rFonts w:ascii="Arial" w:cs="Arial" w:eastAsia="Arial" w:hAnsi="Arial"/>
          <w:sz w:val="16"/>
          <w:szCs w:val="16"/>
          <w:color w:val="000000"/>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Nadim Yared, certify that:</w:t>
      </w:r>
    </w:p>
    <w:p>
      <w:pPr>
        <w:spacing w:after="0" w:line="117" w:lineRule="exact"/>
        <w:rPr>
          <w:sz w:val="20"/>
          <w:szCs w:val="20"/>
          <w:color w:val="auto"/>
        </w:rPr>
      </w:pPr>
    </w:p>
    <w:p>
      <w:pPr>
        <w:ind w:left="980" w:hanging="648"/>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CVRx, Inc.;</w:t>
      </w:r>
    </w:p>
    <w:p>
      <w:pPr>
        <w:spacing w:after="0" w:line="117"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80" w:right="120" w:hanging="648"/>
        <w:spacing w:after="0" w:line="263"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980" w:right="300" w:hanging="648"/>
        <w:spacing w:after="0" w:line="286" w:lineRule="auto"/>
        <w:tabs>
          <w:tab w:leader="none" w:pos="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1620" w:right="320" w:hanging="640"/>
        <w:spacing w:after="0" w:line="259" w:lineRule="auto"/>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1620" w:right="40" w:hanging="640"/>
        <w:spacing w:after="0" w:line="259" w:lineRule="auto"/>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620" w:right="180" w:hanging="640"/>
        <w:spacing w:after="0" w:line="263" w:lineRule="auto"/>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20" w:right="60" w:hanging="640"/>
        <w:spacing w:after="0" w:line="259" w:lineRule="auto"/>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980" w:right="240" w:hanging="648"/>
        <w:spacing w:after="0" w:line="263"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620" w:right="120" w:hanging="640"/>
        <w:spacing w:after="0" w:line="263" w:lineRule="auto"/>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620" w:right="200" w:hanging="640"/>
        <w:spacing w:after="0" w:line="277" w:lineRule="auto"/>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2023</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ind w:left="516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/s/ Nadim Yared</w:t>
            </w:r>
          </w:p>
        </w:tc>
        <w:tc>
          <w:tcPr>
            <w:tcW w:w="0" w:type="dxa"/>
            <w:vAlign w:val="bottom"/>
          </w:tcPr>
          <w:p>
            <w:pPr>
              <w:spacing w:after="0"/>
              <w:rPr>
                <w:sz w:val="1"/>
                <w:szCs w:val="1"/>
                <w:color w:val="auto"/>
              </w:rPr>
            </w:pPr>
          </w:p>
        </w:tc>
      </w:tr>
      <w:tr>
        <w:trPr>
          <w:trHeight w:val="27"/>
        </w:trPr>
        <w:tc>
          <w:tcPr>
            <w:tcW w:w="5660" w:type="dxa"/>
            <w:vAlign w:val="bottom"/>
            <w:vMerge w:val="restart"/>
          </w:tcPr>
          <w:p>
            <w:pPr>
              <w:ind w:left="5160"/>
              <w:spacing w:after="0"/>
              <w:rPr>
                <w:sz w:val="20"/>
                <w:szCs w:val="20"/>
                <w:color w:val="auto"/>
              </w:rPr>
            </w:pPr>
            <w:r>
              <w:rPr>
                <w:rFonts w:ascii="Arial" w:cs="Arial" w:eastAsia="Arial" w:hAnsi="Arial"/>
                <w:sz w:val="18"/>
                <w:szCs w:val="18"/>
                <w:color w:val="auto"/>
                <w:w w:val="90"/>
              </w:rPr>
              <w:t>Name:</w:t>
            </w:r>
          </w:p>
        </w:tc>
        <w:tc>
          <w:tcPr>
            <w:tcW w:w="40" w:type="dxa"/>
            <w:vAlign w:val="bottom"/>
            <w:vMerge w:val="restart"/>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6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Nadim Yared</w:t>
            </w:r>
          </w:p>
        </w:tc>
        <w:tc>
          <w:tcPr>
            <w:tcW w:w="0" w:type="dxa"/>
            <w:vAlign w:val="bottom"/>
          </w:tcPr>
          <w:p>
            <w:pPr>
              <w:spacing w:after="0"/>
              <w:rPr>
                <w:sz w:val="1"/>
                <w:szCs w:val="1"/>
                <w:color w:val="auto"/>
              </w:rPr>
            </w:pPr>
          </w:p>
        </w:tc>
      </w:tr>
      <w:tr>
        <w:trPr>
          <w:trHeight w:val="230"/>
        </w:trPr>
        <w:tc>
          <w:tcPr>
            <w:tcW w:w="5660" w:type="dxa"/>
            <w:vAlign w:val="bottom"/>
          </w:tcPr>
          <w:p>
            <w:pPr>
              <w:ind w:left="5160"/>
              <w:spacing w:after="0"/>
              <w:rPr>
                <w:sz w:val="20"/>
                <w:szCs w:val="20"/>
                <w:color w:val="auto"/>
              </w:rPr>
            </w:pPr>
            <w:r>
              <w:rPr>
                <w:rFonts w:ascii="Arial" w:cs="Arial" w:eastAsia="Arial" w:hAnsi="Arial"/>
                <w:sz w:val="18"/>
                <w:szCs w:val="18"/>
                <w:color w:val="auto"/>
              </w:rPr>
              <w:t>Title:</w:t>
            </w:r>
          </w:p>
        </w:tc>
        <w:tc>
          <w:tcPr>
            <w:tcW w:w="426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Jared Oasheim, certify that:</w:t>
      </w:r>
    </w:p>
    <w:p>
      <w:pPr>
        <w:spacing w:after="0" w:line="117" w:lineRule="exact"/>
        <w:rPr>
          <w:sz w:val="20"/>
          <w:szCs w:val="20"/>
          <w:color w:val="auto"/>
        </w:rPr>
      </w:pPr>
    </w:p>
    <w:p>
      <w:pPr>
        <w:ind w:left="980" w:hanging="648"/>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CVRx, Inc.;</w:t>
      </w:r>
    </w:p>
    <w:p>
      <w:pPr>
        <w:spacing w:after="0" w:line="117"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80" w:right="120" w:hanging="648"/>
        <w:spacing w:after="0" w:line="263"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980" w:right="300" w:hanging="648"/>
        <w:spacing w:after="0" w:line="286" w:lineRule="auto"/>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1620" w:right="320" w:hanging="640"/>
        <w:spacing w:after="0" w:line="259"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1620" w:right="40" w:hanging="640"/>
        <w:spacing w:after="0" w:line="259"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620" w:right="180" w:hanging="640"/>
        <w:spacing w:after="0" w:line="263"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20" w:right="60" w:hanging="640"/>
        <w:spacing w:after="0" w:line="259"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980" w:right="240" w:hanging="648"/>
        <w:spacing w:after="0" w:line="263"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620" w:right="120" w:hanging="640"/>
        <w:spacing w:after="0" w:line="263"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620" w:right="200" w:hanging="640"/>
        <w:spacing w:after="0" w:line="277"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2023</w:t>
      </w:r>
    </w:p>
    <w:p>
      <w:pPr>
        <w:spacing w:after="0" w:line="200" w:lineRule="exact"/>
        <w:rPr>
          <w:sz w:val="20"/>
          <w:szCs w:val="20"/>
          <w:color w:val="auto"/>
        </w:rPr>
      </w:pPr>
    </w:p>
    <w:p>
      <w:pPr>
        <w:spacing w:after="0" w:line="322"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Jared Oasheim</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-121920</wp:posOffset>
            </wp:positionV>
            <wp:extent cx="26657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7"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 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connection with the annual report of CVRx, Inc (the “Company”) on Form 10-K for the period ended December 31, 2022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57" w:lineRule="exact"/>
        <w:rPr>
          <w:sz w:val="20"/>
          <w:szCs w:val="20"/>
          <w:color w:val="auto"/>
        </w:rPr>
      </w:pPr>
    </w:p>
    <w:p>
      <w:pPr>
        <w:ind w:left="1300" w:right="22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62"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2023</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/s/ Nadim Yared</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Nadim Yared</w:t>
            </w:r>
          </w:p>
        </w:tc>
        <w:tc>
          <w:tcPr>
            <w:tcW w:w="0" w:type="dxa"/>
            <w:vAlign w:val="bottom"/>
          </w:tcPr>
          <w:p>
            <w:pPr>
              <w:spacing w:after="0"/>
              <w:rPr>
                <w:sz w:val="1"/>
                <w:szCs w:val="1"/>
                <w:color w:val="auto"/>
              </w:rPr>
            </w:pPr>
          </w:p>
        </w:tc>
      </w:t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35" w:right="99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 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connection with the annual report of CVRx, Inc. (the “Company”) on Form 10-K for the period ended December 31, 2022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57" w:lineRule="exact"/>
        <w:rPr>
          <w:sz w:val="20"/>
          <w:szCs w:val="20"/>
          <w:color w:val="auto"/>
        </w:rPr>
      </w:pPr>
    </w:p>
    <w:p>
      <w:pPr>
        <w:ind w:left="1300" w:right="220" w:hanging="644"/>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62"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2023</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/s/ Jared Oasheim</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Jared Oasheim</w:t>
            </w:r>
          </w:p>
        </w:tc>
        <w:tc>
          <w:tcPr>
            <w:tcW w:w="0" w:type="dxa"/>
            <w:vAlign w:val="bottom"/>
          </w:tcPr>
          <w:p>
            <w:pPr>
              <w:spacing w:after="0"/>
              <w:rPr>
                <w:sz w:val="1"/>
                <w:szCs w:val="1"/>
                <w:color w:val="auto"/>
              </w:rPr>
            </w:pPr>
          </w:p>
        </w:tc>
      </w:t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35"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lvl w:ilvl="1">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lvl w:ilvl="1">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1)"/>
      <w:numFmt w:val="decimal"/>
      <w:start w:val="3"/>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1)"/>
      <w:numFmt w:val="lowerRoman"/>
      <w:start w:val="2"/>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lowerRoman"/>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9" Type="http://schemas.openxmlformats.org/officeDocument/2006/relationships/image" Target="media/image114.png"/><Relationship Id="rId155"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21" Type="http://schemas.openxmlformats.org/officeDocument/2006/relationships/hyperlink" Target="https://www.sec.gov/Archives/edgar/data/1235912/000110465921089779/tm2121505d1_ex3-1.htm" TargetMode="External"/><Relationship Id="rId122" Type="http://schemas.openxmlformats.org/officeDocument/2006/relationships/hyperlink" Target="https://www.sec.gov/Archives/edgar/data/1235912/000110465921089779/tm2121505d1_ex3-2.htm" TargetMode="External"/><Relationship Id="rId123" Type="http://schemas.openxmlformats.org/officeDocument/2006/relationships/hyperlink" Target="https://www.sec.gov/Archives/edgar/data/1235912/000110465921084344/tm2112357d10_ex4-2.htm" TargetMode="External"/><Relationship Id="rId124" Type="http://schemas.openxmlformats.org/officeDocument/2006/relationships/hyperlink" Target="https://www.sec.gov/Archives/edgar/data/1235912/000110465921077026/tm2112357d6_ex4-3.htm" TargetMode="External"/><Relationship Id="rId125" Type="http://schemas.openxmlformats.org/officeDocument/2006/relationships/hyperlink" Target="https://www.sec.gov/Archives/edgar/data/1235912/000110465921077026/tm2112357d6_ex4-4.htm" TargetMode="External"/><Relationship Id="rId126" Type="http://schemas.openxmlformats.org/officeDocument/2006/relationships/hyperlink" Target="https://www.sec.gov/Archives/edgar/data/1235912/000110465921077026/tm2112357d6_ex4-5.htm" TargetMode="External"/><Relationship Id="rId127" Type="http://schemas.openxmlformats.org/officeDocument/2006/relationships/hyperlink" Target="https://www.sec.gov/Archives/edgar/data/1235912/000110465921077026/tm2112357d6_ex4-6.htm" TargetMode="External"/><Relationship Id="rId128" Type="http://schemas.openxmlformats.org/officeDocument/2006/relationships/hyperlink" Target="https://www.sec.gov/Archives/edgar/data/1235912/000110465921077026/tm2112357d6_ex4-7.htm" TargetMode="External"/><Relationship Id="rId129" Type="http://schemas.openxmlformats.org/officeDocument/2006/relationships/hyperlink" Target="https://www.sec.gov/Archives/edgar/data/1235912/000110465921077026/tm2112357d6_ex4-8.htm" TargetMode="External"/><Relationship Id="rId130" Type="http://schemas.openxmlformats.org/officeDocument/2006/relationships/hyperlink" Target="https://www.sec.gov/Archives/edgar/data/1235912/000110465921077026/tm2112357d6_ex4-9.htm" TargetMode="External"/><Relationship Id="rId131" Type="http://schemas.openxmlformats.org/officeDocument/2006/relationships/hyperlink" Target="https://www.sec.gov/Archives/edgar/data/1235912/000110465921077026/tm2112357d6_ex4-10.htm" TargetMode="External"/><Relationship Id="rId132" Type="http://schemas.openxmlformats.org/officeDocument/2006/relationships/hyperlink" Target="https://www.sec.gov/Archives/edgar/data/1235912/000110465921077026/tm2112357d6_ex4-12.htm" TargetMode="External"/><Relationship Id="rId133" Type="http://schemas.openxmlformats.org/officeDocument/2006/relationships/hyperlink" Target="https://www.sec.gov/Archives/edgar/data/1235912/000110465921077026/tm2112357d6_ex4-13.htm" TargetMode="External"/><Relationship Id="rId134" Type="http://schemas.openxmlformats.org/officeDocument/2006/relationships/hyperlink" Target="https://www.sec.gov/Archives/edgar/data/1235912/000110465921077026/tm2112357d6_ex4-14.htm" TargetMode="External"/><Relationship Id="rId135" Type="http://schemas.openxmlformats.org/officeDocument/2006/relationships/hyperlink" Target="https://www.sec.gov/Archives/edgar/data/1235912/000110465921077026/tm2112357d6_ex4-15.htm" TargetMode="External"/><Relationship Id="rId136" Type="http://schemas.openxmlformats.org/officeDocument/2006/relationships/hyperlink" Target="https://www.sec.gov/Archives/edgar/data/1235912/000110465921077026/tm2112357d6_ex4-16.htm" TargetMode="External"/><Relationship Id="rId137" Type="http://schemas.openxmlformats.org/officeDocument/2006/relationships/hyperlink" Target="https://www.sec.gov/Archives/edgar/data/1235912/000155837022001539/tmb-20211231xex4d16.htm" TargetMode="External"/><Relationship Id="rId138" Type="http://schemas.openxmlformats.org/officeDocument/2006/relationships/hyperlink" Target="https://www.sec.gov/Archives/edgar/data/1235912/000110465921077026/tm2112357d6_ex10-1.htm" TargetMode="External"/><Relationship Id="rId140" Type="http://schemas.openxmlformats.org/officeDocument/2006/relationships/hyperlink" Target="https://www.sec.gov/Archives/edgar/data/1235912/000110465921077026/tm2112357d6_ex10-2.htm" TargetMode="External"/><Relationship Id="rId141" Type="http://schemas.openxmlformats.org/officeDocument/2006/relationships/hyperlink" Target="https://www.sec.gov/Archives/edgar/data/1235912/000110465921077026/tm2112357d6_ex10-3.htm" TargetMode="External"/><Relationship Id="rId142" Type="http://schemas.openxmlformats.org/officeDocument/2006/relationships/hyperlink" Target="https://www.sec.gov/Archives/edgar/data/1235912/000110465921077026/tm2112357d6_ex10-4.htm" TargetMode="External"/><Relationship Id="rId143" Type="http://schemas.openxmlformats.org/officeDocument/2006/relationships/hyperlink" Target="https://www.sec.gov/Archives/edgar/data/1235912/000110465921077026/tm2112357d6_ex10-5.htm" TargetMode="External"/><Relationship Id="rId144" Type="http://schemas.openxmlformats.org/officeDocument/2006/relationships/hyperlink" Target="https://www.sec.gov/Archives/edgar/data/1235912/000110465921077026/tm2112357d6_ex10-7.htm" TargetMode="External"/><Relationship Id="rId145" Type="http://schemas.openxmlformats.org/officeDocument/2006/relationships/hyperlink" Target="https://www.sec.gov/Archives/edgar/data/1235912/000110465921077026/tm2112357d6_ex10-8.htm" TargetMode="External"/><Relationship Id="rId146" Type="http://schemas.openxmlformats.org/officeDocument/2006/relationships/hyperlink" Target="https://www.sec.gov/Archives/edgar/data/1235912/000110465921088336/tm2120909d1_ex10-2.htm" TargetMode="External"/><Relationship Id="rId147" Type="http://schemas.openxmlformats.org/officeDocument/2006/relationships/hyperlink" Target="https://www.sec.gov/Archives/edgar/data/1235912/000110465921088336/tm2120909d1_ex10-3.htm" TargetMode="External"/><Relationship Id="rId148" Type="http://schemas.openxmlformats.org/officeDocument/2006/relationships/hyperlink" Target="https://www.sec.gov/Archives/edgar/data/1235912/000110465921084344/tm2112357d10_ex10-9.htm" TargetMode="External"/><Relationship Id="rId149" Type="http://schemas.openxmlformats.org/officeDocument/2006/relationships/hyperlink" Target="https://www.sec.gov/Archives/edgar/data/1235912/000110465921088336/tm2120909d1_ex10-5.htm" TargetMode="External"/><Relationship Id="rId150" Type="http://schemas.openxmlformats.org/officeDocument/2006/relationships/hyperlink" Target="https://www.sec.gov/Archives/edgar/data/1235912/000110465921088336/tm2120909d1_ex10-6.htm" TargetMode="External"/><Relationship Id="rId151" Type="http://schemas.openxmlformats.org/officeDocument/2006/relationships/hyperlink" Target="https://www.sec.gov/Archives/edgar/data/1235912/000110465921088336/tm2120909d1_ex10-7.htm" TargetMode="External"/><Relationship Id="rId152" Type="http://schemas.openxmlformats.org/officeDocument/2006/relationships/hyperlink" Target="https://www.sec.gov/Archives/edgar/data/1235912/000155837022001539/tmb-20211231xex10d14.htm" TargetMode="External"/><Relationship Id="rId153" Type="http://schemas.openxmlformats.org/officeDocument/2006/relationships/hyperlink" Target="https://www.sec.gov/Archives/edgar/data/1235912/000110465921084344/tm2112357d10_ex10-12.htm" TargetMode="External"/><Relationship Id="rId154" Type="http://schemas.openxmlformats.org/officeDocument/2006/relationships/hyperlink" Target="https://www.sec.gov/Archives/edgar/data/1235912/000110465921084344/tm2112357d10_ex10-13.htm" TargetMode="External"/><Relationship Id="rId156" Type="http://schemas.openxmlformats.org/officeDocument/2006/relationships/hyperlink" Target="https://www.sec.gov/Archives/edgar/data/1235912/000110465922113505/tm2229314d1_ex10-1.htm" TargetMode="External"/><Relationship Id="rId157" Type="http://schemas.openxmlformats.org/officeDocument/2006/relationships/hyperlink" Target="https://www.sec.gov/Archives/edgar/data/1235912/000110465922114951/tm2229612d2_ex1-2.htm" TargetMode="External"/><Relationship Id="rId158" Type="http://schemas.openxmlformats.org/officeDocument/2006/relationships/hyperlink" Target="https://www.sec.gov/Archives/edgar/data/1235912/000155837022001539/tmb-20211231xex2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2023-02-10T15:21:36Z</dcterms:created>
  <dcterms:modified xsi:type="dcterms:W3CDTF">2023-02-10T15:21:36Z</dcterms:modified>
</cp:coreProperties>
</file>