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106680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17"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6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quarterly period ended June 30, 2025</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126365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CVRx, Inc.</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700" w:type="dxa"/>
            <w:vAlign w:val="bottom"/>
            <w:gridSpan w:val="3"/>
          </w:tcPr>
          <w:p>
            <w:pPr>
              <w:jc w:val="center"/>
              <w:ind w:left="1402"/>
              <w:spacing w:after="0"/>
              <w:rPr>
                <w:sz w:val="20"/>
                <w:szCs w:val="20"/>
                <w:color w:val="auto"/>
              </w:rPr>
            </w:pPr>
            <w:r>
              <w:rPr>
                <w:rFonts w:ascii="Arial" w:cs="Arial" w:eastAsia="Arial" w:hAnsi="Arial"/>
                <w:sz w:val="16"/>
                <w:szCs w:val="16"/>
                <w:b w:val="1"/>
                <w:bCs w:val="1"/>
                <w:color w:val="auto"/>
                <w:w w:val="99"/>
              </w:rPr>
              <w:t>Delaware</w:t>
            </w: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41-1983744</w:t>
            </w:r>
          </w:p>
        </w:tc>
      </w:tr>
      <w:tr>
        <w:trPr>
          <w:trHeight w:val="162"/>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(State or other jurisdiction of</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tcPr>
          <w:p>
            <w:pPr>
              <w:jc w:val="center"/>
              <w:ind w:right="140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incorporation or organization)</w:t>
            </w: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Identification No.)</w:t>
            </w:r>
          </w:p>
        </w:tc>
      </w:tr>
      <w:tr>
        <w:trPr>
          <w:trHeight w:val="244"/>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9201 West Broadway Avenue</w:t>
            </w:r>
          </w:p>
        </w:tc>
        <w:tc>
          <w:tcPr>
            <w:tcW w:w="3220" w:type="dxa"/>
            <w:vAlign w:val="bottom"/>
          </w:tcPr>
          <w:p>
            <w:pPr>
              <w:spacing w:after="0"/>
              <w:rPr>
                <w:sz w:val="21"/>
                <w:szCs w:val="21"/>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Suite 650</w:t>
            </w:r>
          </w:p>
        </w:tc>
        <w:tc>
          <w:tcPr>
            <w:tcW w:w="322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Minneapolis, MN 55445</w:t>
            </w:r>
          </w:p>
        </w:tc>
        <w:tc>
          <w:tcPr>
            <w:tcW w:w="3220" w:type="dxa"/>
            <w:vAlign w:val="bottom"/>
          </w:tcPr>
          <w:p>
            <w:pPr>
              <w:spacing w:after="0"/>
              <w:rPr>
                <w:sz w:val="16"/>
                <w:szCs w:val="16"/>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(Address of Principal Executive Offices)</w:t>
            </w:r>
          </w:p>
        </w:tc>
        <w:tc>
          <w:tcPr>
            <w:tcW w:w="3220" w:type="dxa"/>
            <w:vAlign w:val="bottom"/>
          </w:tcPr>
          <w:p>
            <w:pPr>
              <w:spacing w:after="0"/>
              <w:rPr>
                <w:sz w:val="17"/>
                <w:szCs w:val="17"/>
                <w:color w:val="auto"/>
              </w:rPr>
            </w:pPr>
          </w:p>
        </w:tc>
      </w:tr>
      <w:tr>
        <w:trPr>
          <w:trHeight w:val="263"/>
        </w:trPr>
        <w:tc>
          <w:tcPr>
            <w:tcW w:w="3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20" w:type="dxa"/>
            <w:vAlign w:val="bottom"/>
            <w:gridSpan w:val="2"/>
          </w:tcPr>
          <w:p>
            <w:pPr>
              <w:jc w:val="center"/>
              <w:ind w:left="104"/>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(Registrant’s telephone number)</w:t>
            </w:r>
          </w:p>
        </w:tc>
        <w:tc>
          <w:tcPr>
            <w:tcW w:w="3220" w:type="dxa"/>
            <w:vAlign w:val="bottom"/>
          </w:tcPr>
          <w:p>
            <w:pPr>
              <w:spacing w:after="0"/>
              <w:rPr>
                <w:sz w:val="17"/>
                <w:szCs w:val="17"/>
                <w:color w:val="auto"/>
              </w:rPr>
            </w:pPr>
          </w:p>
        </w:tc>
      </w:tr>
      <w:tr>
        <w:trPr>
          <w:trHeight w:val="184"/>
        </w:trPr>
        <w:tc>
          <w:tcPr>
            <w:tcW w:w="3860" w:type="dxa"/>
            <w:vAlign w:val="bottom"/>
            <w:gridSpan w:val="4"/>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00" w:type="dxa"/>
            <w:vAlign w:val="bottom"/>
            <w:gridSpan w:val="2"/>
          </w:tcPr>
          <w:p>
            <w:pPr>
              <w:spacing w:after="0"/>
              <w:rPr>
                <w:sz w:val="16"/>
                <w:szCs w:val="16"/>
                <w:color w:val="auto"/>
              </w:rPr>
            </w:pPr>
          </w:p>
        </w:tc>
        <w:tc>
          <w:tcPr>
            <w:tcW w:w="3220" w:type="dxa"/>
            <w:vAlign w:val="bottom"/>
          </w:tcPr>
          <w:p>
            <w:pPr>
              <w:spacing w:after="0"/>
              <w:rPr>
                <w:sz w:val="16"/>
                <w:szCs w:val="16"/>
                <w:color w:val="auto"/>
              </w:rPr>
            </w:pPr>
          </w:p>
        </w:tc>
      </w:tr>
      <w:tr>
        <w:trPr>
          <w:trHeight w:val="376"/>
        </w:trPr>
        <w:tc>
          <w:tcPr>
            <w:tcW w:w="6820" w:type="dxa"/>
            <w:vAlign w:val="bottom"/>
            <w:gridSpan w:val="7"/>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3220" w:type="dxa"/>
            <w:vAlign w:val="bottom"/>
          </w:tcPr>
          <w:p>
            <w:pPr>
              <w:spacing w:after="0"/>
              <w:rPr>
                <w:sz w:val="24"/>
                <w:szCs w:val="24"/>
                <w:color w:val="auto"/>
              </w:rPr>
            </w:pPr>
          </w:p>
        </w:tc>
      </w:tr>
      <w:tr>
        <w:trPr>
          <w:trHeight w:val="379"/>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Name of each exchange</w:t>
            </w:r>
          </w:p>
        </w:tc>
      </w:tr>
      <w:tr>
        <w:trPr>
          <w:trHeight w:val="230"/>
        </w:trPr>
        <w:tc>
          <w:tcPr>
            <w:tcW w:w="3700" w:type="dxa"/>
            <w:vAlign w:val="bottom"/>
            <w:gridSpan w:val="3"/>
          </w:tcPr>
          <w:p>
            <w:pPr>
              <w:jc w:val="center"/>
              <w:ind w:right="500"/>
              <w:spacing w:after="0"/>
              <w:rPr>
                <w:sz w:val="20"/>
                <w:szCs w:val="20"/>
                <w:color w:val="auto"/>
              </w:rPr>
            </w:pPr>
            <w:r>
              <w:rPr>
                <w:rFonts w:ascii="Arial" w:cs="Arial" w:eastAsia="Arial" w:hAnsi="Arial"/>
                <w:sz w:val="16"/>
                <w:szCs w:val="16"/>
                <w:color w:val="auto"/>
                <w:w w:val="99"/>
              </w:rPr>
              <w:t>Title of each class</w:t>
            </w:r>
          </w:p>
        </w:tc>
        <w:tc>
          <w:tcPr>
            <w:tcW w:w="160" w:type="dxa"/>
            <w:vAlign w:val="bottom"/>
          </w:tcPr>
          <w:p>
            <w:pPr>
              <w:spacing w:after="0"/>
              <w:rPr>
                <w:sz w:val="20"/>
                <w:szCs w:val="20"/>
                <w:color w:val="auto"/>
              </w:rPr>
            </w:pPr>
          </w:p>
        </w:tc>
        <w:tc>
          <w:tcPr>
            <w:tcW w:w="2960" w:type="dxa"/>
            <w:vAlign w:val="bottom"/>
            <w:gridSpan w:val="3"/>
          </w:tcPr>
          <w:p>
            <w:pPr>
              <w:jc w:val="center"/>
              <w:ind w:right="640"/>
              <w:spacing w:after="0"/>
              <w:rPr>
                <w:sz w:val="20"/>
                <w:szCs w:val="20"/>
                <w:color w:val="auto"/>
              </w:rPr>
            </w:pPr>
            <w:r>
              <w:rPr>
                <w:rFonts w:ascii="Arial" w:cs="Arial" w:eastAsia="Arial" w:hAnsi="Arial"/>
                <w:sz w:val="16"/>
                <w:szCs w:val="16"/>
                <w:color w:val="auto"/>
              </w:rPr>
              <w:t>Trading Symbol(s)</w:t>
            </w:r>
          </w:p>
        </w:tc>
        <w:tc>
          <w:tcPr>
            <w:tcW w:w="3220" w:type="dxa"/>
            <w:vAlign w:val="bottom"/>
          </w:tcPr>
          <w:p>
            <w:pPr>
              <w:jc w:val="center"/>
              <w:spacing w:after="0"/>
              <w:rPr>
                <w:sz w:val="20"/>
                <w:szCs w:val="20"/>
                <w:color w:val="auto"/>
              </w:rPr>
            </w:pPr>
            <w:r>
              <w:rPr>
                <w:rFonts w:ascii="Arial" w:cs="Arial" w:eastAsia="Arial" w:hAnsi="Arial"/>
                <w:sz w:val="16"/>
                <w:szCs w:val="16"/>
                <w:color w:val="auto"/>
              </w:rPr>
              <w:t>on which registered</w:t>
            </w:r>
          </w:p>
        </w:tc>
      </w:tr>
      <w:tr>
        <w:trPr>
          <w:trHeight w:val="168"/>
        </w:trPr>
        <w:tc>
          <w:tcPr>
            <w:tcW w:w="31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gridSpan w:val="2"/>
          </w:tcPr>
          <w:p>
            <w:pPr>
              <w:jc w:val="center"/>
              <w:ind w:right="440"/>
              <w:spacing w:after="0" w:line="168"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32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The Nasdaq Global Select Market</w:t>
            </w:r>
          </w:p>
        </w:tc>
      </w:tr>
      <w:tr>
        <w:trPr>
          <w:trHeight w:val="223"/>
        </w:trPr>
        <w:tc>
          <w:tcPr>
            <w:tcW w:w="37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par value $0.01 per share</w:t>
            </w:r>
          </w:p>
        </w:tc>
        <w:tc>
          <w:tcPr>
            <w:tcW w:w="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55" w:lineRule="exact"/>
        <w:rPr>
          <w:sz w:val="24"/>
          <w:szCs w:val="24"/>
          <w:color w:val="auto"/>
        </w:rPr>
      </w:pPr>
    </w:p>
    <w:p>
      <w:pPr>
        <w:ind w:left="4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40" w:right="380"/>
        <w:spacing w:after="0" w:line="24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0"/>
        <w:spacing w:after="0" w:line="161" w:lineRule="exact"/>
        <w:tabs>
          <w:tab w:leader="none" w:pos="700" w:val="left"/>
          <w:tab w:leader="none" w:pos="10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4"/>
          <w:szCs w:val="14"/>
          <w:color w:val="auto"/>
        </w:rPr>
        <w:t>☐</w:t>
      </w:r>
    </w:p>
    <w:p>
      <w:pPr>
        <w:spacing w:after="0" w:line="112" w:lineRule="exact"/>
        <w:rPr>
          <w:sz w:val="24"/>
          <w:szCs w:val="24"/>
          <w:color w:val="auto"/>
        </w:rPr>
      </w:pPr>
    </w:p>
    <w:p>
      <w:pPr>
        <w:ind w:left="40" w:right="20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80"/>
          </w:cols>
          <w:pgMar w:left="800" w:top="661" w:right="919" w:bottom="1440" w:gutter="0" w:footer="0" w:header="0"/>
        </w:sectPr>
      </w:pPr>
    </w:p>
    <w:p>
      <w:pPr>
        <w:spacing w:after="0" w:line="173"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4">
            <w:col w:w="1640" w:space="720"/>
            <w:col w:w="420" w:space="720"/>
            <w:col w:w="1920" w:space="720"/>
            <w:col w:w="4040"/>
          </w:cols>
          <w:pgMar w:left="800" w:top="661" w:right="91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30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jc w:val="center"/>
        <w:ind w:right="2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48" w:lineRule="exact"/>
        <w:rPr>
          <w:sz w:val="24"/>
          <w:szCs w:val="24"/>
          <w:color w:val="auto"/>
        </w:rPr>
      </w:pPr>
    </w:p>
    <w:p>
      <w:pPr>
        <w:sectPr>
          <w:pgSz w:w="11900" w:h="16838" w:orient="portrait"/>
          <w:cols w:equalWidth="0" w:num="6">
            <w:col w:w="1640" w:space="720"/>
            <w:col w:w="420" w:space="720"/>
            <w:col w:w="1920" w:space="720"/>
            <w:col w:w="360" w:space="720"/>
            <w:col w:w="1760" w:space="720"/>
            <w:col w:w="480"/>
          </w:cols>
          <w:pgMar w:left="800" w:top="661" w:right="919" w:bottom="1440" w:gutter="0" w:footer="0" w:header="0"/>
          <w:type w:val="continuous"/>
        </w:sectPr>
      </w:pPr>
    </w:p>
    <w:p>
      <w:pPr>
        <w:ind w:left="40"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40" w:right="184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July 29, 2025, there were 26,151,724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674370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74295</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116840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80"/>
          </w:cols>
          <w:pgMar w:left="80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80" w:type="dxa"/>
            <w:vAlign w:val="bottom"/>
            <w:gridSpan w:val="13"/>
          </w:tcPr>
          <w:p>
            <w:pPr>
              <w:ind w:left="240"/>
              <w:spacing w:after="0"/>
              <w:rPr>
                <w:sz w:val="20"/>
                <w:szCs w:val="20"/>
                <w:color w:val="auto"/>
              </w:rPr>
            </w:pPr>
            <w:r>
              <w:rPr>
                <w:rFonts w:ascii="Arial" w:cs="Arial" w:eastAsia="Arial" w:hAnsi="Arial"/>
                <w:sz w:val="18"/>
                <w:szCs w:val="18"/>
                <w:b w:val="1"/>
                <w:bCs w:val="1"/>
                <w:color w:val="auto"/>
              </w:rPr>
              <w:t>TABLE OF CONTENTS</w:t>
            </w:r>
          </w:p>
        </w:tc>
      </w:tr>
      <w:tr>
        <w:trPr>
          <w:trHeight w:val="812"/>
        </w:trPr>
        <w:tc>
          <w:tcPr>
            <w:tcW w:w="440" w:type="dxa"/>
            <w:vAlign w:val="bottom"/>
          </w:tcPr>
          <w:p>
            <w:pPr>
              <w:spacing w:after="0"/>
              <w:rPr>
                <w:sz w:val="20"/>
                <w:szCs w:val="20"/>
                <w:color w:val="auto"/>
              </w:rPr>
            </w:pPr>
            <w:r>
              <w:rPr>
                <w:rFonts w:ascii="Arial" w:cs="Arial" w:eastAsia="Arial" w:hAnsi="Arial"/>
                <w:sz w:val="18"/>
                <w:szCs w:val="18"/>
                <w:b w:val="1"/>
                <w:bCs w:val="1"/>
                <w:color w:val="0000EE"/>
                <w:w w:val="93"/>
              </w:rPr>
              <w:t>Part I</w:t>
            </w:r>
          </w:p>
        </w:tc>
        <w:tc>
          <w:tcPr>
            <w:tcW w:w="800" w:type="dxa"/>
            <w:vAlign w:val="bottom"/>
            <w:gridSpan w:val="6"/>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b w:val="1"/>
                <w:bCs w:val="1"/>
                <w:color w:val="0000EE"/>
              </w:rPr>
              <w:t>Financial Information</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Arial" w:cs="Arial" w:eastAsia="Arial" w:hAnsi="Arial"/>
                <w:sz w:val="18"/>
                <w:szCs w:val="18"/>
                <w:color w:val="0000EE"/>
                <w:w w:val="79"/>
              </w:rPr>
              <w:t>Item 1.</w:t>
            </w:r>
          </w:p>
        </w:tc>
        <w:tc>
          <w:tcPr>
            <w:tcW w:w="760" w:type="dxa"/>
            <w:vAlign w:val="bottom"/>
            <w:gridSpan w:val="5"/>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color w:val="0000EE"/>
              </w:rPr>
              <w:t>Financial Statements</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color w:val="0000EE"/>
              </w:rPr>
              <w:t>Condensed Consolidated Balance Sheets as of June 30, 2025 and December 31, 2024</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94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7"/>
              </w:rPr>
              <w:t>(Unaudited)</w:t>
            </w:r>
          </w:p>
        </w:tc>
        <w:tc>
          <w:tcPr>
            <w:tcW w:w="5880" w:type="dxa"/>
            <w:vAlign w:val="bottom"/>
            <w:tcBorders>
              <w:top w:val="single" w:sz="8" w:color="0000EE"/>
            </w:tcBorders>
            <w:gridSpan w:val="18"/>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Operations and Comprehensive Loss for the</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5200" w:type="dxa"/>
            <w:vAlign w:val="bottom"/>
            <w:tcBorders>
              <w:top w:val="single" w:sz="8" w:color="0000EE"/>
              <w:bottom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9"/>
              </w:rPr>
              <w:t>three and six months ended June 30, 2025 and 2024 (Unaudited)</w:t>
            </w:r>
          </w:p>
        </w:tc>
        <w:tc>
          <w:tcPr>
            <w:tcW w:w="1420" w:type="dxa"/>
            <w:vAlign w:val="bottom"/>
            <w:tcBorders>
              <w:top w:val="single" w:sz="8" w:color="0000EE"/>
            </w:tcBorders>
            <w:gridSpan w:val="4"/>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Stockholders</w:t>
            </w:r>
            <w:r>
              <w:rPr>
                <w:rFonts w:ascii="Times New Roman" w:cs="Times New Roman" w:eastAsia="Times New Roman" w:hAnsi="Times New Roman"/>
                <w:sz w:val="18"/>
                <w:szCs w:val="18"/>
                <w:color w:val="0000EE"/>
              </w:rPr>
              <w:t>’</w:t>
            </w:r>
            <w:r>
              <w:rPr>
                <w:rFonts w:ascii="Arial" w:cs="Arial" w:eastAsia="Arial" w:hAnsi="Arial"/>
                <w:sz w:val="18"/>
                <w:szCs w:val="18"/>
                <w:color w:val="0000EE"/>
              </w:rPr>
              <w:t xml:space="preserve"> Equity for the three and six</w:t>
            </w: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12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9"/>
              </w:rPr>
              <w:t>months ended June 30, 2025 and 2024 (Unaudited)</w:t>
            </w:r>
          </w:p>
        </w:tc>
        <w:tc>
          <w:tcPr>
            <w:tcW w:w="2260" w:type="dxa"/>
            <w:vAlign w:val="bottom"/>
            <w:tcBorders>
              <w:top w:val="single" w:sz="8" w:color="0000EE"/>
            </w:tcBorders>
            <w:gridSpan w:val="6"/>
          </w:tcPr>
          <w:p>
            <w:pPr>
              <w:spacing w:after="0"/>
              <w:rPr>
                <w:sz w:val="17"/>
                <w:szCs w:val="17"/>
                <w:color w:val="auto"/>
              </w:rPr>
            </w:pPr>
          </w:p>
        </w:tc>
        <w:tc>
          <w:tcPr>
            <w:tcW w:w="460" w:type="dxa"/>
            <w:vAlign w:val="bottom"/>
            <w:gridSpan w:val="4"/>
          </w:tcPr>
          <w:p>
            <w:pPr>
              <w:spacing w:after="0"/>
              <w:rPr>
                <w:sz w:val="17"/>
                <w:szCs w:val="17"/>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Cash Flows for the six months ended June 30,</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80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2025 and 2024 (Unaudited)</w:t>
            </w:r>
          </w:p>
        </w:tc>
        <w:tc>
          <w:tcPr>
            <w:tcW w:w="40" w:type="dxa"/>
            <w:vAlign w:val="bottom"/>
            <w:gridSpan w:val="2"/>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color w:val="0000EE"/>
              </w:rPr>
              <w:t>Notes to Condensed Consolidated Financial Statements (Unaudited)</w:t>
            </w:r>
          </w:p>
        </w:tc>
      </w:tr>
      <w:tr>
        <w:trPr>
          <w:trHeight w:val="20"/>
        </w:trPr>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r>
      <w:tr>
        <w:trPr>
          <w:trHeight w:val="398"/>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2.</w:t>
            </w:r>
          </w:p>
        </w:tc>
        <w:tc>
          <w:tcPr>
            <w:tcW w:w="760" w:type="dxa"/>
            <w:vAlign w:val="bottom"/>
            <w:gridSpan w:val="5"/>
          </w:tcPr>
          <w:p>
            <w:pPr>
              <w:spacing w:after="0"/>
              <w:rPr>
                <w:sz w:val="24"/>
                <w:szCs w:val="24"/>
                <w:color w:val="auto"/>
              </w:rPr>
            </w:pPr>
          </w:p>
        </w:tc>
        <w:tc>
          <w:tcPr>
            <w:tcW w:w="61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Management</w:t>
            </w:r>
            <w:r>
              <w:rPr>
                <w:rFonts w:ascii="Times New Roman" w:cs="Times New Roman" w:eastAsia="Times New Roman" w:hAnsi="Times New Roman"/>
                <w:sz w:val="18"/>
                <w:szCs w:val="18"/>
                <w:color w:val="0000EE"/>
                <w:w w:val="99"/>
              </w:rPr>
              <w:t>’</w:t>
            </w:r>
            <w:r>
              <w:rPr>
                <w:rFonts w:ascii="Arial" w:cs="Arial" w:eastAsia="Arial" w:hAnsi="Arial"/>
                <w:sz w:val="18"/>
                <w:szCs w:val="18"/>
                <w:color w:val="0000EE"/>
                <w:w w:val="99"/>
              </w:rPr>
              <w:t>s Discussion and Analysis of Financial Condition and Results of</w:t>
            </w:r>
          </w:p>
        </w:tc>
        <w:tc>
          <w:tcPr>
            <w:tcW w:w="800" w:type="dxa"/>
            <w:vAlign w:val="bottom"/>
            <w:gridSpan w:val="5"/>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Operations</w:t>
            </w:r>
          </w:p>
        </w:tc>
        <w:tc>
          <w:tcPr>
            <w:tcW w:w="5960" w:type="dxa"/>
            <w:vAlign w:val="bottom"/>
            <w:gridSpan w:val="20"/>
          </w:tcPr>
          <w:p>
            <w:pPr>
              <w:spacing w:after="0"/>
              <w:rPr>
                <w:sz w:val="17"/>
                <w:szCs w:val="17"/>
                <w:color w:val="auto"/>
              </w:rPr>
            </w:pPr>
          </w:p>
        </w:tc>
      </w:tr>
      <w:tr>
        <w:trPr>
          <w:trHeight w:val="385"/>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7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260" w:type="dxa"/>
            <w:vAlign w:val="bottom"/>
            <w:gridSpan w:val="9"/>
          </w:tcPr>
          <w:p>
            <w:pPr>
              <w:spacing w:after="0"/>
              <w:rPr>
                <w:sz w:val="24"/>
                <w:szCs w:val="24"/>
                <w:color w:val="auto"/>
              </w:rPr>
            </w:pPr>
          </w:p>
        </w:tc>
      </w:tr>
      <w:tr>
        <w:trPr>
          <w:trHeight w:val="398"/>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4.</w:t>
            </w:r>
          </w:p>
        </w:tc>
        <w:tc>
          <w:tcPr>
            <w:tcW w:w="760" w:type="dxa"/>
            <w:vAlign w:val="bottom"/>
            <w:gridSpan w:val="5"/>
          </w:tcPr>
          <w:p>
            <w:pPr>
              <w:spacing w:after="0"/>
              <w:rPr>
                <w:sz w:val="24"/>
                <w:szCs w:val="24"/>
                <w:color w:val="auto"/>
              </w:rPr>
            </w:pPr>
          </w:p>
        </w:tc>
        <w:tc>
          <w:tcPr>
            <w:tcW w:w="2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Controls and Procedures</w:t>
            </w:r>
          </w:p>
        </w:tc>
        <w:tc>
          <w:tcPr>
            <w:tcW w:w="4980" w:type="dxa"/>
            <w:vAlign w:val="bottom"/>
            <w:gridSpan w:val="13"/>
          </w:tcPr>
          <w:p>
            <w:pPr>
              <w:spacing w:after="0"/>
              <w:rPr>
                <w:sz w:val="24"/>
                <w:szCs w:val="24"/>
                <w:color w:val="auto"/>
              </w:rPr>
            </w:pPr>
          </w:p>
        </w:tc>
      </w:tr>
      <w:tr>
        <w:trPr>
          <w:trHeight w:val="399"/>
        </w:trPr>
        <w:tc>
          <w:tcPr>
            <w:tcW w:w="1240" w:type="dxa"/>
            <w:vAlign w:val="bottom"/>
            <w:gridSpan w:val="7"/>
          </w:tcPr>
          <w:p>
            <w:pPr>
              <w:spacing w:after="0"/>
              <w:rPr>
                <w:sz w:val="20"/>
                <w:szCs w:val="20"/>
                <w:color w:val="auto"/>
              </w:rPr>
            </w:pPr>
            <w:r>
              <w:rPr>
                <w:rFonts w:ascii="Arial" w:cs="Arial" w:eastAsia="Arial" w:hAnsi="Arial"/>
                <w:sz w:val="18"/>
                <w:szCs w:val="18"/>
                <w:b w:val="1"/>
                <w:bCs w:val="1"/>
                <w:color w:val="0000EE"/>
              </w:rPr>
              <w:t>Part II</w:t>
            </w:r>
          </w:p>
        </w:tc>
        <w:tc>
          <w:tcPr>
            <w:tcW w:w="6980" w:type="dxa"/>
            <w:vAlign w:val="bottom"/>
            <w:gridSpan w:val="24"/>
          </w:tcPr>
          <w:p>
            <w:pPr>
              <w:spacing w:after="0"/>
              <w:rPr>
                <w:sz w:val="20"/>
                <w:szCs w:val="20"/>
                <w:color w:val="auto"/>
              </w:rPr>
            </w:pPr>
            <w:r>
              <w:rPr>
                <w:rFonts w:ascii="Arial" w:cs="Arial" w:eastAsia="Arial" w:hAnsi="Arial"/>
                <w:sz w:val="18"/>
                <w:szCs w:val="18"/>
                <w:b w:val="1"/>
                <w:bCs w:val="1"/>
                <w:color w:val="0000EE"/>
              </w:rPr>
              <w:t>Other Information</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15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Legal Proceedings</w:t>
            </w:r>
          </w:p>
        </w:tc>
        <w:tc>
          <w:tcPr>
            <w:tcW w:w="5460" w:type="dxa"/>
            <w:vAlign w:val="bottom"/>
            <w:gridSpan w:val="17"/>
          </w:tcPr>
          <w:p>
            <w:pPr>
              <w:spacing w:after="0"/>
              <w:rPr>
                <w:sz w:val="24"/>
                <w:szCs w:val="24"/>
                <w:color w:val="auto"/>
              </w:rPr>
            </w:pPr>
          </w:p>
        </w:tc>
      </w:tr>
      <w:tr>
        <w:trPr>
          <w:trHeight w:val="398"/>
        </w:trPr>
        <w:tc>
          <w:tcPr>
            <w:tcW w:w="660" w:type="dxa"/>
            <w:vAlign w:val="bottom"/>
            <w:gridSpan w:val="4"/>
          </w:tcPr>
          <w:p>
            <w:pPr>
              <w:spacing w:after="0"/>
              <w:rPr>
                <w:sz w:val="20"/>
                <w:szCs w:val="20"/>
                <w:color w:val="auto"/>
              </w:rPr>
            </w:pPr>
            <w:r>
              <w:rPr>
                <w:rFonts w:ascii="Arial" w:cs="Arial" w:eastAsia="Arial" w:hAnsi="Arial"/>
                <w:sz w:val="18"/>
                <w:szCs w:val="18"/>
                <w:color w:val="0000EE"/>
                <w:w w:val="95"/>
              </w:rPr>
              <w:t>Item 1A.</w:t>
            </w:r>
          </w:p>
        </w:tc>
        <w:tc>
          <w:tcPr>
            <w:tcW w:w="580" w:type="dxa"/>
            <w:vAlign w:val="bottom"/>
            <w:gridSpan w:val="3"/>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color w:val="0000EE"/>
              </w:rPr>
              <w:t>Risk Factors</w:t>
            </w: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2.</w:t>
            </w:r>
          </w:p>
        </w:tc>
        <w:tc>
          <w:tcPr>
            <w:tcW w:w="100" w:type="dxa"/>
            <w:vAlign w:val="bottom"/>
          </w:tcPr>
          <w:p>
            <w:pPr>
              <w:spacing w:after="0"/>
              <w:rPr>
                <w:sz w:val="24"/>
                <w:szCs w:val="24"/>
                <w:color w:val="auto"/>
              </w:rPr>
            </w:pPr>
          </w:p>
        </w:tc>
        <w:tc>
          <w:tcPr>
            <w:tcW w:w="580" w:type="dxa"/>
            <w:vAlign w:val="bottom"/>
            <w:gridSpan w:val="3"/>
          </w:tcPr>
          <w:p>
            <w:pPr>
              <w:spacing w:after="0"/>
              <w:rPr>
                <w:sz w:val="24"/>
                <w:szCs w:val="24"/>
                <w:color w:val="auto"/>
              </w:rPr>
            </w:pPr>
          </w:p>
        </w:tc>
        <w:tc>
          <w:tcPr>
            <w:tcW w:w="48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Unregistered Sales of Equity Securities and Use of Proceeds</w:t>
            </w:r>
          </w:p>
        </w:tc>
        <w:tc>
          <w:tcPr>
            <w:tcW w:w="2120" w:type="dxa"/>
            <w:vAlign w:val="bottom"/>
            <w:gridSpan w:val="8"/>
          </w:tcPr>
          <w:p>
            <w:pPr>
              <w:spacing w:after="0"/>
              <w:rPr>
                <w:sz w:val="24"/>
                <w:szCs w:val="24"/>
                <w:color w:val="auto"/>
              </w:rPr>
            </w:pPr>
          </w:p>
        </w:tc>
      </w:tr>
      <w:tr>
        <w:trPr>
          <w:trHeight w:val="399"/>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25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Defaults Upon Senior Securities</w:t>
            </w:r>
          </w:p>
        </w:tc>
        <w:tc>
          <w:tcPr>
            <w:tcW w:w="4420" w:type="dxa"/>
            <w:vAlign w:val="bottom"/>
            <w:gridSpan w:val="11"/>
          </w:tcPr>
          <w:p>
            <w:pPr>
              <w:spacing w:after="0"/>
              <w:rPr>
                <w:sz w:val="24"/>
                <w:szCs w:val="24"/>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19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Mine Safety Disclosures</w:t>
            </w:r>
          </w:p>
        </w:tc>
        <w:tc>
          <w:tcPr>
            <w:tcW w:w="5040" w:type="dxa"/>
            <w:vAlign w:val="bottom"/>
            <w:gridSpan w:val="14"/>
          </w:tcPr>
          <w:p>
            <w:pPr>
              <w:spacing w:after="0"/>
              <w:rPr>
                <w:sz w:val="24"/>
                <w:szCs w:val="24"/>
                <w:color w:val="auto"/>
              </w:rPr>
            </w:pPr>
          </w:p>
        </w:tc>
      </w:tr>
      <w:tr>
        <w:trPr>
          <w:trHeight w:val="398"/>
        </w:trPr>
        <w:tc>
          <w:tcPr>
            <w:tcW w:w="560" w:type="dxa"/>
            <w:vAlign w:val="bottom"/>
            <w:gridSpan w:val="3"/>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6980" w:type="dxa"/>
            <w:vAlign w:val="bottom"/>
            <w:gridSpan w:val="24"/>
          </w:tcPr>
          <w:p>
            <w:pPr>
              <w:spacing w:after="0"/>
              <w:rPr>
                <w:sz w:val="20"/>
                <w:szCs w:val="20"/>
                <w:color w:val="auto"/>
              </w:rPr>
            </w:pPr>
            <w:r>
              <w:rPr>
                <w:rFonts w:ascii="Arial" w:cs="Arial" w:eastAsia="Arial" w:hAnsi="Arial"/>
                <w:sz w:val="18"/>
                <w:szCs w:val="18"/>
                <w:color w:val="0000EE"/>
              </w:rPr>
              <w:t>Other Information</w:t>
            </w:r>
          </w:p>
        </w:tc>
      </w:tr>
      <w:tr>
        <w:trPr>
          <w:trHeight w:val="399"/>
        </w:trPr>
        <w:tc>
          <w:tcPr>
            <w:tcW w:w="4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79"/>
              </w:rPr>
              <w:t>Item 6.</w:t>
            </w:r>
          </w:p>
        </w:tc>
        <w:tc>
          <w:tcPr>
            <w:tcW w:w="80" w:type="dxa"/>
            <w:vAlign w:val="bottom"/>
            <w:tcBorders>
              <w:top w:val="single" w:sz="8" w:color="0000EE"/>
            </w:tcBorders>
          </w:tcPr>
          <w:p>
            <w:pPr>
              <w:spacing w:after="0"/>
              <w:rPr>
                <w:sz w:val="24"/>
                <w:szCs w:val="24"/>
                <w:color w:val="auto"/>
              </w:rPr>
            </w:pPr>
          </w:p>
        </w:tc>
        <w:tc>
          <w:tcPr>
            <w:tcW w:w="680" w:type="dxa"/>
            <w:vAlign w:val="bottom"/>
            <w:gridSpan w:val="4"/>
          </w:tcPr>
          <w:p>
            <w:pPr>
              <w:spacing w:after="0"/>
              <w:rPr>
                <w:sz w:val="24"/>
                <w:szCs w:val="24"/>
                <w:color w:val="auto"/>
              </w:rPr>
            </w:pP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Exhibits</w:t>
            </w:r>
          </w:p>
        </w:tc>
        <w:tc>
          <w:tcPr>
            <w:tcW w:w="760" w:type="dxa"/>
            <w:vAlign w:val="bottom"/>
            <w:tcBorders>
              <w:top w:val="single" w:sz="8" w:color="0000EE"/>
            </w:tcBorders>
            <w:gridSpan w:val="4"/>
          </w:tcPr>
          <w:p>
            <w:pPr>
              <w:spacing w:after="0"/>
              <w:rPr>
                <w:sz w:val="24"/>
                <w:szCs w:val="24"/>
                <w:color w:val="auto"/>
              </w:rPr>
            </w:pPr>
          </w:p>
        </w:tc>
        <w:tc>
          <w:tcPr>
            <w:tcW w:w="5580" w:type="dxa"/>
            <w:vAlign w:val="bottom"/>
            <w:gridSpan w:val="18"/>
          </w:tcPr>
          <w:p>
            <w:pPr>
              <w:spacing w:after="0"/>
              <w:rPr>
                <w:sz w:val="24"/>
                <w:szCs w:val="24"/>
                <w:color w:val="auto"/>
              </w:rPr>
            </w:pPr>
          </w:p>
        </w:tc>
      </w:tr>
      <w:tr>
        <w:trPr>
          <w:trHeight w:val="398"/>
        </w:trPr>
        <w:tc>
          <w:tcPr>
            <w:tcW w:w="1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Exhibit Index</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1240" w:type="dxa"/>
            <w:vAlign w:val="bottom"/>
            <w:gridSpan w:val="7"/>
          </w:tcPr>
          <w:p>
            <w:pPr>
              <w:spacing w:after="0"/>
              <w:rPr>
                <w:sz w:val="20"/>
                <w:szCs w:val="20"/>
                <w:color w:val="auto"/>
              </w:rPr>
            </w:pPr>
            <w:r>
              <w:rPr>
                <w:rFonts w:ascii="Arial" w:cs="Arial" w:eastAsia="Arial" w:hAnsi="Arial"/>
                <w:sz w:val="18"/>
                <w:szCs w:val="18"/>
                <w:color w:val="0000EE"/>
              </w:rPr>
              <w:t>Signatures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4"/>
        </w:trPr>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14"/>
          </w:tcPr>
          <w:p>
            <w:pPr>
              <w:ind w:left="316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332105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8</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19</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29</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30</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30</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31</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31</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31</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31</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2">
            <w:col w:w="8240" w:space="340"/>
            <w:col w:w="43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2025</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10"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financial results and financial position, clinical trial results, prospective products, product approvals, research and development costs, timing and likelihood of success, and the plans and objectives of management for future operations.</w:t>
      </w:r>
    </w:p>
    <w:p>
      <w:pPr>
        <w:spacing w:after="0" w:line="18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2024, which are summarized below, as updated in Part II, Item 1A. “Risk Factors” in this Quarterly Report on Form 10-Q. Moreover, we operate in an evolving environment. New risk factors and uncertainties may emerge from time to time, and it is not possible for management to predict all risk factors and uncertainties.</w:t>
      </w:r>
    </w:p>
    <w:p>
      <w:pPr>
        <w:spacing w:after="0" w:line="18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19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our Annual Report on Form 10-K for the year ended December 31, 2024, as updated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spacing w:after="0" w:line="176" w:lineRule="exact"/>
        <w:rPr>
          <w:sz w:val="20"/>
          <w:szCs w:val="20"/>
          <w:color w:val="auto"/>
        </w:rPr>
      </w:pPr>
    </w:p>
    <w:p>
      <w:pPr>
        <w:ind w:left="720" w:right="7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46" w:lineRule="exact"/>
        <w:rPr>
          <w:rFonts w:ascii="Times New Roman" w:cs="Times New Roman" w:eastAsia="Times New Roman" w:hAnsi="Times New Roman"/>
          <w:sz w:val="18"/>
          <w:szCs w:val="18"/>
          <w:color w:val="auto"/>
        </w:rPr>
      </w:pPr>
    </w:p>
    <w:p>
      <w:pPr>
        <w:ind w:left="720" w:right="69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management, and directors (one of whom is affiliated with one of our principal stockholders) own a significant percentage of our stock and will be able to exert significant control over matters subject to stockholder approval;</w:t>
      </w:r>
    </w:p>
    <w:p>
      <w:pPr>
        <w:spacing w:after="0" w:line="62" w:lineRule="exact"/>
        <w:rPr>
          <w:rFonts w:ascii="Times New Roman" w:cs="Times New Roman" w:eastAsia="Times New Roman" w:hAnsi="Times New Roman"/>
          <w:sz w:val="18"/>
          <w:szCs w:val="18"/>
          <w:color w:val="auto"/>
        </w:rPr>
      </w:pPr>
    </w:p>
    <w:p>
      <w:pPr>
        <w:ind w:left="720" w:right="7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history operating as a commercial company and are highly dependent on a single product, Barostim, and the failure to increase market acceptance in the U.S. for Barostim would negatively impact our business, liquidity,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83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commercial sales experience marketing and selling Barostim, and if we are unable to continue to maintain and grow sales and marketing capabilities, we will be unable to generate sustained and increasing product revenue;</w:t>
      </w:r>
    </w:p>
    <w:p>
      <w:pPr>
        <w:spacing w:after="0" w:line="6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must continue to demonstrate to physicians and patients the merits of Barostim;</w:t>
      </w:r>
    </w:p>
    <w:p>
      <w:pPr>
        <w:spacing w:after="0" w:line="116" w:lineRule="exact"/>
        <w:rPr>
          <w:rFonts w:ascii="Times New Roman" w:cs="Times New Roman" w:eastAsia="Times New Roman" w:hAnsi="Times New Roman"/>
          <w:sz w:val="18"/>
          <w:szCs w:val="18"/>
          <w:color w:val="auto"/>
        </w:rPr>
      </w:pPr>
    </w:p>
    <w:p>
      <w:pPr>
        <w:ind w:left="720" w:right="12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third-party payers do not provide adequate coverage and reimbursement for the use of Barostim, our revenue will be negatively impacted;</w:t>
      </w:r>
    </w:p>
    <w:p>
      <w:pPr>
        <w:spacing w:after="0" w:line="46" w:lineRule="exact"/>
        <w:rPr>
          <w:rFonts w:ascii="Times New Roman" w:cs="Times New Roman" w:eastAsia="Times New Roman" w:hAnsi="Times New Roman"/>
          <w:sz w:val="18"/>
          <w:szCs w:val="18"/>
          <w:color w:val="auto"/>
        </w:rPr>
      </w:pPr>
    </w:p>
    <w:p>
      <w:pPr>
        <w:ind w:left="720" w:right="679" w:hanging="319"/>
        <w:spacing w:after="0" w:line="243"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receive access to hospitals, our sales may decrease;</w:t>
      </w:r>
    </w:p>
    <w:p>
      <w:pPr>
        <w:spacing w:after="0" w:line="116" w:lineRule="exact"/>
        <w:rPr>
          <w:rFonts w:ascii="Times New Roman" w:cs="Times New Roman" w:eastAsia="Times New Roman" w:hAnsi="Times New Roman"/>
          <w:sz w:val="18"/>
          <w:szCs w:val="18"/>
          <w:color w:val="auto"/>
        </w:rPr>
      </w:pPr>
    </w:p>
    <w:p>
      <w:pPr>
        <w:ind w:left="720" w:right="89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spacing w:after="0" w:line="68" w:lineRule="exact"/>
        <w:rPr>
          <w:rFonts w:ascii="Times New Roman" w:cs="Times New Roman" w:eastAsia="Times New Roman" w:hAnsi="Times New Roman"/>
          <w:sz w:val="18"/>
          <w:szCs w:val="18"/>
          <w:color w:val="auto"/>
        </w:rPr>
      </w:pPr>
    </w:p>
    <w:p>
      <w:pPr>
        <w:ind w:left="720" w:right="5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46" w:lineRule="exact"/>
        <w:rPr>
          <w:rFonts w:ascii="Times New Roman" w:cs="Times New Roman" w:eastAsia="Times New Roman" w:hAnsi="Times New Roman"/>
          <w:sz w:val="18"/>
          <w:szCs w:val="18"/>
          <w:color w:val="auto"/>
        </w:rPr>
      </w:pPr>
    </w:p>
    <w:p>
      <w:pPr>
        <w:ind w:left="720" w:right="12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pandemic, epidemic or outbreak of an infectious disease in the U.S. or worldwide could adversely affect our business;</w:t>
      </w:r>
    </w:p>
    <w:p>
      <w:pPr>
        <w:spacing w:after="0" w:line="46" w:lineRule="exact"/>
        <w:rPr>
          <w:rFonts w:ascii="Times New Roman" w:cs="Times New Roman" w:eastAsia="Times New Roman" w:hAnsi="Times New Roman"/>
          <w:sz w:val="18"/>
          <w:szCs w:val="18"/>
          <w:color w:val="auto"/>
        </w:rPr>
      </w:pPr>
    </w:p>
    <w:p>
      <w:pPr>
        <w:ind w:left="720" w:right="5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46" w:lineRule="exact"/>
        <w:rPr>
          <w:rFonts w:ascii="Times New Roman" w:cs="Times New Roman" w:eastAsia="Times New Roman" w:hAnsi="Times New Roman"/>
          <w:sz w:val="18"/>
          <w:szCs w:val="18"/>
          <w:color w:val="auto"/>
        </w:rPr>
      </w:pPr>
    </w:p>
    <w:p>
      <w:pPr>
        <w:ind w:left="720" w:right="59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spacing w:after="0" w:line="68" w:lineRule="exact"/>
        <w:rPr>
          <w:rFonts w:ascii="Times New Roman" w:cs="Times New Roman" w:eastAsia="Times New Roman" w:hAnsi="Times New Roman"/>
          <w:sz w:val="18"/>
          <w:szCs w:val="18"/>
          <w:color w:val="auto"/>
        </w:rPr>
      </w:pPr>
    </w:p>
    <w:p>
      <w:pPr>
        <w:ind w:left="720" w:right="67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23" w:lineRule="exact"/>
        <w:rPr>
          <w:rFonts w:ascii="Times New Roman" w:cs="Times New Roman" w:eastAsia="Times New Roman" w:hAnsi="Times New Roman"/>
          <w:sz w:val="17"/>
          <w:szCs w:val="17"/>
          <w:color w:val="auto"/>
        </w:rPr>
      </w:pPr>
    </w:p>
    <w:p>
      <w:pPr>
        <w:ind w:left="720" w:right="8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obtain long-term clinical data regarding the safety and effectiveness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6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95,025</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105,933</w:t>
            </w:r>
          </w:p>
        </w:tc>
        <w:tc>
          <w:tcPr>
            <w:tcW w:w="0" w:type="dxa"/>
            <w:vAlign w:val="bottom"/>
          </w:tcPr>
          <w:p>
            <w:pPr>
              <w:spacing w:after="0"/>
              <w:rPr>
                <w:sz w:val="1"/>
                <w:szCs w:val="1"/>
                <w:color w:val="auto"/>
              </w:rPr>
            </w:pPr>
          </w:p>
        </w:tc>
      </w:tr>
      <w:tr>
        <w:trPr>
          <w:trHeight w:val="203"/>
        </w:trPr>
        <w:tc>
          <w:tcPr>
            <w:tcW w:w="672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 of allowances of $871 and $780, respectively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7,153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9,268</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11,720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12,107</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116,145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129,813</w:t>
            </w: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2,345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119,564</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133,414</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3,032</w:t>
            </w:r>
          </w:p>
        </w:tc>
        <w:tc>
          <w:tcPr>
            <w:tcW w:w="14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6,657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8,180</w:t>
            </w:r>
          </w:p>
        </w:tc>
        <w:tc>
          <w:tcPr>
            <w:tcW w:w="0" w:type="dxa"/>
            <w:vAlign w:val="bottom"/>
          </w:tcPr>
          <w:p>
            <w:pPr>
              <w:spacing w:after="0"/>
              <w:rPr>
                <w:sz w:val="1"/>
                <w:szCs w:val="1"/>
                <w:color w:val="auto"/>
              </w:rPr>
            </w:pPr>
          </w:p>
        </w:tc>
      </w:tr>
      <w:tr>
        <w:trPr>
          <w:trHeight w:val="196"/>
        </w:trPr>
        <w:tc>
          <w:tcPr>
            <w:tcW w:w="6720" w:type="dxa"/>
            <w:vAlign w:val="bottom"/>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9,689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49,392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49,273</w:t>
            </w: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Operating lease liability, non-current portion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819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1,730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61,630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62,359</w:t>
            </w:r>
          </w:p>
        </w:tc>
        <w:tc>
          <w:tcPr>
            <w:tcW w:w="0" w:type="dxa"/>
            <w:vAlign w:val="bottom"/>
          </w:tcPr>
          <w:p>
            <w:pPr>
              <w:spacing w:after="0"/>
              <w:rPr>
                <w:sz w:val="1"/>
                <w:szCs w:val="1"/>
                <w:color w:val="auto"/>
              </w:rPr>
            </w:pPr>
          </w:p>
        </w:tc>
      </w:tr>
      <w:tr>
        <w:trPr>
          <w:trHeight w:val="183"/>
        </w:trPr>
        <w:tc>
          <w:tcPr>
            <w:tcW w:w="67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7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Common stock, $0.01 par value, 200,000,000 authorized as of June 30, 2025 and</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2024; 26,145,951 and 25,324,684 shares issued and outstanding as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of June 30, 2025 and December 31, 2024, respectively</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623,724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608,354</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(565,848)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(537,346)</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57,934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71,055</w:t>
            </w:r>
          </w:p>
        </w:tc>
        <w:tc>
          <w:tcPr>
            <w:tcW w:w="0" w:type="dxa"/>
            <w:vAlign w:val="bottom"/>
          </w:tcPr>
          <w:p>
            <w:pPr>
              <w:spacing w:after="0"/>
              <w:rPr>
                <w:sz w:val="1"/>
                <w:szCs w:val="1"/>
                <w:color w:val="auto"/>
              </w:rPr>
            </w:pPr>
          </w:p>
        </w:tc>
      </w:tr>
      <w:tr>
        <w:trPr>
          <w:trHeight w:val="196"/>
        </w:trPr>
        <w:tc>
          <w:tcPr>
            <w:tcW w:w="6720" w:type="dxa"/>
            <w:vAlign w:val="bottom"/>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119,564</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133,414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Six months ended</w:t>
            </w:r>
          </w:p>
        </w:tc>
      </w:tr>
      <w:tr>
        <w:trPr>
          <w:trHeight w:val="178"/>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r>
      <w:tr>
        <w:trPr>
          <w:trHeight w:val="196"/>
        </w:trPr>
        <w:tc>
          <w:tcPr>
            <w:tcW w:w="3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2"/>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13,589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11,807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25,937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22,577</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4,175</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3,515</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11,450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9,907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21,762</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19,062</w:t>
            </w:r>
          </w:p>
        </w:tc>
      </w:tr>
      <w:tr>
        <w:trPr>
          <w:trHeight w:val="196"/>
        </w:trPr>
        <w:tc>
          <w:tcPr>
            <w:tcW w:w="36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6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5,822</w:t>
            </w:r>
          </w:p>
        </w:tc>
      </w:tr>
      <w:tr>
        <w:trPr>
          <w:trHeight w:val="203"/>
        </w:trPr>
        <w:tc>
          <w:tcPr>
            <w:tcW w:w="36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23,357</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21,115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44,589</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49,445</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25,826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23,880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49,575</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55,267</w:t>
            </w:r>
          </w:p>
        </w:tc>
      </w:tr>
      <w:tr>
        <w:trPr>
          <w:trHeight w:val="196"/>
        </w:trPr>
        <w:tc>
          <w:tcPr>
            <w:tcW w:w="360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(14,376)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(13,973)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(27,813)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(36,205)</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(1,919)</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2,233</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1,988</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(14,739)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(13,988)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(28,510)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(36,136)</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Benefit (provision) for income taxes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(14,736)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(14,029)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(28,502)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(36,215)</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(14,733)</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(14,029)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(28,499)</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(36,218)</w:t>
            </w:r>
          </w:p>
        </w:tc>
      </w:tr>
      <w:tr>
        <w:trPr>
          <w:trHeight w:val="196"/>
        </w:trPr>
        <w:tc>
          <w:tcPr>
            <w:tcW w:w="360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(0.57)</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(0.65)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c>
          <w:tcPr>
            <w:tcW w:w="2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r>
      <w:tr>
        <w:trPr>
          <w:trHeight w:val="184"/>
        </w:trPr>
        <w:tc>
          <w:tcPr>
            <w:tcW w:w="36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Weighted-average common shares used to</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 net loss per share, basic and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1"/>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26,071,316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21,628,542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25,974,229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21,430,276</w:t>
            </w: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3"/>
                <w:szCs w:val="13"/>
                <w:color w:val="auto"/>
              </w:rPr>
            </w:pPr>
          </w:p>
        </w:tc>
        <w:tc>
          <w:tcPr>
            <w:tcW w:w="68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64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3"/>
            <w:vMerge w:val="continue"/>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other</w:t>
            </w: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60" w:type="dxa"/>
            <w:vAlign w:val="bottom"/>
          </w:tcPr>
          <w:p>
            <w:pPr>
              <w:spacing w:after="0"/>
              <w:rPr>
                <w:sz w:val="13"/>
                <w:szCs w:val="13"/>
                <w:color w:val="auto"/>
              </w:rPr>
            </w:pPr>
          </w:p>
        </w:tc>
        <w:tc>
          <w:tcPr>
            <w:tcW w:w="164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paid-in</w:t>
            </w:r>
          </w:p>
        </w:tc>
        <w:tc>
          <w:tcPr>
            <w:tcW w:w="960" w:type="dxa"/>
            <w:vAlign w:val="bottom"/>
            <w:gridSpan w:val="3"/>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8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2"/>
              </w:rPr>
              <w:t>loss</w:t>
            </w:r>
          </w:p>
        </w:tc>
        <w:tc>
          <w:tcPr>
            <w:tcW w:w="160" w:type="dxa"/>
            <w:vAlign w:val="bottom"/>
          </w:tcPr>
          <w:p>
            <w:pPr>
              <w:spacing w:after="0"/>
              <w:rPr>
                <w:sz w:val="11"/>
                <w:szCs w:val="11"/>
                <w:color w:val="auto"/>
              </w:rPr>
            </w:pPr>
          </w:p>
        </w:tc>
        <w:tc>
          <w:tcPr>
            <w:tcW w:w="680" w:type="dxa"/>
            <w:vAlign w:val="bottom"/>
          </w:tcPr>
          <w:p>
            <w:pPr>
              <w:jc w:val="center"/>
              <w:ind w:right="97"/>
              <w:spacing w:after="0" w:line="129" w:lineRule="exact"/>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as of March 31, 2024</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26,051,992</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261</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620,416</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(551,112)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71,055</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22,017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71,942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2,916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2,916</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 for the three months ended June 30, 2025</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(14,736)</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(14,736)</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June 30, 2025</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26,145,951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261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623,724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(565,848)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57,934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Balances as of March 31, 2023</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21,593,173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565,822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(499,567)</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(210)</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66,261</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79,377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39,807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2,544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2,544</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Net loss for the three months ended June 30, 2024</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(14,029)</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(14,029)</w:t>
            </w:r>
          </w:p>
        </w:tc>
        <w:tc>
          <w:tcPr>
            <w:tcW w:w="0" w:type="dxa"/>
            <w:vAlign w:val="bottom"/>
          </w:tcPr>
          <w:p>
            <w:pPr>
              <w:spacing w:after="0"/>
              <w:rPr>
                <w:sz w:val="1"/>
                <w:szCs w:val="1"/>
                <w:color w:val="auto"/>
              </w:rPr>
            </w:pPr>
          </w:p>
        </w:tc>
      </w:tr>
      <w:tr>
        <w:trPr>
          <w:trHeight w:val="129"/>
        </w:trPr>
        <w:tc>
          <w:tcPr>
            <w:tcW w:w="3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June 30, 2024</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21,712,357</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217</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568,837</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(513,596)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(210)</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55,248</w:t>
            </w:r>
          </w:p>
        </w:tc>
        <w:tc>
          <w:tcPr>
            <w:tcW w:w="0" w:type="dxa"/>
            <w:vAlign w:val="bottom"/>
          </w:tcPr>
          <w:p>
            <w:pPr>
              <w:spacing w:after="0"/>
              <w:rPr>
                <w:sz w:val="1"/>
                <w:szCs w:val="1"/>
                <w:color w:val="auto"/>
              </w:rPr>
            </w:pPr>
          </w:p>
        </w:tc>
      </w:tr>
      <w:tr>
        <w:trPr>
          <w:trHeight w:val="678"/>
        </w:trPr>
        <w:tc>
          <w:tcPr>
            <w:tcW w:w="3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24"/>
                <w:szCs w:val="24"/>
                <w:color w:val="auto"/>
              </w:rPr>
            </w:pPr>
          </w:p>
        </w:tc>
        <w:tc>
          <w:tcPr>
            <w:tcW w:w="68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64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3"/>
            <w:vMerge w:val="continue"/>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other</w:t>
            </w: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60" w:type="dxa"/>
            <w:vAlign w:val="bottom"/>
          </w:tcPr>
          <w:p>
            <w:pPr>
              <w:spacing w:after="0"/>
              <w:rPr>
                <w:sz w:val="13"/>
                <w:szCs w:val="13"/>
                <w:color w:val="auto"/>
              </w:rPr>
            </w:pPr>
          </w:p>
        </w:tc>
        <w:tc>
          <w:tcPr>
            <w:tcW w:w="164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paid-in</w:t>
            </w:r>
          </w:p>
        </w:tc>
        <w:tc>
          <w:tcPr>
            <w:tcW w:w="960" w:type="dxa"/>
            <w:vAlign w:val="bottom"/>
            <w:gridSpan w:val="3"/>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8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2"/>
              </w:rPr>
              <w:t>loss</w:t>
            </w:r>
          </w:p>
        </w:tc>
        <w:tc>
          <w:tcPr>
            <w:tcW w:w="160" w:type="dxa"/>
            <w:vAlign w:val="bottom"/>
          </w:tcPr>
          <w:p>
            <w:pPr>
              <w:spacing w:after="0"/>
              <w:rPr>
                <w:sz w:val="11"/>
                <w:szCs w:val="11"/>
                <w:color w:val="auto"/>
              </w:rPr>
            </w:pPr>
          </w:p>
        </w:tc>
        <w:tc>
          <w:tcPr>
            <w:tcW w:w="680" w:type="dxa"/>
            <w:vAlign w:val="bottom"/>
          </w:tcPr>
          <w:p>
            <w:pPr>
              <w:jc w:val="center"/>
              <w:ind w:right="97"/>
              <w:spacing w:after="0" w:line="129" w:lineRule="exact"/>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as of December 31, 2024</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25,324,684</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253</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608,354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(537,346)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(206)</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71,055</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205,863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447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71,942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5,371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5,371</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543,462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9,192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9,198</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Net loss for the six months ended June 30, 2025</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(28,502)</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(28,502)</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35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Balances as of June 30, 2025</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26,145,951</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261</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623,724</w:t>
            </w:r>
          </w:p>
        </w:tc>
        <w:tc>
          <w:tcPr>
            <w:tcW w:w="1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(565,848)</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(203)</w:t>
            </w:r>
          </w:p>
        </w:tc>
        <w:tc>
          <w:tcPr>
            <w:tcW w:w="16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57,934</w:t>
            </w:r>
          </w:p>
        </w:tc>
        <w:tc>
          <w:tcPr>
            <w:tcW w:w="0" w:type="dxa"/>
            <w:vAlign w:val="bottom"/>
          </w:tcPr>
          <w:p>
            <w:pPr>
              <w:spacing w:after="0"/>
              <w:rPr>
                <w:sz w:val="1"/>
                <w:szCs w:val="1"/>
                <w:color w:val="auto"/>
              </w:rPr>
            </w:pPr>
          </w:p>
        </w:tc>
      </w:tr>
      <w:tr>
        <w:trPr>
          <w:trHeight w:val="115"/>
        </w:trPr>
        <w:tc>
          <w:tcPr>
            <w:tcW w:w="35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Balances as of December 31, 2023</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20,879,199</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209</w:t>
            </w:r>
          </w:p>
        </w:tc>
        <w:tc>
          <w:tcPr>
            <w:tcW w:w="1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553,326</w:t>
            </w:r>
          </w:p>
        </w:tc>
        <w:tc>
          <w:tcPr>
            <w:tcW w:w="14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(477,381)</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(207)</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75,947</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165,987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882</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39,807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406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13,685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13,685</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23,364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546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17"/>
        </w:trPr>
        <w:tc>
          <w:tcPr>
            <w:tcW w:w="356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rPr>
              <w:t>Issuance of common stock upon net exercise of common</w:t>
            </w: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604,000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Net loss for the six months ended June 30, 2024</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(36,215)</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(36,215)</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8"/>
        </w:trPr>
        <w:tc>
          <w:tcPr>
            <w:tcW w:w="35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Balances as of June 30, 2024</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21,712,357</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217</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568,837</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(513,596)</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(210)</w:t>
            </w:r>
          </w:p>
        </w:tc>
        <w:tc>
          <w:tcPr>
            <w:tcW w:w="1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55,248</w:t>
            </w:r>
          </w:p>
        </w:tc>
        <w:tc>
          <w:tcPr>
            <w:tcW w:w="0" w:type="dxa"/>
            <w:vAlign w:val="bottom"/>
          </w:tcPr>
          <w:p>
            <w:pPr>
              <w:spacing w:after="0"/>
              <w:rPr>
                <w:sz w:val="1"/>
                <w:szCs w:val="1"/>
                <w:color w:val="auto"/>
              </w:rPr>
            </w:pPr>
          </w:p>
        </w:tc>
      </w:tr>
      <w:tr>
        <w:trPr>
          <w:trHeight w:val="129"/>
        </w:trPr>
        <w:tc>
          <w:tcPr>
            <w:tcW w:w="35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(28,502)</w:t>
            </w:r>
          </w:p>
        </w:tc>
        <w:tc>
          <w:tcPr>
            <w:tcW w:w="40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(36,215)</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5,371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13,685</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r>
      <w:tr>
        <w:trPr>
          <w:trHeight w:val="202"/>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(1,055)</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Inventory</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1,253</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1,632</w:t>
            </w:r>
          </w:p>
        </w:tc>
      </w:tr>
      <w:tr>
        <w:trPr>
          <w:trHeight w:val="203"/>
        </w:trPr>
        <w:tc>
          <w:tcPr>
            <w:tcW w:w="62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(20,703)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(20,726)</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(1,272)</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(1,272)</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449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882</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Purchase Plan</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Proceeds from the issuance of common stock</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9,198</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546</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10,007</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1,834</w:t>
            </w:r>
          </w:p>
        </w:tc>
      </w:tr>
      <w:tr>
        <w:trPr>
          <w:trHeight w:val="196"/>
        </w:trPr>
        <w:tc>
          <w:tcPr>
            <w:tcW w:w="6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(10,908)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(20,169)</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105,933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90,569</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95,025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70,400</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2,537</w:t>
            </w:r>
          </w:p>
        </w:tc>
        <w:tc>
          <w:tcPr>
            <w:tcW w:w="40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1,613</w:t>
            </w:r>
          </w:p>
        </w:tc>
      </w:tr>
      <w:tr>
        <w:trPr>
          <w:trHeight w:val="239"/>
        </w:trPr>
        <w:tc>
          <w:tcPr>
            <w:tcW w:w="6280" w:type="dxa"/>
            <w:vAlign w:val="bottom"/>
          </w:tcPr>
          <w:p>
            <w:pPr>
              <w:ind w:left="100"/>
              <w:spacing w:after="0"/>
              <w:rPr>
                <w:sz w:val="20"/>
                <w:szCs w:val="20"/>
                <w:color w:val="auto"/>
              </w:rPr>
            </w:pPr>
            <w:r>
              <w:rPr>
                <w:rFonts w:ascii="Arial" w:cs="Arial" w:eastAsia="Arial" w:hAnsi="Arial"/>
                <w:sz w:val="18"/>
                <w:szCs w:val="18"/>
                <w:color w:val="auto"/>
              </w:rPr>
              <w:t>Cash paid for income taxes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16"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spacing w:after="0" w:line="169"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spacing w:after="0" w:line="180" w:lineRule="exact"/>
        <w:rPr>
          <w:sz w:val="20"/>
          <w:szCs w:val="20"/>
          <w:color w:val="auto"/>
        </w:rPr>
      </w:pPr>
    </w:p>
    <w:p>
      <w:pPr>
        <w:ind w:left="60" w:right="519"/>
        <w:spacing w:after="0" w:line="253" w:lineRule="auto"/>
        <w:rPr>
          <w:sz w:val="20"/>
          <w:szCs w:val="20"/>
          <w:color w:val="auto"/>
        </w:rPr>
      </w:pPr>
      <w:r>
        <w:rPr>
          <w:rFonts w:ascii="Arial" w:cs="Arial" w:eastAsia="Arial" w:hAnsi="Arial"/>
          <w:sz w:val="18"/>
          <w:szCs w:val="18"/>
          <w:color w:val="auto"/>
        </w:rPr>
        <w:t>The condensed consolidated financial statements include the accounts of CVRx, Inc. and its wholly owned subsidiary, CVRx Switzerland LLC. All intercompany balances and transactions have been eliminated in consolidation.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1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We are an emerging growth company under the Jumpstart Our Business Startups Act of 2012 (the “JOBS Act”). As a result, we have elected to take advantage of certain exemptions from various reporting requirements that are applicable to other public companies that are not emerging growth companies.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12"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June 30, 2025 and December 31, 2024, cash equivalents consisted of money market funds, which are stated at cost and approximate fair value. Additionally, as of June 30, 2025 and December 31, 2024, a majority of our cash and cash equivalents were maintained with two financial institutions in the U.S., and our current deposits are likely in excess of insured limits.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Trade accounts receivable are recorded at the invoiced amount and do not bear interest. Customer credit terms are established prior to shipment with the standard generally being net 30 days. We evaluate the collectability of our accounts receivable based on known collection risks and historical experience. In circumstances where we are aware of a specific customer's inability to meet its financial obligations to us, we record a specific allowance for bad debts against amounts due to reduce the carrying amount of accounts receivable to the amount we reasonably believe will be collected.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We regularly review inventory quantities based on actual loss experiences, projected future demand and remaining shelf life to record a provision for excess and obsolete inventory when appropriate.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12"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We sell our products primarily through a direct sales force and to a lesser extent through a combination of sales agents and independent distributors. Our revenue consists primarily of the sale of our Barostim, which consists of two implantable components: a pulse generator and a stimulation lead.</w:t>
      </w:r>
    </w:p>
    <w:p>
      <w:pPr>
        <w:spacing w:after="0" w:line="16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Under Accounting Standards Codification (“ASC”) Topic 606, Revenue from Contracts with Customers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We recognize net revenue on product sales, adjusted for any applicable estimates of variable consideration, when the customer obtains control of our product, which generally occurs at a point in time upon delivery based on the contractual shipping terms of a contract. Our contracts have a single performance obligation, and our payment terms with customers are generally between 30 and 90 days. Variable consideration related to certain customer rebates is estimated based on the amounts expected to be paid under the agreement with the customer.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(“FASB”)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and the fair value of restricted stock units (“RSUs”) is equal to the closing price of our common stock on the grant date. 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(“ASU 2023-09”), which requires public business entities to disclose specific categories in the rate reconciliation and provide additional information for reconciling items that meet a quantitative threshold. ASU 2023-09 is effective for annual periods beginning after December 15, 2024. This ASU will be effective for our annual period ending December 31, 2025. We are evaluating the impact of this new guidance on our income tax disclosures.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75"/>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5"/>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7,698</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6,857</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3,792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4,897</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12,107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and equipment, net consists of the following at:</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6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95"/>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5"/>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 equipment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548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6,129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5,912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3,784</w:t>
            </w:r>
          </w:p>
        </w:tc>
        <w:tc>
          <w:tcPr>
            <w:tcW w:w="1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2,345</w:t>
            </w:r>
          </w:p>
        </w:tc>
        <w:tc>
          <w:tcPr>
            <w:tcW w:w="18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is determined using the straight-line method over the estimated useful lives of the respective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assets, generally three to five years. Leasehold improvements are amortized on a straight-line basis over the</w:t>
      </w:r>
    </w:p>
    <w:p>
      <w:pPr>
        <w:ind w:left="60"/>
        <w:spacing w:after="0" w:line="234" w:lineRule="auto"/>
        <w:rPr>
          <w:sz w:val="20"/>
          <w:szCs w:val="20"/>
          <w:color w:val="auto"/>
        </w:rPr>
      </w:pPr>
      <w:r>
        <w:rPr>
          <w:rFonts w:ascii="Arial" w:cs="Arial" w:eastAsia="Arial" w:hAnsi="Arial"/>
          <w:sz w:val="18"/>
          <w:szCs w:val="18"/>
          <w:color w:val="auto"/>
        </w:rPr>
        <w:t>shorter of their estimated useful lives or the term of the lease. Depreciation expense was $193,000 and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$141,000 for the three months ended June 30, 2025 and 2024, respectively, and $377,000 and $272,000 for the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six months ended June 30, 2025 and 2024, respectively.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2024</w:t>
            </w:r>
          </w:p>
        </w:tc>
      </w:tr>
      <w:tr>
        <w:trPr>
          <w:trHeight w:val="196"/>
        </w:trPr>
        <w:tc>
          <w:tcPr>
            <w:tcW w:w="6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Bonuses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2,515</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3,621</w:t>
            </w: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Paid time off</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1,254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947</w:t>
            </w: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401(k) match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1,106</w:t>
            </w: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437</w:t>
            </w: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w:t>
            </w: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592</w:t>
            </w: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Clinical trial and other professional fees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Taxes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1,031</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878</w:t>
            </w:r>
          </w:p>
        </w:tc>
      </w:tr>
      <w:tr>
        <w:trPr>
          <w:trHeight w:val="196"/>
        </w:trPr>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6,657</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8,180</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Debt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Innovatus Loan Agreement</w:t>
      </w:r>
    </w:p>
    <w:p>
      <w:pPr>
        <w:spacing w:after="0" w:line="21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October 31, 2022, we entered into a Loan and Security Agreement (the “Loan Agreement”) with Innovatus Life Sciences Fund I, LP, as the collateral agent and a lender, allowing us to borrow, subject to our achievement of certain milestones, up to a total of $50.0 million in a series of term loans (collectively, the “Term Loans”). We had $50.0 million in outstanding Term Loans under the Loan Agreement as of June 30, 2025. The Loan Agreement initially requires interest only payments through November 2027, followed by three monthly principal and interest payments, of which a principal payment of $16.7 million is due in December 2027 and two principal payments of $16.7 million each are due in January 2028. A final payment of $2.3 million, equal to 4.5% of the funded amount, is due in January 2028. The Term Loans bear interest at a floating rate per annum equal to the sum of (a) the greater of (i) the prime rate and (ii) 5.50%; plus (b) 2.65%. The Term Loans are secured by substantially all of our personal property. A performance covenant took effect upon the third tranche funding, requiring that we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our capital stock, subject to limited exceptions. We were in compliance with these covenants as of June 30, 2025.</w:t>
      </w:r>
    </w:p>
    <w:p>
      <w:pPr>
        <w:spacing w:after="0" w:line="172"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In connection with the Loan Agreement, we recorded $1.1 million of debt issuance costs and discounts as a reduction of long-term debt.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annual principal maturities of debt under the Loan Agreement are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5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2025</w:t>
            </w: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2028</w:t>
            </w:r>
          </w:p>
        </w:tc>
        <w:tc>
          <w:tcPr>
            <w:tcW w:w="35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Less: Unamortized debt costs and discounts</w:t>
            </w:r>
          </w:p>
        </w:tc>
        <w:tc>
          <w:tcPr>
            <w:tcW w:w="35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Long-term debt</w:t>
            </w:r>
          </w:p>
        </w:tc>
        <w:tc>
          <w:tcPr>
            <w:tcW w:w="3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49,392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520" w:type="dxa"/>
            <w:vAlign w:val="bottom"/>
            <w:vMerge w:val="restart"/>
          </w:tcPr>
          <w:p>
            <w:pPr>
              <w:jc w:val="right"/>
              <w:ind w:right="283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39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9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Leases</w:t>
      </w:r>
    </w:p>
    <w:p>
      <w:pPr>
        <w:spacing w:after="0" w:line="21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lease 35,183 square feet of office space in Minneapolis, Minnesota, which houses our principal executive offices and our manufacturing facility. We lease this space under an operating lease agreement that commenced December 1, 2008, which has been amended to expand the leased space and extend the term of the lease, which expires August 31, 2028. Most recently, on May 20, 2025, we expanded our existing office space with an additional 3,678 square feet of property adjacent to our principal executive offices and our manufacturing facility. The term on this expanded property is for 39 consecutive months and runs concurrently with the term on the existing lease. We intend to add new facilities as we grow, and we believe that suitable additional or substitute space will be available as needed to accommodate any such expansion of our operations. Our operating lease agreement includes an option to renew for one additional period of three years. The exercise of the lease renewal option is at our sole discretion and was not included in the lease term for the calculation of the ROU asset and lease liability, as it is not reasonably certain of exercise.</w:t>
      </w:r>
    </w:p>
    <w:p>
      <w:pPr>
        <w:spacing w:after="0" w:line="186"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lease balances within the condensed consolidated balance sheets: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center"/>
              <w:ind w:right="70"/>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6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33"/>
              <w:spacing w:after="0"/>
              <w:rPr>
                <w:sz w:val="20"/>
                <w:szCs w:val="20"/>
                <w:color w:val="auto"/>
              </w:rPr>
            </w:pPr>
            <w:r>
              <w:rPr>
                <w:rFonts w:ascii="Arial" w:cs="Arial" w:eastAsia="Arial" w:hAnsi="Arial"/>
                <w:sz w:val="14"/>
                <w:szCs w:val="14"/>
                <w:b w:val="1"/>
                <w:bCs w:val="1"/>
                <w:color w:val="auto"/>
              </w:rPr>
              <w:t>2024</w:t>
            </w:r>
          </w:p>
        </w:tc>
      </w:tr>
      <w:tr>
        <w:trPr>
          <w:trHeight w:val="209"/>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6840" w:type="dxa"/>
            <w:vAlign w:val="bottom"/>
            <w:gridSpan w:val="2"/>
          </w:tcPr>
          <w:p>
            <w:pPr>
              <w:ind w:left="120"/>
              <w:spacing w:after="0"/>
              <w:rPr>
                <w:sz w:val="20"/>
                <w:szCs w:val="20"/>
                <w:color w:val="auto"/>
              </w:rPr>
            </w:pPr>
            <w:r>
              <w:rPr>
                <w:rFonts w:ascii="Arial" w:cs="Arial" w:eastAsia="Arial" w:hAnsi="Arial"/>
                <w:sz w:val="18"/>
                <w:szCs w:val="18"/>
                <w:color w:val="auto"/>
              </w:rPr>
              <w:t>Operating lease right-of-use asset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1,048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16"/>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16"/>
        </w:trPr>
        <w:tc>
          <w:tcPr>
            <w:tcW w:w="6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196"/>
        </w:trPr>
        <w:tc>
          <w:tcPr>
            <w:tcW w:w="68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operating lease liabilities</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1,152</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1,159</w:t>
            </w:r>
          </w:p>
        </w:tc>
      </w:tr>
      <w:tr>
        <w:trPr>
          <w:trHeight w:val="20"/>
        </w:trPr>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03"/>
        </w:trPr>
        <w:tc>
          <w:tcPr>
            <w:tcW w:w="7760" w:type="dxa"/>
            <w:vAlign w:val="bottom"/>
            <w:gridSpan w:val="6"/>
          </w:tcPr>
          <w:p>
            <w:pPr>
              <w:ind w:left="20"/>
              <w:spacing w:after="0"/>
              <w:rPr>
                <w:sz w:val="20"/>
                <w:szCs w:val="20"/>
                <w:color w:val="auto"/>
              </w:rPr>
            </w:pPr>
            <w:r>
              <w:rPr>
                <w:rFonts w:ascii="Arial" w:cs="Arial" w:eastAsia="Arial" w:hAnsi="Arial"/>
                <w:sz w:val="18"/>
                <w:szCs w:val="18"/>
                <w:color w:val="auto"/>
              </w:rPr>
              <w:t>Maturities of our lease liability for our operating lease are as follows as of June 30, 2025: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1"/>
        </w:trPr>
        <w:tc>
          <w:tcPr>
            <w:tcW w:w="6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rPr>
              <w:t>June 30,</w:t>
            </w:r>
          </w:p>
        </w:tc>
      </w:tr>
      <w:tr>
        <w:trPr>
          <w:trHeight w:val="171"/>
        </w:trPr>
        <w:tc>
          <w:tcPr>
            <w:tcW w:w="6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r>
      <w:tr>
        <w:trPr>
          <w:trHeight w:val="196"/>
        </w:trPr>
        <w:tc>
          <w:tcPr>
            <w:tcW w:w="6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w:t>
            </w: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w:t>
            </w:r>
          </w:p>
        </w:tc>
      </w:tr>
      <w:tr>
        <w:trPr>
          <w:trHeight w:val="203"/>
        </w:trPr>
        <w:tc>
          <w:tcPr>
            <w:tcW w:w="6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2028</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w:t>
            </w:r>
          </w:p>
        </w:tc>
      </w:tr>
      <w:tr>
        <w:trPr>
          <w:trHeight w:val="196"/>
        </w:trPr>
        <w:tc>
          <w:tcPr>
            <w:tcW w:w="68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undiscounted lease payments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1,288</w:t>
            </w:r>
          </w:p>
        </w:tc>
      </w:tr>
      <w:tr>
        <w:trPr>
          <w:trHeight w:val="203"/>
        </w:trPr>
        <w:tc>
          <w:tcPr>
            <w:tcW w:w="684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w:t>
            </w:r>
          </w:p>
        </w:tc>
      </w:tr>
      <w:tr>
        <w:trPr>
          <w:trHeight w:val="196"/>
        </w:trPr>
        <w:tc>
          <w:tcPr>
            <w:tcW w:w="68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Present value of lease liability</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1,152</w:t>
            </w:r>
          </w:p>
        </w:tc>
      </w:tr>
      <w:tr>
        <w:trPr>
          <w:trHeight w:val="20"/>
        </w:trPr>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2025, the remaining lease term was 3.2 years, and the weighted average discount rate was</w:t>
      </w:r>
    </w:p>
    <w:p>
      <w:pPr>
        <w:spacing w:after="0" w:line="14" w:lineRule="exact"/>
        <w:rPr>
          <w:sz w:val="20"/>
          <w:szCs w:val="20"/>
          <w:color w:val="auto"/>
        </w:rPr>
      </w:pPr>
    </w:p>
    <w:p>
      <w:pPr>
        <w:ind w:left="60" w:right="139"/>
        <w:spacing w:after="0" w:line="250" w:lineRule="auto"/>
        <w:rPr>
          <w:sz w:val="20"/>
          <w:szCs w:val="20"/>
          <w:color w:val="auto"/>
        </w:rPr>
      </w:pPr>
      <w:r>
        <w:rPr>
          <w:rFonts w:ascii="Arial" w:cs="Arial" w:eastAsia="Arial" w:hAnsi="Arial"/>
          <w:sz w:val="18"/>
          <w:szCs w:val="18"/>
          <w:color w:val="auto"/>
        </w:rPr>
        <w:t>7.1%. The operating cash outflows from our operating lease were $0.3 million for each of the six months ended June 30, 2025 and 2024.</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12"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had common stock warrants exercisable for 103,349 shares of common stock upon conversion at a weighted average exercise price of $12.92 per share outstanding at June 30, 2025 and December 31, 2024. Johnson &amp; Johnson Innovation – JJDC, Inc. had common stock warrants exercisable for 607,725 shares of our common stock with an exercise price of $0.16 per share that were all exercised through a net exercise transaction for 604,000 shares of common stock during the six months ended June 30, 2024.</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At-the-Market (“ATM”) Offering</w:t>
      </w:r>
    </w:p>
    <w:p>
      <w:pPr>
        <w:spacing w:after="0" w:line="212"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In January 2024, we commenced an ATM offering, which allows us to issue and sell shares of our common stock having an aggregate offering price of up to $50.0 million. We issued 543,462 shares of common stock for gross proceeds of $9.5 million under the ATM offering during the six months ended June 30, 2025. We have remaining capacity to issue and sell up to approximately $6.7 million of additional shares of common stock under this ATM offering.</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1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In June 2001, our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w:t>
      </w:r>
    </w:p>
    <w:p>
      <w:pPr>
        <w:spacing w:after="0" w:line="176"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In 2021, our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our common stock outstanding on the last day of the calendar month before the date of each automatic increase, or such lesser number of shares as determined by the Board of Directors. The annual increase resulted in an additional 1,266,234 shares being reserved for issuance under the 2021 Plan as of January 1, 2025.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June 30, 2025, there were 1,392,926 shares available for future issuance under the 2021 Plan.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60" w:right="659"/>
        <w:spacing w:after="0" w:line="271" w:lineRule="auto"/>
        <w:rPr>
          <w:sz w:val="20"/>
          <w:szCs w:val="20"/>
          <w:color w:val="auto"/>
        </w:rPr>
      </w:pPr>
      <w:r>
        <w:rPr>
          <w:rFonts w:ascii="Arial" w:cs="Arial" w:eastAsia="Arial" w:hAnsi="Arial"/>
          <w:sz w:val="18"/>
          <w:szCs w:val="18"/>
          <w:color w:val="auto"/>
        </w:rPr>
        <w:t>Options are granted at exercise prices not less than the fair market value (as determined by the Board of Directors) of our common stock on the date of grant.</w:t>
      </w:r>
    </w:p>
    <w:p>
      <w:pPr>
        <w:spacing w:after="0" w:line="154"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During the years 2008 through the initial public offering (the “IPO”), the Board of Directors authorized the grant of stock options for the purchase of shares of common stock to the employers of certain non-employee directors. The options were not granted under the 2001 Plan or the 2021 Plan, but terms are substantially the same as our standard form of option agreement for non-employee directors as they have an exercise price not less than the fair market value on the grant date and vest over 48 months from the date of grant.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8"/>
                <w:szCs w:val="18"/>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1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8"/>
                <w:szCs w:val="18"/>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6"/>
                <w:szCs w:val="16"/>
                <w:color w:val="auto"/>
              </w:rPr>
            </w:pPr>
          </w:p>
        </w:tc>
        <w:tc>
          <w:tcPr>
            <w:tcW w:w="92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5,550,419</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18,771</w:t>
            </w:r>
          </w:p>
        </w:tc>
        <w:tc>
          <w:tcPr>
            <w:tcW w:w="0" w:type="dxa"/>
            <w:vAlign w:val="bottom"/>
          </w:tcPr>
          <w:p>
            <w:pPr>
              <w:spacing w:after="0"/>
              <w:rPr>
                <w:sz w:val="1"/>
                <w:szCs w:val="1"/>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926,572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Cancelled / Forfeited</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(246,004)</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(205,863)</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Balance as of June 30, 2025</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6,025,124</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12.06</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6"/>
                <w:szCs w:val="16"/>
                <w:color w:val="auto"/>
              </w:rPr>
              <w:t>Options exercisable as of June 30, 2025</w:t>
            </w: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11.00</w:t>
            </w:r>
          </w:p>
        </w:tc>
        <w:tc>
          <w:tcPr>
            <w:tcW w:w="2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0" w:type="dxa"/>
            <w:vAlign w:val="bottom"/>
            <w:vMerge w:val="continue"/>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3,397,633</w:t>
            </w:r>
          </w:p>
        </w:tc>
        <w:tc>
          <w:tcPr>
            <w:tcW w:w="2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0" w:right="219"/>
        <w:spacing w:after="0" w:line="259" w:lineRule="auto"/>
        <w:rPr>
          <w:sz w:val="20"/>
          <w:szCs w:val="20"/>
          <w:color w:val="auto"/>
        </w:rPr>
      </w:pPr>
      <w:r>
        <w:rPr>
          <w:rFonts w:ascii="Arial" w:cs="Arial" w:eastAsia="Arial" w:hAnsi="Arial"/>
          <w:sz w:val="17"/>
          <w:szCs w:val="17"/>
          <w:color w:val="auto"/>
        </w:rPr>
        <w:t>As of June 30, 2025, stock options outstanding included 4,402 options that were not granted under the 2001 Plan or the 2021 Plan. For options outstanding as of June 30, 2025, the weighted average remaining contractual life was 7.0 years. For options exercisable as of June 30, 2025, the weighted average remaining contractual life was 5.6 years. As of June 30, 2025, unrecognized compensation expense related to unvested stock-based compensation arrangements for stock options was $23.2 million. As of June 30, 2025, the related weighted average period over which the expense is expected to be recognized is approximately 2.7 years.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Units</w:t>
      </w:r>
    </w:p>
    <w:p>
      <w:pPr>
        <w:spacing w:after="0" w:line="185"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RSUs are share awards that entitle the holder to receive freely tradable shares of our common stock upon vesting. The RSUs cannot be transferred and the awards are subject to forfeiture if the holder’s service terminates prior to vesting other than for death, disability, or other qualifying terminations.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RSU activity:</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5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8"/>
                <w:szCs w:val="18"/>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rPr>
              <w:t>Aggregate</w:t>
            </w:r>
          </w:p>
        </w:tc>
      </w:tr>
      <w:tr>
        <w:trPr>
          <w:trHeight w:val="216"/>
        </w:trPr>
        <w:tc>
          <w:tcPr>
            <w:tcW w:w="5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8"/>
                <w:szCs w:val="18"/>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rPr>
              <w:t>Intrinsic</w:t>
            </w:r>
          </w:p>
        </w:tc>
      </w:tr>
      <w:tr>
        <w:trPr>
          <w:trHeight w:val="191"/>
        </w:trPr>
        <w:tc>
          <w:tcPr>
            <w:tcW w:w="520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RSUs</w:t>
            </w:r>
          </w:p>
        </w:tc>
        <w:tc>
          <w:tcPr>
            <w:tcW w:w="10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92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5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(in thousands)</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Balance as of December 31, 2024</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340,078</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Cancelled / Forfeited</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(4,420)</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3"/>
        </w:trPr>
        <w:tc>
          <w:tcPr>
            <w:tcW w:w="520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Unvested Balance as of June 30, 2025</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335,658</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12.85</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1,974</w:t>
            </w:r>
          </w:p>
        </w:tc>
      </w:tr>
      <w:tr>
        <w:trPr>
          <w:trHeight w:val="20"/>
        </w:trPr>
        <w:tc>
          <w:tcPr>
            <w:tcW w:w="5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The aggregate intrinsic value of unvested RSUs is based on our closing stock price on the last trading day of the period. No RSUs were vested as of June 30, 2025. As of June 30, 2025, the unrecognized compensation expense related to unvested stock-based compensation arrangements for RSUs was $4.0 million. As of June 30, 2025, the related weighted average period over which the expense is expected to be recognized is approximately 3.7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Our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our common stock outstanding on the last day of the calendar month before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date of each automatic increase, or such lesser number of shares as determined by the Board of Directors. The annual increase resulted in an additional 253,246 shares being reserved for issuance under the ESPP as of January 1, 2025. The ESPP permits certain of our U.S. employees to purchase shares of our common stock at a price per share not less than 85% of the lower of (i) the closing market price per share of our common stock on the first day of the applicable purchase period or (ii) the closing market price per share of our common stock on the purchase date at the end of the applicable six-month purchase period. For the six months ended June 30, 2025, 71,942 shares of common stock were purchased under the ESPP for $0.4 million of employee contributions. As of June 30, 2025, there were 814,111 shares available for issuance under the ESPP.</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use the Black-Scholes option pricing model to determine the fair value of stock options and ESPP purchase rights on the grant date. The fair value of RSUs is determined based on the closing stock price of our common stock on the grant date. We measure stock-based compensation expense based on the grant date fair value of the award and recognize compensation expense over the requisite service period, which is generally the vesting period for stock options and RSUs, and the offering period for ESPP purchase rights. The amount of stock-based compensation expense recognized for stock option and RSU awards during a period is based on the portion of the awards that are ultimately expected to vest. The amount of stock-based compensation expense recognized for ESPP purchase rights during a period is based on the estimated purchase rights as of the grant date. We account for forfeitures as they occur.</w:t>
      </w:r>
    </w:p>
    <w:p>
      <w:pPr>
        <w:spacing w:after="0" w:line="183" w:lineRule="exact"/>
        <w:rPr>
          <w:sz w:val="20"/>
          <w:szCs w:val="20"/>
          <w:color w:val="auto"/>
        </w:rPr>
      </w:pPr>
    </w:p>
    <w:p>
      <w:pPr>
        <w:ind w:left="60" w:right="119"/>
        <w:spacing w:after="0" w:line="301" w:lineRule="auto"/>
        <w:rPr>
          <w:sz w:val="20"/>
          <w:szCs w:val="20"/>
          <w:color w:val="auto"/>
        </w:rPr>
      </w:pPr>
      <w:r>
        <w:rPr>
          <w:rFonts w:ascii="Arial" w:cs="Arial" w:eastAsia="Arial" w:hAnsi="Arial"/>
          <w:sz w:val="17"/>
          <w:szCs w:val="17"/>
          <w:color w:val="auto"/>
        </w:rPr>
        <w:t>The following table provides the weighted average fair value of options granted to employees and the related assumptions used in the Black-Scholes option pricing model for the six months ended June 30, 2025 and 2024:</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5"/>
        </w:trPr>
        <w:tc>
          <w:tcPr>
            <w:tcW w:w="58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fair value of options granted</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9.52</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10.81</w:t>
            </w:r>
          </w:p>
        </w:tc>
        <w:tc>
          <w:tcPr>
            <w:tcW w:w="160" w:type="dxa"/>
            <w:vAlign w:val="bottom"/>
            <w:shd w:val="clear" w:color="auto" w:fill="CCEEFF"/>
          </w:tcPr>
          <w:p>
            <w:pPr>
              <w:spacing w:after="0"/>
              <w:rPr>
                <w:sz w:val="17"/>
                <w:szCs w:val="17"/>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Expected term (in years) — non-officer employees</w:t>
            </w:r>
          </w:p>
        </w:tc>
        <w:tc>
          <w:tcPr>
            <w:tcW w:w="340" w:type="dxa"/>
            <w:vAlign w:val="bottom"/>
          </w:tcPr>
          <w:p>
            <w:pPr>
              <w:spacing w:after="0"/>
              <w:rPr>
                <w:sz w:val="18"/>
                <w:szCs w:val="18"/>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5.5 to 6.1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 to 6.1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 — officer employees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 to 6.1</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3540" w:type="dxa"/>
            <w:vAlign w:val="bottom"/>
          </w:tcPr>
          <w:p>
            <w:pPr>
              <w:jc w:val="right"/>
              <w:spacing w:after="0"/>
              <w:rPr>
                <w:sz w:val="20"/>
                <w:szCs w:val="20"/>
                <w:color w:val="auto"/>
              </w:rPr>
            </w:pPr>
            <w:r>
              <w:rPr>
                <w:rFonts w:ascii="Arial" w:cs="Arial" w:eastAsia="Arial" w:hAnsi="Arial"/>
                <w:sz w:val="18"/>
                <w:szCs w:val="18"/>
                <w:color w:val="auto"/>
              </w:rPr>
              <w:t>95.0% to 103.1 %</w:t>
            </w:r>
          </w:p>
        </w:tc>
        <w:tc>
          <w:tcPr>
            <w:tcW w:w="1400" w:type="dxa"/>
            <w:vAlign w:val="bottom"/>
          </w:tcPr>
          <w:p>
            <w:pPr>
              <w:jc w:val="right"/>
              <w:spacing w:after="0"/>
              <w:rPr>
                <w:sz w:val="20"/>
                <w:szCs w:val="20"/>
                <w:color w:val="auto"/>
              </w:rPr>
            </w:pPr>
            <w:r>
              <w:rPr>
                <w:rFonts w:ascii="Arial" w:cs="Arial" w:eastAsia="Arial" w:hAnsi="Arial"/>
                <w:sz w:val="18"/>
                <w:szCs w:val="18"/>
                <w:color w:val="auto"/>
              </w:rPr>
              <w:t>87.7% to 94.6 %</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9"/>
        </w:trPr>
        <w:tc>
          <w:tcPr>
            <w:tcW w:w="3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40" w:type="dxa"/>
            <w:vAlign w:val="bottom"/>
          </w:tcPr>
          <w:p>
            <w:pPr>
              <w:jc w:val="right"/>
              <w:spacing w:after="0"/>
              <w:rPr>
                <w:sz w:val="20"/>
                <w:szCs w:val="20"/>
                <w:color w:val="auto"/>
              </w:rPr>
            </w:pPr>
            <w:r>
              <w:rPr>
                <w:rFonts w:ascii="Arial" w:cs="Arial" w:eastAsia="Arial" w:hAnsi="Arial"/>
                <w:sz w:val="18"/>
                <w:szCs w:val="18"/>
                <w:color w:val="auto"/>
              </w:rPr>
              <w:t>3.93% to 4.47 %</w:t>
            </w:r>
          </w:p>
        </w:tc>
        <w:tc>
          <w:tcPr>
            <w:tcW w:w="1400" w:type="dxa"/>
            <w:vAlign w:val="bottom"/>
          </w:tcPr>
          <w:p>
            <w:pPr>
              <w:jc w:val="right"/>
              <w:spacing w:after="0"/>
              <w:rPr>
                <w:sz w:val="20"/>
                <w:szCs w:val="20"/>
                <w:color w:val="auto"/>
              </w:rPr>
            </w:pPr>
            <w:r>
              <w:rPr>
                <w:rFonts w:ascii="Arial" w:cs="Arial" w:eastAsia="Arial" w:hAnsi="Arial"/>
                <w:sz w:val="18"/>
                <w:szCs w:val="18"/>
                <w:color w:val="auto"/>
              </w:rPr>
              <w:t>3.95% to 4.71 %</w:t>
            </w:r>
          </w:p>
        </w:tc>
      </w:tr>
    </w:tbl>
    <w:p>
      <w:pPr>
        <w:spacing w:after="0" w:line="363" w:lineRule="exact"/>
        <w:rPr>
          <w:sz w:val="20"/>
          <w:szCs w:val="20"/>
          <w:color w:val="auto"/>
        </w:rPr>
      </w:pPr>
    </w:p>
    <w:p>
      <w:pPr>
        <w:ind w:left="60" w:right="119"/>
        <w:spacing w:after="0" w:line="301" w:lineRule="auto"/>
        <w:rPr>
          <w:sz w:val="20"/>
          <w:szCs w:val="20"/>
          <w:color w:val="auto"/>
        </w:rPr>
      </w:pPr>
      <w:r>
        <w:rPr>
          <w:rFonts w:ascii="Arial" w:cs="Arial" w:eastAsia="Arial" w:hAnsi="Arial"/>
          <w:sz w:val="17"/>
          <w:szCs w:val="17"/>
          <w:color w:val="auto"/>
        </w:rPr>
        <w:t>The following table provides the weighted average fair value of ESPP purchase rights and the related assumptions used in the Black-Scholes option pricing model for the six months ended June 30, 2025 and 2024:</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6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7"/>
                <w:szCs w:val="17"/>
                <w:color w:val="auto"/>
              </w:rPr>
            </w:pPr>
          </w:p>
        </w:tc>
      </w:tr>
      <w:tr>
        <w:trPr>
          <w:trHeight w:val="196"/>
        </w:trPr>
        <w:tc>
          <w:tcPr>
            <w:tcW w:w="6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fair value per ESPP purchase right</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17"/>
                <w:szCs w:val="17"/>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 xml:space="preserve">Expected term (in years) </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60" w:type="dxa"/>
            <w:vAlign w:val="bottom"/>
          </w:tcPr>
          <w:p>
            <w:pPr>
              <w:spacing w:after="0"/>
              <w:rPr>
                <w:sz w:val="18"/>
                <w:szCs w:val="18"/>
                <w:color w:val="auto"/>
              </w:rPr>
            </w:pPr>
          </w:p>
        </w:tc>
        <w:tc>
          <w:tcPr>
            <w:tcW w:w="1440" w:type="dxa"/>
            <w:vAlign w:val="bottom"/>
            <w:gridSpan w:val="3"/>
          </w:tcPr>
          <w:p>
            <w:pPr>
              <w:jc w:val="right"/>
              <w:ind w:right="37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bl>
    <w:p>
      <w:pPr>
        <w:spacing w:after="0" w:line="184"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We review these assumptions on a periodic basis and adjust them, as necessary. We utilize the simplified method to develop the estimate of the expected term for stock option awards and ESPP purchase rights. The expected volatility is based upon our historical stock price. The expected dividend yield is assumed to be zero, as we have never paid dividends and have no current plans to do so. The risk-free interest rate is based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auto"/>
        </w:rPr>
        <w:t>on the yield on U.S. Treasury securities for a period approximating the expected term of the options being valued.</w:t>
      </w:r>
    </w:p>
    <w:p>
      <w:pPr>
        <w:spacing w:after="0" w:line="154"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periods indicated:</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54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35"/>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15"/>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52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2,596</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4,810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13,513</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RSUs</w:t>
            </w: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357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2,916</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5,371</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156"/>
        </w:trPr>
        <w:tc>
          <w:tcPr>
            <w:tcW w:w="5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Selling, general &amp; administrative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2,610</w:t>
            </w:r>
          </w:p>
        </w:tc>
        <w:tc>
          <w:tcPr>
            <w:tcW w:w="14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2,208</w:t>
            </w:r>
          </w:p>
        </w:tc>
        <w:tc>
          <w:tcPr>
            <w:tcW w:w="1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4,865</w:t>
            </w:r>
          </w:p>
        </w:tc>
        <w:tc>
          <w:tcPr>
            <w:tcW w:w="1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13,033</w:t>
            </w: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2,916</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2,544</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5,371</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January 30, 2024, we amended the terms and conditions of certain stock option award agreements granted under the 2001 Plan and 2021 Plan between us and our former Chief Executive Officer in connection with his retirement, which occurred on February 11, 2024. The option agreements were amended to provide that, if not already vested at the time of termination of his employment due to retirement, the options will continue to vest on the previously scheduled vesting dates following his retirement, subject to his compliance with certain covenants. Additionally, the option agreements were modified so that the options may be exercised, to the extent vested, by our former Chief Executive Officer until the earlier of (a) five years following his retirement date, or (b) the applicable option expiration date. The modification of these option awards resulted in an additional $8.4 million of non-cash stock-based compensation expense recognized during the six months ended June 30, 2024.</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1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As of June 30, 2025 and December 31, 2024, a valuation allowance was recorded against all deferred tax assets due to our cumulative net loss position. Benefit for income taxes for the three months ended June 30, 2025 was $3,000 and provision for income taxes for the three months ended June 30, 2024 was $41,000. Benefit for income taxes for the six months ended June 30, 2025 was $8,000 and provision for income taxes for the six months ended June 30, 2024 was $79,000.</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As of December 31, 2024, we had federal and state net operating loss carryforwards (“NOLs”) of approximately $429.7 million and $8.1 million, respectively. The federal NOLs began expiring in 2021 and the state NOLs began expiring in 2020. As of December 31, 2024, we had federal and state tax credit carryforwards of approximately $10.2 million and $ 1.7 million, respectively. The federal tax credit carryforwards began expiring in 2021 and the state tax credits will begin expiring in 2028.</w:t>
      </w:r>
    </w:p>
    <w:p>
      <w:pPr>
        <w:spacing w:after="0" w:line="17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Utilization of NOLs may be subject to an annual limitation due to the ownership change limitations provided by Section 382 of the Internal Revenue Code of 1986, as amended, and similar state provisions. We have not performed a detailed analysis to determine whether an ownership change has occurred. Such a change of ownership would limit our utilization of the NOLs and could be triggered by subsequent sales of securities by us or our stockholders.</w:t>
      </w:r>
    </w:p>
    <w:p>
      <w:pPr>
        <w:spacing w:after="0" w:line="17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On July 4, 2025, the One Big Beautiful Bill Act (“OBBBA”) was enacted in the U.S. The OBBBA includes significant tax-related provisions, such as the permanent extension of certain expiring provisions of the Tax Cuts and Jobs Act, modifications to the international tax framework, and the restoration of favorable tax treatment for certain business provisions, including the capitalization of certain R&amp;D costs. The legislation has multiple effective dates, with certain provisions effective in 2025 and others implemented through 2027. We</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are currently evaluating the potential impact of the OBBBA on our consolidated financial statements and related disclosures.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Per Share</w:t>
      </w:r>
    </w:p>
    <w:p>
      <w:pPr>
        <w:spacing w:after="0" w:line="216"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for the periods indicated (in thousands, except share and per share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Numerator: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ind w:left="40"/>
        <w:spacing w:after="0" w:line="234" w:lineRule="auto"/>
        <w:rPr>
          <w:sz w:val="20"/>
          <w:szCs w:val="20"/>
          <w:color w:val="auto"/>
        </w:rPr>
      </w:pPr>
      <w:r>
        <w:rPr>
          <w:rFonts w:ascii="Arial" w:cs="Arial" w:eastAsia="Arial" w:hAnsi="Arial"/>
          <w:sz w:val="18"/>
          <w:szCs w:val="18"/>
          <w:b w:val="1"/>
          <w:bCs w:val="1"/>
          <w:color w:val="auto"/>
        </w:rPr>
        <w:t>Denominator:</w:t>
      </w:r>
    </w:p>
    <w:p>
      <w:pPr>
        <w:spacing w:after="0" w:line="1"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Weighted average common shares outstanding — basic and diluted</w:t>
      </w:r>
    </w:p>
    <w:p>
      <w:pPr>
        <w:spacing w:after="0" w:line="1" w:lineRule="exact"/>
        <w:rPr>
          <w:sz w:val="20"/>
          <w:szCs w:val="20"/>
          <w:color w:val="auto"/>
        </w:rPr>
      </w:pPr>
    </w:p>
    <w:p>
      <w:pPr>
        <w:ind w:left="40" w:right="540"/>
        <w:spacing w:after="0" w:line="279" w:lineRule="auto"/>
        <w:rPr>
          <w:sz w:val="20"/>
          <w:szCs w:val="20"/>
          <w:color w:val="auto"/>
        </w:rPr>
      </w:pPr>
      <w:r>
        <w:rPr>
          <w:rFonts w:ascii="Arial" w:cs="Arial" w:eastAsia="Arial" w:hAnsi="Arial"/>
          <w:sz w:val="17"/>
          <w:szCs w:val="17"/>
          <w:color w:val="auto"/>
        </w:rPr>
        <w:t>Net loss per share attributable to common stockholders — basic and diluted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40" w:type="dxa"/>
            <w:vAlign w:val="bottom"/>
          </w:tcPr>
          <w:p>
            <w:pPr>
              <w:spacing w:after="0"/>
              <w:rPr>
                <w:sz w:val="14"/>
                <w:szCs w:val="14"/>
                <w:color w:val="auto"/>
              </w:rPr>
            </w:pPr>
          </w:p>
        </w:tc>
        <w:tc>
          <w:tcPr>
            <w:tcW w:w="23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2200" w:type="dxa"/>
            <w:vAlign w:val="bottom"/>
            <w:gridSpan w:val="4"/>
          </w:tcPr>
          <w:p>
            <w:pPr>
              <w:jc w:val="right"/>
              <w:ind w:right="815"/>
              <w:spacing w:after="0"/>
              <w:rPr>
                <w:sz w:val="20"/>
                <w:szCs w:val="20"/>
                <w:color w:val="auto"/>
              </w:rPr>
            </w:pPr>
            <w:r>
              <w:rPr>
                <w:rFonts w:ascii="Arial" w:cs="Arial" w:eastAsia="Arial" w:hAnsi="Arial"/>
                <w:sz w:val="14"/>
                <w:szCs w:val="14"/>
                <w:b w:val="1"/>
                <w:bCs w:val="1"/>
                <w:color w:val="auto"/>
              </w:rPr>
              <w:t>June 30,</w:t>
            </w:r>
          </w:p>
        </w:tc>
      </w:tr>
      <w:tr>
        <w:trPr>
          <w:trHeight w:val="156"/>
        </w:trPr>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2024</w:t>
            </w:r>
          </w:p>
        </w:tc>
      </w:tr>
      <w:tr>
        <w:trPr>
          <w:trHeight w:val="41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(14,736)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(14,029)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(28,502)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(36,215)</w:t>
            </w:r>
          </w:p>
        </w:tc>
      </w:tr>
      <w:tr>
        <w:trPr>
          <w:trHeight w:val="577"/>
        </w:trPr>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26,071,316</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21,628,542</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25,974,229</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21,430,276</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45"/>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-925195</wp:posOffset>
            </wp:positionV>
            <wp:extent cx="56489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-659130</wp:posOffset>
            </wp:positionV>
            <wp:extent cx="564896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-273685</wp:posOffset>
            </wp:positionV>
            <wp:extent cx="5648960" cy="257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3920" w:space="200"/>
            <w:col w:w="4899"/>
          </w:cols>
          <w:pgMar w:left="1440" w:top="513" w:right="1440" w:bottom="1440" w:gutter="0" w:footer="0" w:header="0"/>
          <w:type w:val="continuous"/>
        </w:sectPr>
      </w:pPr>
    </w:p>
    <w:p>
      <w:pPr>
        <w:ind w:left="60" w:right="139"/>
        <w:spacing w:after="0"/>
        <w:rPr>
          <w:sz w:val="20"/>
          <w:szCs w:val="20"/>
          <w:color w:val="auto"/>
        </w:rPr>
      </w:pPr>
      <w:r>
        <w:rPr>
          <w:rFonts w:ascii="Arial" w:cs="Arial" w:eastAsia="Arial" w:hAnsi="Arial"/>
          <w:sz w:val="18"/>
          <w:szCs w:val="18"/>
          <w:color w:val="auto"/>
        </w:rPr>
        <w:t>Our potentially dilutive securities, which include stock options, RSUs,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We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206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84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June 30,</w:t>
            </w:r>
          </w:p>
        </w:tc>
      </w:tr>
      <w:tr>
        <w:trPr>
          <w:trHeight w:val="155"/>
        </w:trPr>
        <w:tc>
          <w:tcPr>
            <w:tcW w:w="68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6,025,124</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5,748,130</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RSUs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335,658</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103,349</w:t>
            </w:r>
          </w:p>
        </w:tc>
        <w:tc>
          <w:tcPr>
            <w:tcW w:w="1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108,406</w:t>
            </w:r>
          </w:p>
        </w:tc>
      </w:tr>
      <w:tr>
        <w:trPr>
          <w:trHeight w:val="196"/>
        </w:trPr>
        <w:tc>
          <w:tcPr>
            <w:tcW w:w="684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6,464,131</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5,856,536</w:t>
            </w:r>
          </w:p>
        </w:tc>
      </w:tr>
      <w:tr>
        <w:trPr>
          <w:trHeight w:val="20"/>
        </w:trPr>
        <w:tc>
          <w:tcPr>
            <w:tcW w:w="6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10.Commitments and contingencies</w:t>
      </w:r>
    </w:p>
    <w:p>
      <w:pPr>
        <w:spacing w:after="0" w:line="21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From time to time, we may have certain contingent liabilities that arise in the ordinary course of business. We accrue a liability for such matters when it is probable that future expenditures will be made, and such expenditures can be reasonably estimated. There have been no contingent liabilities requiring accrual or disclosure as of June 30, 2025 or December 31, 2024.</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 Employee benefit plans</w:t>
      </w:r>
    </w:p>
    <w:p>
      <w:pPr>
        <w:spacing w:after="0" w:line="21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sponsor a voluntary defined-contribution employee retirement plan (the “401(k) plan”) for our U.S. employees. The 401(k) plan provides that each participant may contribute pre-tax or post-tax compensation up to the statutory limit allowable. Under the 401(k) plan, each participant is fully vested in his or her deferred salary contributions when contributed. Beginning January 1, 2024, we adopted a policy to match a portion of employee contributions for all qualified employees participating in the 401(k) plan. We recorded an expense for matching contributions of $0.3 million for each of the three months ended June 30, 2025 and 2024. We recorded an expense for matching contributions of $0.6 million for each of the six months ended June 30, 2025 and 2024.</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12.Segment, geographic information, and revenue disaggregation</w:t>
      </w:r>
    </w:p>
    <w:p>
      <w:pPr>
        <w:spacing w:after="0" w:line="216"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We have determined that we have a single reportable and operating segment structure. We have one business activity and there are no segment managers who are held accountable for operations, operating results, or plans for levels or components below the consolidated unit level. Our chief operating decision maker is our Chief Executive Officer. Our Chief Executive Officer evaluates performance based primarily on revenue in the geographic locations in which the Company operates and consolidated net loss. The Chief Executive Officer reviews financial information presented on a consolidated basis, including consolidated net loss, accompanied by information about revenue by geographic region, for purposes of allocating resources and evaluating financial performance. Further, the financial information on expenses provided to the Chief Executive Officer is presented on a consolidated basis, as reported in the condensed consolidated statements of operations and comprehensive loss in this Quarterly Report on Form 10-Q.</w:t>
      </w:r>
    </w:p>
    <w:p>
      <w:pPr>
        <w:spacing w:after="0" w:line="180" w:lineRule="exact"/>
        <w:rPr>
          <w:sz w:val="20"/>
          <w:szCs w:val="20"/>
          <w:color w:val="auto"/>
        </w:rPr>
      </w:pPr>
    </w:p>
    <w:p>
      <w:pPr>
        <w:ind w:left="60" w:right="719"/>
        <w:spacing w:after="0" w:line="253" w:lineRule="auto"/>
        <w:rPr>
          <w:sz w:val="20"/>
          <w:szCs w:val="20"/>
          <w:color w:val="auto"/>
        </w:rPr>
      </w:pPr>
      <w:r>
        <w:rPr>
          <w:rFonts w:ascii="Arial" w:cs="Arial" w:eastAsia="Arial" w:hAnsi="Arial"/>
          <w:sz w:val="18"/>
          <w:szCs w:val="18"/>
          <w:color w:val="auto"/>
        </w:rPr>
        <w:t>We derive all our revenues from sales to customers in Europe and the U.S. The following table provides revenue by country for each location accounting for more than 10% of the total revenue for the periods indicated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9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3"/>
          </w:tcPr>
          <w:p>
            <w:pPr>
              <w:jc w:val="right"/>
              <w:ind w:right="17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20" w:type="dxa"/>
            <w:vAlign w:val="bottom"/>
          </w:tcPr>
          <w:p>
            <w:pPr>
              <w:spacing w:after="0"/>
              <w:rPr>
                <w:sz w:val="14"/>
                <w:szCs w:val="14"/>
                <w:color w:val="auto"/>
              </w:rPr>
            </w:pPr>
          </w:p>
        </w:tc>
        <w:tc>
          <w:tcPr>
            <w:tcW w:w="1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1760" w:type="dxa"/>
            <w:vAlign w:val="bottom"/>
            <w:gridSpan w:val="3"/>
          </w:tcPr>
          <w:p>
            <w:pPr>
              <w:jc w:val="right"/>
              <w:ind w:right="515"/>
              <w:spacing w:after="0"/>
              <w:rPr>
                <w:sz w:val="20"/>
                <w:szCs w:val="20"/>
                <w:color w:val="auto"/>
              </w:rPr>
            </w:pPr>
            <w:r>
              <w:rPr>
                <w:rFonts w:ascii="Arial" w:cs="Arial" w:eastAsia="Arial" w:hAnsi="Arial"/>
                <w:sz w:val="14"/>
                <w:szCs w:val="14"/>
                <w:b w:val="1"/>
                <w:bCs w:val="1"/>
                <w:color w:val="auto"/>
              </w:rPr>
              <w:t>June 30,</w:t>
            </w:r>
          </w:p>
        </w:tc>
      </w:tr>
      <w:tr>
        <w:trPr>
          <w:trHeight w:val="156"/>
        </w:trPr>
        <w:tc>
          <w:tcPr>
            <w:tcW w:w="52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5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$ 12,243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$ 10,673</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$ 23,444</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$ 20,508</w:t>
            </w:r>
          </w:p>
        </w:tc>
      </w:tr>
      <w:tr>
        <w:trPr>
          <w:trHeight w:val="203"/>
        </w:trPr>
        <w:tc>
          <w:tcPr>
            <w:tcW w:w="52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1,346</w:t>
            </w:r>
          </w:p>
        </w:tc>
        <w:tc>
          <w:tcPr>
            <w:tcW w:w="1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1,134</w:t>
            </w: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2,493</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2,069</w:t>
            </w:r>
          </w:p>
        </w:tc>
      </w:tr>
      <w:tr>
        <w:trPr>
          <w:trHeight w:val="196"/>
        </w:trPr>
        <w:tc>
          <w:tcPr>
            <w:tcW w:w="5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$ 13,589</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$ 11,807</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$ 25,937</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$ 22,577</w:t>
            </w: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2025 and December 31, 2024, substantially all our long-lived assets were located in the U.S.</w:t>
      </w:r>
    </w:p>
    <w:p>
      <w:pPr>
        <w:spacing w:after="0" w:line="188" w:lineRule="exact"/>
        <w:rPr>
          <w:sz w:val="20"/>
          <w:szCs w:val="20"/>
          <w:color w:val="auto"/>
        </w:rPr>
      </w:pPr>
    </w:p>
    <w:p>
      <w:pPr>
        <w:ind w:left="60" w:right="259"/>
        <w:spacing w:after="0" w:line="27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1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 with reduced Ejection Fraction (“HFrEF”)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indicated by the U.S. Food and Drug Administration (“FDA”) for patients who are NYHA Class III or II (who had a recent history of Class III) despite treatment with guideline-directed medical therapies (medications and devices), have a LVEF ≤ 35% and a NT-proBNP &lt; 1600 pg/ml and is CE Marked for HFrEF and resistant hypertension.</w:t>
      </w:r>
    </w:p>
    <w:p>
      <w:pPr>
        <w:spacing w:after="0" w:line="169"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Since our inception, our activities have consisted primarily of developing Barostim Therapy, conducting our BeAT-HF pre-market and post-market pivotal studies in the U.S., and filing for regulatory approvals. Our ability to generate significant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payers, physicians, and patients.</w:t>
      </w:r>
    </w:p>
    <w:p>
      <w:pPr>
        <w:spacing w:after="0" w:line="179"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Our sales and marketing efforts are directed at electrophysiologists,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w:t>
      </w:r>
    </w:p>
    <w:p>
      <w:pPr>
        <w:sectPr>
          <w:pgSz w:w="11900" w:h="16838" w:orient="portrait"/>
          <w:cols w:equalWidth="0" w:num="1">
            <w:col w:w="9019"/>
          </w:cols>
          <w:pgMar w:left="1440" w:top="513" w:right="1440"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419"/>
        <w:spacing w:after="0" w:line="253" w:lineRule="auto"/>
        <w:rPr>
          <w:sz w:val="20"/>
          <w:szCs w:val="20"/>
          <w:color w:val="auto"/>
        </w:rPr>
      </w:pPr>
      <w:r>
        <w:rPr>
          <w:rFonts w:ascii="Arial" w:cs="Arial" w:eastAsia="Arial" w:hAnsi="Arial"/>
          <w:sz w:val="18"/>
          <w:szCs w:val="18"/>
          <w:color w:val="auto"/>
        </w:rPr>
        <w:t>significant investments building our U.S. commercial infrastructure by expanding and training our U.S. sales force. We have dedicated significant resources to educate physicians and advanced practice providers who treat HFrEF about the advantages of Barostim and train them on the implant procedure.</w:t>
      </w:r>
    </w:p>
    <w:p>
      <w:pPr>
        <w:spacing w:after="0" w:line="169"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The costs for the device and implantation procedure are reimbursed through various third-party payers, such as government agencies and commercial payers. In the U.S., we estimate that 67% of our target patient population is Medicare-eligible based on the age demographic of the HFrEF patient population indicated for Barostim. As a result, we have prioritized coverage by the Centers for Medicare and Medicaid Services while simultaneously developing processes to engage commercial payers. All Medicare Administrative Contractors have retired their official automatic coverage denial policies for our Current Procedural Terminology codes, thereby allowing hospitals to submit payment requests for the Barostim procedure to be adjudicated on a claim-by-claim</w:t>
      </w:r>
    </w:p>
    <w:p>
      <w:pPr>
        <w:spacing w:after="0" w:line="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basis. Our reimbursement strategy involves continuing to broaden our current coverage and 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European Economic Area, such as Germany, where annual healthcare budgets for the hospital generally determine the number of patients to be treated and the prices to be paid for the related devices that may be purchased.</w:t>
      </w:r>
    </w:p>
    <w:p>
      <w:pPr>
        <w:spacing w:after="0" w:line="171"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168"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On October 31, 2022, we entered into the Loan Agreement allowing borrowing, subject to our achievement of certain milestones, up to a total of $50.0 million in a series of Term Loans described in Note 4 to our condensed consolidated financial statements included elsewhere in this Quarterly Report on Form 10-Q. We had $50.0 million in outstanding Term Loans under the Loan Agreement as of June 30, 2025.</w:t>
      </w:r>
    </w:p>
    <w:p>
      <w:pPr>
        <w:spacing w:after="0" w:line="174"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As a result of the planned investments to fund our commercialization efforts, we expect to continue to incur net losses for the next several years, which may require additional funding and could include future equity and debt financing.</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1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July 2025, the Centers for Medicare &amp; Medicaid Services (“CMS”) released the 2026 Proposed Medicare Physician Fee Schedule (“MPFS”). This proposed rule includes the new Category I CPT codes for the Barostim implant and follow-up services. The proposal establishes national pricing for the code series used to report procedures associated with Barostim, supporting continued access for Medicare beneficiaries. We expect the transition to Category I will eliminate the automatic denials regularly seen with Category III codes and improve prior authorization predictability to fairly pay physicians for the procedure. The final rule is expected to be issued in the November and take effect January 1, 2026.</w:t>
      </w:r>
    </w:p>
    <w:p>
      <w:pPr>
        <w:spacing w:after="0" w:line="18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Also in July 2025, CMS, as part of the proposed rule for the 2026 Outpatient Prospective Payment System (“OPPS”), proposed to retain the Barostim implant procedure under New Technology Ambulatory Payment Classification (“APC”) 1580, with an associated outpatient payment rate of approximately $45,000. CMS continues to solicit comments on the need for a Level 6 Neurostimulator APC, and we will continue to work with CMS in an effort to create this new classification. The final rule is expected to be issued in November and take effect January 1, 2026.</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16"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54"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Growing and supporting our U.S. commercial organization;</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Promoting awareness among physicians, hospitals, and patients to accelerate adoption of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Continuing to develop and disseminate clinical evidence supporting the benefits of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Raising awareness among payers to build upon reimbursement for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Investing in research and development to foster innovation;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Leveraging our manufacturing capacity to further improve our gross margins.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Our U.S. sales have steadily increased since the pre-market approval of Barostim by the FDA in August 2019, and the subsequent reimbursement changes. We expect to continue to drive increases in revenue through our efforts to increase awareness of Barostim among physicians, patients and payers, and by the expansion of our U.S. sales force, as well as by seeking expanded labeling for Barostim. As a result, we expect that U.S. sales will continue to account for the majority of our revenue going forward.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pacing w:after="0" w:line="17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period to period as we continue to introduce new or modified products and adopt new manufacturing processes and technologies.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18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financing costs.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0"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Other income, net consists primarily of interest income on our interest-bearing accounts, partially offset by the effect of exchange rates on our foreign currency-denominated asset and liability balances.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10"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Benefit (provision)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8" w:lineRule="exact"/>
        <w:rPr>
          <w:sz w:val="20"/>
          <w:szCs w:val="20"/>
          <w:color w:val="auto"/>
        </w:rPr>
      </w:pPr>
    </w:p>
    <w:p>
      <w:pPr>
        <w:ind w:left="60" w:right="419"/>
        <w:spacing w:after="0" w:line="278" w:lineRule="auto"/>
        <w:rPr>
          <w:sz w:val="20"/>
          <w:szCs w:val="20"/>
          <w:color w:val="auto"/>
        </w:rPr>
      </w:pPr>
      <w:r>
        <w:rPr>
          <w:rFonts w:ascii="Arial" w:cs="Arial" w:eastAsia="Arial" w:hAnsi="Arial"/>
          <w:sz w:val="18"/>
          <w:szCs w:val="18"/>
          <w:b w:val="1"/>
          <w:bCs w:val="1"/>
          <w:i w:val="1"/>
          <w:iCs w:val="1"/>
          <w:color w:val="auto"/>
        </w:rPr>
        <w:t>Consolidated results of operations for the three months ended June 30, 2025, compared to the three months ended June 30, 2024</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left="395"/>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13,589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11,807</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1,782</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11,450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9,907</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720" w:type="dxa"/>
            <w:vAlign w:val="bottom"/>
            <w:gridSpan w:val="3"/>
          </w:tcPr>
          <w:p>
            <w:pPr>
              <w:ind w:left="340"/>
              <w:spacing w:after="0" w:line="196" w:lineRule="exact"/>
              <w:rPr>
                <w:sz w:val="20"/>
                <w:szCs w:val="20"/>
                <w:color w:val="auto"/>
              </w:rPr>
            </w:pPr>
            <w:r>
              <w:rPr>
                <w:rFonts w:ascii="Arial" w:cs="Arial" w:eastAsia="Arial" w:hAnsi="Arial"/>
                <w:sz w:val="18"/>
                <w:szCs w:val="18"/>
                <w:color w:val="auto"/>
              </w:rPr>
              <w:t>Gross margin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2,765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(296)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21,115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gridSpan w:val="3"/>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25,826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23,880</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1,946</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720" w:type="dxa"/>
            <w:vAlign w:val="bottom"/>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(13,973)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(514)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96"/>
        </w:trPr>
        <w:tc>
          <w:tcPr>
            <w:tcW w:w="4720" w:type="dxa"/>
            <w:vAlign w:val="bottom"/>
            <w:gridSpan w:val="3"/>
          </w:tcPr>
          <w:p>
            <w:pPr>
              <w:ind w:left="340"/>
              <w:spacing w:after="0" w:line="196" w:lineRule="exact"/>
              <w:rPr>
                <w:sz w:val="20"/>
                <w:szCs w:val="20"/>
                <w:color w:val="auto"/>
              </w:rPr>
            </w:pPr>
            <w:r>
              <w:rPr>
                <w:rFonts w:ascii="Arial" w:cs="Arial" w:eastAsia="Arial" w:hAnsi="Arial"/>
                <w:sz w:val="18"/>
                <w:szCs w:val="18"/>
                <w:color w:val="auto"/>
              </w:rPr>
              <w:t>Loss before income taxes</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(14,739)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(13,988)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(751)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Benefit (provision) for income taxes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4720" w:type="dxa"/>
            <w:vAlign w:val="bottom"/>
            <w:gridSpan w:val="3"/>
          </w:tcPr>
          <w:p>
            <w:pPr>
              <w:ind w:left="34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(14,029)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(707)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40"/>
        </w:trPr>
        <w:tc>
          <w:tcPr>
            <w:tcW w:w="47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The following table provides revenue by geography:</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left="455"/>
              <w:spacing w:after="0"/>
              <w:rPr>
                <w:sz w:val="20"/>
                <w:szCs w:val="20"/>
                <w:color w:val="auto"/>
              </w:rPr>
            </w:pPr>
            <w:r>
              <w:rPr>
                <w:rFonts w:ascii="Arial" w:cs="Arial" w:eastAsia="Arial" w:hAnsi="Arial"/>
                <w:sz w:val="14"/>
                <w:szCs w:val="14"/>
                <w:b w:val="1"/>
                <w:bCs w:val="1"/>
                <w:color w:val="auto"/>
                <w:w w:val="99"/>
              </w:rPr>
              <w:t>June 30,</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15"/>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12,243</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10,673</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Europe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1,134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13,589</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11,807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left="60" w:right="99"/>
        <w:spacing w:after="0" w:line="271" w:lineRule="auto"/>
        <w:rPr>
          <w:sz w:val="20"/>
          <w:szCs w:val="20"/>
          <w:color w:val="auto"/>
        </w:rPr>
      </w:pPr>
      <w:r>
        <w:rPr>
          <w:rFonts w:ascii="Arial" w:cs="Arial" w:eastAsia="Arial" w:hAnsi="Arial"/>
          <w:sz w:val="18"/>
          <w:szCs w:val="18"/>
          <w:color w:val="auto"/>
        </w:rPr>
        <w:t>Revenue was $13.6 million for the three months ended June 30, 2025, an increase of $1.8 million, or 15%, over the three months ended June 30, 2024.</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 generated in the U.S. was $12.2 million for the three months ended June 30, 2025, an increase of</w:t>
      </w:r>
    </w:p>
    <w:p>
      <w:pPr>
        <w:spacing w:after="0" w:line="1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$1.6 million, or 15%, over the three months ended June 30, 2024. HF revenue in the U.S. totaled $12.1 million and $10.5 million for the three months ended June 30, 2025 and 2024, respectively. HF revenue units in the U.S. totaled 387 and 339 for the three months ended June 30, 2025 and 2024, respectively. The increases were primarily driven by continued growth in the U.S. HF business as a result of the expansion into new sales territories, new accounts, and increased physician and patient awareness of Barostim.</w:t>
      </w:r>
    </w:p>
    <w:p>
      <w:pPr>
        <w:spacing w:after="0" w:line="16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As of June 30, 2025, we had a total of 240 active implanting centers in the U.S., as compared to 189 as of June 30, 2024. Active implanting centers are customers that have completed at least one commercial HF implant in the last 12 months. As of June 30, 2025, we had a total of 47 sales territories in the U.S. as compared to 42 sales territories as of June 30, 2024.</w:t>
      </w:r>
    </w:p>
    <w:p>
      <w:pPr>
        <w:spacing w:after="0" w:line="160" w:lineRule="exact"/>
        <w:rPr>
          <w:sz w:val="20"/>
          <w:szCs w:val="20"/>
          <w:color w:val="auto"/>
        </w:rPr>
      </w:pPr>
    </w:p>
    <w:p>
      <w:pPr>
        <w:ind w:left="60" w:right="259"/>
        <w:spacing w:after="0" w:line="266" w:lineRule="auto"/>
        <w:rPr>
          <w:sz w:val="20"/>
          <w:szCs w:val="20"/>
          <w:color w:val="auto"/>
        </w:rPr>
      </w:pPr>
      <w:r>
        <w:rPr>
          <w:rFonts w:ascii="Arial" w:cs="Arial" w:eastAsia="Arial" w:hAnsi="Arial"/>
          <w:sz w:val="17"/>
          <w:szCs w:val="17"/>
          <w:color w:val="auto"/>
        </w:rPr>
        <w:t>Revenue generated in Europe was $1.3 million for the three months ended June 30, 2025, a $0.2 million increase, or 19%, compared to the three months ended June 30, 2024. Total revenue units in Europe decreased to 61 for the three months ended June 30, 2025, as compared to 63 in the prior year period. As of June 30, 2025 we had five sales territories in Europe as compared to six sales territories as of June 30, 2024.</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0" w:lineRule="exact"/>
        <w:rPr>
          <w:sz w:val="20"/>
          <w:szCs w:val="20"/>
          <w:color w:val="auto"/>
        </w:rPr>
      </w:pPr>
    </w:p>
    <w:p>
      <w:pPr>
        <w:ind w:left="60" w:right="359"/>
        <w:spacing w:after="0" w:line="301" w:lineRule="auto"/>
        <w:rPr>
          <w:sz w:val="20"/>
          <w:szCs w:val="20"/>
          <w:color w:val="auto"/>
        </w:rPr>
      </w:pPr>
      <w:r>
        <w:rPr>
          <w:rFonts w:ascii="Arial" w:cs="Arial" w:eastAsia="Arial" w:hAnsi="Arial"/>
          <w:sz w:val="17"/>
          <w:szCs w:val="17"/>
          <w:color w:val="auto"/>
        </w:rPr>
        <w:t>Cost of goods sold increased $0.2 million, or 13%, to $2.1 million for the three months ended June 30, 2025, compared to the three months ended June 30, 2024. This increase was driven by higher sales of Barostim.</w:t>
      </w:r>
    </w:p>
    <w:p>
      <w:pPr>
        <w:spacing w:after="0" w:line="131"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color w:val="auto"/>
        </w:rPr>
        <w:t>Gross profit was $11.5 million for the three months ended June 30, 2025, an increase of $ 1.5 million, or 16%, over the three months ended June 30, 2024. Gross margin was 84% for each of the three months ended June 30, 2025 and 2024.</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jc w:val="both"/>
        <w:ind w:left="60" w:right="499"/>
        <w:spacing w:after="0" w:line="253" w:lineRule="auto"/>
        <w:rPr>
          <w:sz w:val="20"/>
          <w:szCs w:val="20"/>
          <w:color w:val="auto"/>
        </w:rPr>
      </w:pPr>
      <w:r>
        <w:rPr>
          <w:rFonts w:ascii="Arial" w:cs="Arial" w:eastAsia="Arial" w:hAnsi="Arial"/>
          <w:sz w:val="18"/>
          <w:szCs w:val="18"/>
          <w:color w:val="auto"/>
        </w:rPr>
        <w:t>R&amp;D expenses decreased $0.3 million, or 11%, to $2.5 million for the three months ended June 30, 2025, compared to the three months ended June 30, 2024. This change was driven by a $0.3 million decrease in compensation expenses.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0"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SG&amp;A expenses increased $2.2 million, or 11%, to $23.4 million for the three months ended June 30, 2025, compared to the three months ended June 30, 2024. This change was primarily driven by a $1.4 million increase in compensation expenses, a $0.8 million increase in travel expenses, and a $0.4 million increase in non-cash stock-based compensation expense, partially offset by a $0.5 million decrease in advertising expenses.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Interest expense increased $0.5 million for the three months ended June 30, 2025, compared to the three months ended June 30, 2024. This increase was driven by the interest expense on higher levels of borrowings under the Loan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10"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auto"/>
        </w:rPr>
        <w:t>Other income, net increased $ 0.2 million for the three months ended June 30, 2025, compared to the three months ended June 30, 2024. This increase was primarily driven by more interest income on our interest-bearing accounts.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Benefit (provision) for income taxes</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Benefit (provision) for income taxes was nominal for each of the three months ended June 30, 2025 and 2024.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99"/>
        <w:spacing w:after="0" w:line="278" w:lineRule="auto"/>
        <w:rPr>
          <w:sz w:val="20"/>
          <w:szCs w:val="20"/>
          <w:color w:val="auto"/>
        </w:rPr>
      </w:pPr>
      <w:r>
        <w:rPr>
          <w:rFonts w:ascii="Arial" w:cs="Arial" w:eastAsia="Arial" w:hAnsi="Arial"/>
          <w:sz w:val="18"/>
          <w:szCs w:val="18"/>
          <w:b w:val="1"/>
          <w:bCs w:val="1"/>
          <w:i w:val="1"/>
          <w:iCs w:val="1"/>
          <w:color w:val="auto"/>
        </w:rPr>
        <w:t>Consolidated results of operations for the six months ended June 30, 2025, compared to the six months ended June 30, 2024</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left="395"/>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25,937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22,577</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3,360</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4,175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3,515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660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21,762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19,062</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2,700</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720" w:type="dxa"/>
            <w:vAlign w:val="bottom"/>
            <w:gridSpan w:val="3"/>
          </w:tcPr>
          <w:p>
            <w:pPr>
              <w:ind w:left="340"/>
              <w:spacing w:after="0" w:line="196" w:lineRule="exact"/>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4,986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5,822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(836)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49,445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(4,856)</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gridSpan w:val="3"/>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49,575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55,267</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(5,692)</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720" w:type="dxa"/>
            <w:vAlign w:val="bottom"/>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(27,813)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(36,205)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8,392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(2,930)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(1,919)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ind w:left="34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(28,510)</w:t>
            </w:r>
          </w:p>
        </w:tc>
        <w:tc>
          <w:tcPr>
            <w:tcW w:w="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8"/>
              </w:rPr>
              <w:t>(36,136)</w:t>
            </w:r>
          </w:p>
        </w:tc>
        <w:tc>
          <w:tcPr>
            <w:tcW w:w="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7,626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Benefit (provision) for income taxes</w:t>
            </w:r>
          </w:p>
        </w:tc>
        <w:tc>
          <w:tcPr>
            <w:tcW w:w="16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ind w:left="340"/>
              <w:spacing w:after="0"/>
              <w:rPr>
                <w:sz w:val="20"/>
                <w:szCs w:val="20"/>
                <w:color w:val="auto"/>
              </w:rPr>
            </w:pPr>
            <w:r>
              <w:rPr>
                <w:rFonts w:ascii="Arial" w:cs="Arial" w:eastAsia="Arial" w:hAnsi="Arial"/>
                <w:sz w:val="18"/>
                <w:szCs w:val="18"/>
                <w:color w:val="auto"/>
              </w:rPr>
              <w:t>Net loss</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gridSpan w:val="3"/>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(28,502)</w:t>
            </w:r>
          </w:p>
        </w:tc>
        <w:tc>
          <w:tcPr>
            <w:tcW w:w="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8"/>
              </w:rPr>
              <w:t>(36,215)</w:t>
            </w:r>
          </w:p>
        </w:tc>
        <w:tc>
          <w:tcPr>
            <w:tcW w:w="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7,713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640"/>
        </w:trPr>
        <w:tc>
          <w:tcPr>
            <w:tcW w:w="47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The following table provides revenue by geography:</w:t>
            </w: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left="455"/>
              <w:spacing w:after="0"/>
              <w:rPr>
                <w:sz w:val="20"/>
                <w:szCs w:val="20"/>
                <w:color w:val="auto"/>
              </w:rPr>
            </w:pPr>
            <w:r>
              <w:rPr>
                <w:rFonts w:ascii="Arial" w:cs="Arial" w:eastAsia="Arial" w:hAnsi="Arial"/>
                <w:sz w:val="14"/>
                <w:szCs w:val="14"/>
                <w:b w:val="1"/>
                <w:bCs w:val="1"/>
                <w:color w:val="auto"/>
                <w:w w:val="99"/>
              </w:rPr>
              <w:t>June 30,</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15"/>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23,444</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20,508</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right w:val="single" w:sz="8" w:color="CCEEFF"/>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2,936</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2,493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2,069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424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25,937</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22,577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right w:val="single" w:sz="8" w:color="CCEEFF"/>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3,360</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Revenue was $25.9 million for the six months ended June 30, 2025, an increase of $3.4 million, or 15%, over the six months ended June 30, 2024.</w:t>
      </w:r>
    </w:p>
    <w:p>
      <w:pPr>
        <w:spacing w:after="0" w:line="154"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Revenue generated in the U.S. was $23.4 million for the six months ended June 30, 2025, an increase of $2.9 million, or 14%, over the six months ended June 30, 2024. HF revenue in the U.S. totaled $23.2 million and $20.3 million for the six months ended June 30, 2025 and 2024, respectively. HF revenue units in the U.S. totaled 740 and 658 for the six months ended June 30, 2025 and 2024, respectively. The increases were primarily driven by continued growth in the U.S. HF business as a result of the expansion into new sales territories, new accounts, and increased physician and patient awareness of Barostim.</w:t>
      </w:r>
    </w:p>
    <w:p>
      <w:pPr>
        <w:spacing w:after="0" w:line="16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Revenue generated in Europe was $ 2.5 million for the six months ended June 30, 2025, a $0.4 million increase, or 20%, compared to the six months ended June 30, 2024. Total revenue units in Europe increased to 120 for the six months ended June 30, 2025, as compared to 107 in the prior year period.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0" w:lineRule="exact"/>
        <w:rPr>
          <w:sz w:val="20"/>
          <w:szCs w:val="20"/>
          <w:color w:val="auto"/>
        </w:rPr>
      </w:pPr>
    </w:p>
    <w:p>
      <w:pPr>
        <w:ind w:left="60" w:right="539"/>
        <w:spacing w:after="0" w:line="301" w:lineRule="auto"/>
        <w:rPr>
          <w:sz w:val="20"/>
          <w:szCs w:val="20"/>
          <w:color w:val="auto"/>
        </w:rPr>
      </w:pPr>
      <w:r>
        <w:rPr>
          <w:rFonts w:ascii="Arial" w:cs="Arial" w:eastAsia="Arial" w:hAnsi="Arial"/>
          <w:sz w:val="17"/>
          <w:szCs w:val="17"/>
          <w:color w:val="auto"/>
        </w:rPr>
        <w:t>Cost of goods sold increased $0.7 million, or 19%, to $4.2 million for the six months ended June 30, 2025, compared to the six months ended June 30, 2024. This increase was driven by higher sales of Barostim.</w:t>
      </w:r>
    </w:p>
    <w:p>
      <w:pPr>
        <w:spacing w:after="0" w:line="131"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Gross profit was $21.8 million for the six months ended June 30, 2025, an increase of $2.7 million, or 14%, over the six months ended June 30, 2024. Gross margin was 84% for each of the six months ended June 30, 2025 and 2024.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jc w:val="both"/>
        <w:ind w:left="60" w:right="699"/>
        <w:spacing w:after="0" w:line="253" w:lineRule="auto"/>
        <w:rPr>
          <w:sz w:val="20"/>
          <w:szCs w:val="20"/>
          <w:color w:val="auto"/>
        </w:rPr>
      </w:pPr>
      <w:r>
        <w:rPr>
          <w:rFonts w:ascii="Arial" w:cs="Arial" w:eastAsia="Arial" w:hAnsi="Arial"/>
          <w:sz w:val="18"/>
          <w:szCs w:val="18"/>
          <w:color w:val="auto"/>
        </w:rPr>
        <w:t>R&amp;D expenses decreased $ 0.8 million, or 14%, to $5.0 million for the six months ended June 30, 2025, compared to the six months ended June 30, 2024. This change was driven by a $0.4 million decrease in compensation expenses and a $0.3 million decrease in clinical trial expenses.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SG&amp;A expenses decreased $4.9 million, or 10%, to $44.6 million for the six months ended June 30, 2025, compared to the six months ended June 30, 2024. This change was primarily driven by an $8.2 million decrease in non-cash stock-based compensation expense and a $0.5 million decrease in advertising expenses, partially offset by a $2.9 million increase in compensation expenses and a $1.1 million increase in travel expenses. The modification of stock options held by our former Chief Executive Officer in connection with his retirement in the first quarter of 2024 described in Note 7 to our condensed consolidated financial statements included elsewhere in this Quarterly Report on Form 10-Q contributed approximately $8.4 million to the decrease in non-cash stock-based compensation expense.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Interest expense increased $1.0 million for the six months ended June 30, 2025, compared to the six months ended June 30, 2024. This increase was driven by the interest expense on higher levels of borrowings under the Loan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10"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color w:val="auto"/>
        </w:rPr>
        <w:t>Other income, net increased $0.2 million for the six months ended June 30, 2025, compared to the six months ended June 30, 2024. This increase was primarily driven by increased interest income on our interest-bearing accounts.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Benefit (provision) for income taxes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Benefit (provision) for income taxes was nominal for each of the six months ended June 30, 2025 and 2024.</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1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 xml:space="preserve">We have incurred significant operating losses and negative cash flows from operations since our inception, and we anticipate that we will incur significant losses for at least the next several years. As of June 30, 2025 and December 31, 2024, we had cash and cash equivalents of $95.0 million and $105.9 million, respectively. </w:t>
      </w:r>
      <w:r>
        <w:rPr>
          <w:rFonts w:ascii="Arial" w:cs="Arial" w:eastAsia="Arial" w:hAnsi="Arial"/>
          <w:sz w:val="18"/>
          <w:szCs w:val="18"/>
          <w:color w:val="212529"/>
        </w:rPr>
        <w:t>F</w:t>
      </w:r>
      <w:r>
        <w:rPr>
          <w:rFonts w:ascii="Arial" w:cs="Arial" w:eastAsia="Arial" w:hAnsi="Arial"/>
          <w:sz w:val="18"/>
          <w:szCs w:val="18"/>
          <w:color w:val="auto"/>
        </w:rPr>
        <w:t>or the three months ended June 30, 2025 and 2024, our net losses were $14.7 million and $14.0 million, respectively. For the six months ended June 30, 2025 and 2024, our net losses were $28.5 million and $36.2 million, respectively. Our net cash used in operating activities was $20.7 million for each of the six months ended June 30, 2025 and 2024.</w:t>
      </w:r>
    </w:p>
    <w:p>
      <w:pPr>
        <w:spacing w:after="0" w:line="18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On October 31, 2022, we entered into the Loan Agreement under which we may borrow, subject to our achievement of certain milestones, up to a total of $50.0 million in a series of Term Loans described in Note 4 to our condensed consolidated financial statements included elsewhere in this Quarterly Report on Form 10-Q. We had $50.0 million in outstanding Term Loans under the Loan Agreement as of June 30, 2025.</w:t>
      </w:r>
    </w:p>
    <w:p>
      <w:pPr>
        <w:spacing w:after="0" w:line="174"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On November 4, 2022, we entered into an Equity Distribution Agreement with Piper Sandler &amp; Co., as agent, under which we may offer and sell, from time to time at our sole discretion, shares of our common stock having an aggregate offering price of up to $50.0 million in an “at-the-market” (“ATM”) offering, to or through the agent. In January 2024, we commenced this ATM offering and, during the six months ended June 30, 2025, we issued 543,462 shares of common stock under the program for gross proceeds of $9.5 million. We have remaining capacity to issue and sell up to $6.7 million of additional shares of common stock under this ATM offering.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investment in our U.S. commercial infrastructure and sales forces;</w:t>
      </w:r>
    </w:p>
    <w:p>
      <w:pPr>
        <w:spacing w:after="0" w:line="224" w:lineRule="exact"/>
        <w:rPr>
          <w:rFonts w:ascii="Times New Roman" w:cs="Times New Roman" w:eastAsia="Times New Roman" w:hAnsi="Times New Roman"/>
          <w:sz w:val="18"/>
          <w:szCs w:val="18"/>
          <w:color w:val="231F20"/>
        </w:rPr>
      </w:pPr>
    </w:p>
    <w:p>
      <w:pPr>
        <w:ind w:left="380" w:right="99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degree and rate of market acceptance of Barostim and the ability for our customers to obtain appropriate levels of reimbursement;</w:t>
      </w:r>
    </w:p>
    <w:p>
      <w:pPr>
        <w:spacing w:after="0" w:line="154" w:lineRule="exact"/>
        <w:rPr>
          <w:rFonts w:ascii="Times New Roman" w:cs="Times New Roman" w:eastAsia="Times New Roman" w:hAnsi="Times New Roman"/>
          <w:sz w:val="18"/>
          <w:szCs w:val="18"/>
          <w:color w:val="231F20"/>
        </w:rPr>
      </w:pPr>
    </w:p>
    <w:p>
      <w:pPr>
        <w:ind w:left="380" w:right="103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4" w:lineRule="exact"/>
        <w:rPr>
          <w:rFonts w:ascii="Times New Roman" w:cs="Times New Roman" w:eastAsia="Times New Roman" w:hAnsi="Times New Roman"/>
          <w:sz w:val="18"/>
          <w:szCs w:val="18"/>
          <w:color w:val="231F20"/>
        </w:rPr>
      </w:pPr>
    </w:p>
    <w:p>
      <w:pPr>
        <w:ind w:left="380" w:right="31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need to implement additional infrastructure and internal systems;</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believe that our existing cash resources together with cash from operations will be sufficient to meet our forecasted requirements for operating liquidity, capital expenditures and debt services for at least the next three years. If these sources are insufficient to satisfy our liquidity requirements, or provide funding to execute or accelerate our growth strategies, however, we may seek to sell additional equity or enter into an additional loan agreement. If we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spacing w:after="0" w:line="180"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4"/>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4"/>
          </w:tcPr>
          <w:p>
            <w:pPr>
              <w:jc w:val="center"/>
              <w:ind w:left="564"/>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i w:val="1"/>
                <w:iCs w:val="1"/>
                <w:color w:val="auto"/>
              </w:rPr>
              <w:t>(unaudited)</w:t>
            </w:r>
          </w:p>
        </w:tc>
        <w:tc>
          <w:tcPr>
            <w:tcW w:w="0" w:type="dxa"/>
            <w:vAlign w:val="bottom"/>
          </w:tcPr>
          <w:p>
            <w:pPr>
              <w:spacing w:after="0"/>
              <w:rPr>
                <w:sz w:val="1"/>
                <w:szCs w:val="1"/>
                <w:color w:val="auto"/>
              </w:rPr>
            </w:pPr>
          </w:p>
        </w:tc>
      </w:tr>
      <w:tr>
        <w:trPr>
          <w:trHeight w:val="155"/>
        </w:trPr>
        <w:tc>
          <w:tcPr>
            <w:tcW w:w="6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84"/>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(20,703)</w:t>
            </w:r>
          </w:p>
        </w:tc>
        <w:tc>
          <w:tcPr>
            <w:tcW w:w="180" w:type="dxa"/>
            <w:vAlign w:val="bottom"/>
          </w:tcPr>
          <w:p>
            <w:pPr>
              <w:spacing w:after="0"/>
              <w:rPr>
                <w:sz w:val="17"/>
                <w:szCs w:val="17"/>
                <w:color w:val="auto"/>
              </w:rPr>
            </w:pPr>
          </w:p>
        </w:tc>
        <w:tc>
          <w:tcPr>
            <w:tcW w:w="24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(20,726)</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02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10,007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Effect of currency exchange on cash and cash equivalents</w:t>
            </w:r>
          </w:p>
        </w:tc>
        <w:tc>
          <w:tcPr>
            <w:tcW w:w="1020" w:type="dxa"/>
            <w:vAlign w:val="bottom"/>
            <w:gridSpan w:val="2"/>
            <w:shd w:val="clear" w:color="auto" w:fill="CCEEFF"/>
          </w:tcPr>
          <w:p>
            <w:pPr>
              <w:jc w:val="right"/>
              <w:ind w:right="4"/>
              <w:spacing w:after="0" w:line="202" w:lineRule="exact"/>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(10,908)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(20,169)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10"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Net cash used in operating activities for the six months ended June 30, 2025 was $20.7 million and consisted primarily of a net loss of $28.5 million, partially offset by a non-cash charge of $5.4 million related to stock-based compensation expense, and a change in net operating assets of $1.9 million. Net operating assets</w:t>
      </w:r>
    </w:p>
    <w:p>
      <w:pPr>
        <w:sectPr>
          <w:pgSz w:w="11900" w:h="16838" w:orient="portrait"/>
          <w:cols w:equalWidth="0" w:num="1">
            <w:col w:w="9019"/>
          </w:cols>
          <w:pgMar w:left="1440" w:top="513"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consisted primarily of accounts receivable, accrued expenses, accounts payable, inventory and prepaid expenses and other current assets to support the growth of our operations.</w:t>
      </w:r>
    </w:p>
    <w:p>
      <w:pPr>
        <w:spacing w:after="0" w:line="154"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Net cash used in operating activities for the six months ended June 30, 2024 was $20.7 million and consisted primarily of a net loss of $36.2 million, partially offset by a non-cash charge of $13.7 million related to stock-based compensation expense and an increase in net operating assets of $1.4 million. Net operating assets consisted primarily of accounts receivable, inventory, prepaid expenses and other current assets, accounts payable and accrued expenses to support the growth of our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10"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Cash used in investing activities was $0.2 million and $1.3 million for the six months ended June 30, 2025 and 2024, respectively, and consisted of purchases of property and equipment.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1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Net cash provided by financing activities for the six months ended June 30, 2025 was $10.0 million and consisted of $9.2 million related to net proceeds from the issuance of common stock through the ATM offering, $0.4 million related to proceeds from the exercise of common stock options and $0.4 million related to proceeds from the ESPP.</w:t>
      </w:r>
    </w:p>
    <w:p>
      <w:pPr>
        <w:spacing w:after="0" w:line="174"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Net cash provided by financing activities for the six months ended June 30, 2024 was $ 1.8 million and consisted of $0.9 million related to net proceeds from the exercise of common stock options, $0.5 million related to proceeds from the issuance of common stock through the ATM offering, and $0.4 million related to proceeds from the ESPP.</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21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There have been no material changes to our contractual obligations as of June 30, 2025, as compared to those disclosed in our Annual Report on Form 10-K for the year ended December 31, 2024.</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For a discussion of our potential risks and uncertainties, see the information in Part II, Item 7. “Management's Discussion and Analysis of Financial Condition and Results of Operations—Critical accounting policies and estimates" in our Annual Report on Form 10-K for the fiscal year ended December 31, 2024. We have reviewed and determined that those critical accounting policies and estimates remain our critical accounting policies and estimates as of and for the six months ended June 30, 2025.</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1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16"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A discussion of recent accounting pronouncements is included in Note 2 to our condensed consolidated financial statements included elsewhere in this Quarterly Report on Form 10-Q.</w:t>
      </w:r>
    </w:p>
    <w:p>
      <w:pPr>
        <w:sectPr>
          <w:pgSz w:w="11900" w:h="16838" w:orient="portrait"/>
          <w:cols w:equalWidth="0" w:num="1">
            <w:col w:w="9019"/>
          </w:cols>
          <w:pgMar w:left="1440" w:top="513"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 risk associated with fluctuating interest rates is primarily limited to our cash equivalents and debt issued under the Loan Agreement, which are carried at quoted market prices and the prime rate, respectively. We do not currently use or plan to use financial derivatives in our investment portfolio.</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foreign currency transaction realized gains and losses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10" w:lineRule="exact"/>
        <w:rPr>
          <w:sz w:val="20"/>
          <w:szCs w:val="20"/>
          <w:color w:val="auto"/>
        </w:rPr>
      </w:pPr>
    </w:p>
    <w:p>
      <w:pPr>
        <w:ind w:left="60" w:right="239"/>
        <w:spacing w:after="0" w:line="254"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ind w:left="60" w:right="119"/>
        <w:spacing w:after="0" w:line="250"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10"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As of June 30, 2025 and December 31, 2024, our cash and cash equivalents were maintained with financial institutions which we believe have sufficient assets and liquidity to conduct their operations in the ordinary course of business with little or no credit risk to us; however, our cash balances were in excess of insured limits.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Controls and Procedures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679"/>
        <w:spacing w:after="0" w:line="271" w:lineRule="auto"/>
        <w:rPr>
          <w:sz w:val="20"/>
          <w:szCs w:val="20"/>
          <w:color w:val="auto"/>
        </w:rPr>
      </w:pPr>
      <w:r>
        <w:rPr>
          <w:rFonts w:ascii="Arial" w:cs="Arial" w:eastAsia="Arial" w:hAnsi="Arial"/>
          <w:sz w:val="18"/>
          <w:szCs w:val="18"/>
          <w:color w:val="auto"/>
        </w:rPr>
        <w:t>procedures were effective, at the reasonable assurance level, as of the end of the period covered by this Quarterly Report on Form 10-Q.</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June 30, 2025, that have materially affected, or are reasonably likely to materially affect, our internal control over financial reporting.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Legal Proceedings</w:t>
      </w:r>
    </w:p>
    <w:p>
      <w:pPr>
        <w:spacing w:after="0" w:line="189" w:lineRule="exact"/>
        <w:rPr>
          <w:sz w:val="20"/>
          <w:szCs w:val="20"/>
          <w:color w:val="auto"/>
        </w:rPr>
      </w:pPr>
    </w:p>
    <w:p>
      <w:pPr>
        <w:ind w:left="60" w:right="179"/>
        <w:spacing w:after="0" w:line="303"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1A. Risk Factors</w:t>
      </w:r>
    </w:p>
    <w:p>
      <w:pPr>
        <w:spacing w:after="0" w:line="175" w:lineRule="exact"/>
        <w:rPr>
          <w:sz w:val="20"/>
          <w:szCs w:val="20"/>
          <w:color w:val="auto"/>
        </w:rPr>
      </w:pPr>
    </w:p>
    <w:p>
      <w:pPr>
        <w:ind w:left="60" w:right="199"/>
        <w:spacing w:after="0" w:line="292" w:lineRule="auto"/>
        <w:rPr>
          <w:sz w:val="20"/>
          <w:szCs w:val="20"/>
          <w:color w:val="auto"/>
        </w:rPr>
      </w:pPr>
      <w:r>
        <w:rPr>
          <w:rFonts w:ascii="Arial" w:cs="Arial" w:eastAsia="Arial" w:hAnsi="Arial"/>
          <w:sz w:val="18"/>
          <w:szCs w:val="18"/>
          <w:color w:val="auto"/>
        </w:rPr>
        <w:t>For a discussion of our potential risks and uncertainties, see the information in Part I, Item IA. “Risk Factors” in our Annual Report on Form 10-K for the year ended December 31, 2024. Other than the risk factor set forth below, there have been no material changes to the risk factors disclosed in our Annual Report on Form 10-K.</w:t>
      </w:r>
    </w:p>
    <w:p>
      <w:pPr>
        <w:spacing w:after="0" w:line="165" w:lineRule="exact"/>
        <w:rPr>
          <w:sz w:val="20"/>
          <w:szCs w:val="20"/>
          <w:color w:val="auto"/>
        </w:rPr>
      </w:pPr>
    </w:p>
    <w:p>
      <w:pPr>
        <w:ind w:left="60" w:right="179"/>
        <w:spacing w:after="0" w:line="325" w:lineRule="auto"/>
        <w:rPr>
          <w:sz w:val="20"/>
          <w:szCs w:val="20"/>
          <w:color w:val="auto"/>
        </w:rPr>
      </w:pPr>
      <w:r>
        <w:rPr>
          <w:rFonts w:ascii="Arial" w:cs="Arial" w:eastAsia="Arial" w:hAnsi="Arial"/>
          <w:sz w:val="18"/>
          <w:szCs w:val="18"/>
          <w:b w:val="1"/>
          <w:bCs w:val="1"/>
          <w:i w:val="1"/>
          <w:iCs w:val="1"/>
          <w:color w:val="231F20"/>
        </w:rPr>
        <w:t>Barostim is also subject to extensive governmental regulation in foreign jurisdictions, such as Europe, and our failure to comply with applicable requirements could cause our business to suffer.</w:t>
      </w:r>
    </w:p>
    <w:p>
      <w:pPr>
        <w:spacing w:after="0" w:line="112"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In the European Economic Area (“EEA”), Barostim was required to comply with the Essential Requirements laid down in Annex I to the European Union (“EU”) Active Implantable Medical Devices Directive. Compliance with these requirements was a prerequisite to affixing the CE mark to Barostim. To demonstrate compliance with the Essential Requirements and obtain the right to affix the CE Mark to Barostim, we underwent a conformity assessment procedure, which varied according to the type of medical device and its classification. Except for low-risk medical devices (Class I with no measuring function and which are not sterile), where the manufacturer could issue an EU Declaration of Conformity based on a self-assessment of the conformity of its products with the Essential Requirements, a conformity assessment procedure required the intervention of a Notified Body, which is an organization designated by a competent authority of an EEA country to conduct conformity assessments. Depending on the relevant conformity assessment procedure, the Notified Body would audit the Quality Management System and examine the Technical File for the manufacture, design and final inspection of our devices. The Notified Body would issue a CE Certificate of Conformity following successful completion of this conformity assessment procedure conducted in relation to the medical device and its manufacturer and their conformity with the Essential Requirements. This Certificate would entitle the manufacturer to affix the CE mark to its medical devices after having prepared and signed a related EU Declaration of Conformity.</w:t>
      </w:r>
    </w:p>
    <w:p>
      <w:pPr>
        <w:spacing w:after="0" w:line="78" w:lineRule="exact"/>
        <w:rPr>
          <w:sz w:val="20"/>
          <w:szCs w:val="20"/>
          <w:color w:val="auto"/>
        </w:rPr>
      </w:pPr>
    </w:p>
    <w:p>
      <w:pPr>
        <w:ind w:left="60" w:right="199"/>
        <w:spacing w:after="0" w:line="251"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on, among other things,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w:t>
      </w:r>
    </w:p>
    <w:p>
      <w:pPr>
        <w:spacing w:after="0" w:line="1" w:lineRule="exact"/>
        <w:rPr>
          <w:sz w:val="20"/>
          <w:szCs w:val="20"/>
          <w:color w:val="auto"/>
        </w:rPr>
      </w:pPr>
    </w:p>
    <w:p>
      <w:pPr>
        <w:jc w:val="both"/>
        <w:ind w:left="60" w:right="259" w:hanging="10"/>
        <w:spacing w:after="0"/>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of prior authorization by the competent authorities of the country in which the study takes place and the requirement to obtain a positive opinion from a competent Ethics Committee. This process can be expensive and time-consuming.</w:t>
      </w:r>
    </w:p>
    <w:p>
      <w:pPr>
        <w:spacing w:after="0" w:line="6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Regulations in the EU were updated to require compliance to Regulation (EU) 2017/745 on Medical Devices (“MDR”). Additional amendments to the regulation have delayed required implementation dates to December 31, 2027. Compliance with the new regulation required extensive updates to the quality system and device technical file documentation to new requirements. Updates were made and annual Notified Body inspections assessing compliance of the quality system to the MDR have been ongoing since 2020. An application was made for Barostim to comply with the general safety and performance requirements of the EU MDR. Final approval and certificates of compliance for both the technical file and quality system were issued on April 9, 2025. We are required to continue to submit updates for any substantial changes to the design, manufacturing or quality system for assessment against the MDR requirements. Annual audits by the Notified Body are required to verify that we continue to meet the MDR requirements. The current integrated platform technology, Barostim is approved under the MDR. Barostim Legacy is not approved under MDR, but can still be sold under the Active Implantable Medical Device Directive (“AIMDD”) approval through 2027. Failing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National Standards Authority of Ireland), which could impair our ability to market products in the EEA in the future.</w:t>
      </w:r>
    </w:p>
    <w:p>
      <w:pPr>
        <w:spacing w:after="0" w:line="2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5. Other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Modification or Termination of Rule 10b5-1 Plans and Certain Other Trading Arrangements</w:t>
      </w:r>
    </w:p>
    <w:p>
      <w:pPr>
        <w:spacing w:after="0" w:line="212" w:lineRule="exact"/>
        <w:rPr>
          <w:sz w:val="20"/>
          <w:szCs w:val="20"/>
          <w:color w:val="auto"/>
        </w:rPr>
      </w:pPr>
    </w:p>
    <w:p>
      <w:pPr>
        <w:jc w:val="both"/>
        <w:ind w:left="60" w:right="99"/>
        <w:spacing w:after="0" w:line="253" w:lineRule="auto"/>
        <w:rPr>
          <w:sz w:val="20"/>
          <w:szCs w:val="20"/>
          <w:color w:val="auto"/>
        </w:rPr>
      </w:pPr>
      <w:r>
        <w:rPr>
          <w:rFonts w:ascii="Arial" w:cs="Arial" w:eastAsia="Arial" w:hAnsi="Arial"/>
          <w:sz w:val="18"/>
          <w:szCs w:val="18"/>
          <w:color w:val="auto"/>
        </w:rPr>
        <w:t>During the three months ended June 30, 2025, none of our directors or officers adopted, modified or terminated a “Rule 10b5-1 trading arrangement” or “non-Rule 10b5-1 trading arrangement,” as each term is defined in Item 408(a) of Regulation S-K.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Exhibits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97"/>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0" w:type="dxa"/>
            <w:vAlign w:val="bottom"/>
            <w:gridSpan w:val="9"/>
          </w:tcPr>
          <w:p>
            <w:pPr>
              <w:ind w:left="2360"/>
              <w:spacing w:after="0"/>
              <w:rPr>
                <w:sz w:val="20"/>
                <w:szCs w:val="20"/>
                <w:color w:val="auto"/>
              </w:rPr>
            </w:pPr>
            <w:r>
              <w:rPr>
                <w:rFonts w:ascii="Arial" w:cs="Arial" w:eastAsia="Arial" w:hAnsi="Arial"/>
                <w:sz w:val="22"/>
                <w:szCs w:val="22"/>
                <w:b w:val="1"/>
                <w:bCs w:val="1"/>
                <w:color w:val="auto"/>
              </w:rPr>
              <w:t>EXHIBIT INDEX</w:t>
            </w:r>
          </w:p>
        </w:tc>
      </w:tr>
      <w:tr>
        <w:trPr>
          <w:trHeight w:val="437"/>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8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11"/>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7920" w:type="dxa"/>
            <w:vAlign w:val="bottom"/>
            <w:tcBorders>
              <w:top w:val="single" w:sz="8" w:color="auto"/>
            </w:tcBorders>
            <w:gridSpan w:val="10"/>
          </w:tcPr>
          <w:p>
            <w:pPr>
              <w:spacing w:after="0"/>
              <w:rPr>
                <w:rFonts w:ascii="Arial" w:cs="Arial" w:eastAsia="Arial" w:hAnsi="Arial"/>
                <w:sz w:val="18"/>
                <w:szCs w:val="18"/>
                <w:color w:val="0000EE"/>
              </w:rPr>
            </w:pPr>
            <w:hyperlink r:id="rId50">
              <w:r>
                <w:rPr>
                  <w:rFonts w:ascii="Arial" w:cs="Arial" w:eastAsia="Arial" w:hAnsi="Arial"/>
                  <w:sz w:val="18"/>
                  <w:szCs w:val="18"/>
                  <w:color w:val="0000EE"/>
                </w:rPr>
                <w:t>Restated Certificate of Incorporation of CVRx, Inc. (incorporated by reference to Exhibit 3.1 to the</w:t>
              </w:r>
            </w:hyperlink>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50">
              <w:r>
                <w:rPr>
                  <w:rFonts w:ascii="Arial" w:cs="Arial" w:eastAsia="Arial" w:hAnsi="Arial"/>
                  <w:sz w:val="18"/>
                  <w:szCs w:val="18"/>
                  <w:color w:val="0000EE"/>
                </w:rPr>
                <w:t>Company’s Current Report on Form 8-K filed on June 7, 2024)</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7920" w:type="dxa"/>
            <w:vAlign w:val="bottom"/>
            <w:gridSpan w:val="10"/>
          </w:tcPr>
          <w:p>
            <w:pPr>
              <w:spacing w:after="0"/>
              <w:rPr>
                <w:rFonts w:ascii="Arial" w:cs="Arial" w:eastAsia="Arial" w:hAnsi="Arial"/>
                <w:sz w:val="18"/>
                <w:szCs w:val="18"/>
                <w:color w:val="0000EE"/>
              </w:rPr>
            </w:pPr>
            <w:hyperlink r:id="rId51">
              <w:r>
                <w:rPr>
                  <w:rFonts w:ascii="Arial" w:cs="Arial" w:eastAsia="Arial" w:hAnsi="Arial"/>
                  <w:sz w:val="18"/>
                  <w:szCs w:val="18"/>
                  <w:color w:val="0000EE"/>
                </w:rPr>
                <w:t>Amended and Restated By-Laws of CVRx, Inc. (incorporated by reference to Exhibit 3.2 to the</w:t>
              </w:r>
            </w:hyperlink>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Company’s Current Report on Form 8-K filed on July 7, 2021)</w:t>
              </w:r>
            </w:hyperlink>
          </w:p>
        </w:tc>
        <w:tc>
          <w:tcPr>
            <w:tcW w:w="25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10.1</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920" w:type="dxa"/>
            <w:vAlign w:val="bottom"/>
            <w:gridSpan w:val="10"/>
          </w:tcPr>
          <w:p>
            <w:pPr>
              <w:spacing w:after="0"/>
              <w:rPr>
                <w:sz w:val="20"/>
                <w:szCs w:val="20"/>
                <w:color w:val="auto"/>
              </w:rPr>
            </w:pPr>
            <w:r>
              <w:rPr>
                <w:rFonts w:ascii="Arial" w:cs="Arial" w:eastAsia="Arial" w:hAnsi="Arial"/>
                <w:sz w:val="18"/>
                <w:szCs w:val="18"/>
                <w:color w:val="0000EE"/>
              </w:rPr>
              <w:t>Seventh Amendment to Lease, dated May 20, 2025, by and between the Company and TCI TT,</w:t>
            </w: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LLC</w:t>
            </w:r>
          </w:p>
        </w:tc>
        <w:tc>
          <w:tcPr>
            <w:tcW w:w="1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31.1</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8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Certification of Chief Executive Officer Pursuant to Section 302 of the Sarbanes-Oxley Act of 2002</w:t>
            </w:r>
          </w:p>
        </w:tc>
        <w:tc>
          <w:tcPr>
            <w:tcW w:w="120" w:type="dxa"/>
            <w:vAlign w:val="bottom"/>
            <w:gridSpan w:val="2"/>
          </w:tcPr>
          <w:p>
            <w:pPr>
              <w:spacing w:after="0"/>
              <w:rPr>
                <w:sz w:val="24"/>
                <w:szCs w:val="24"/>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31.2</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7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Certification of Chief Financial Officer Pursuant to Section 302 of the Sarbanes-Oxley Act of 2002</w:t>
            </w:r>
          </w:p>
        </w:tc>
        <w:tc>
          <w:tcPr>
            <w:tcW w:w="180" w:type="dxa"/>
            <w:vAlign w:val="bottom"/>
            <w:gridSpan w:val="4"/>
          </w:tcPr>
          <w:p>
            <w:pPr>
              <w:spacing w:after="0"/>
              <w:rPr>
                <w:sz w:val="24"/>
                <w:szCs w:val="24"/>
                <w:color w:val="auto"/>
              </w:rPr>
            </w:pPr>
          </w:p>
        </w:tc>
      </w:tr>
      <w:tr>
        <w:trPr>
          <w:trHeight w:val="399"/>
        </w:trPr>
        <w:tc>
          <w:tcPr>
            <w:tcW w:w="820" w:type="dxa"/>
            <w:vAlign w:val="bottom"/>
          </w:tcPr>
          <w:p>
            <w:pPr>
              <w:spacing w:after="0"/>
              <w:rPr>
                <w:sz w:val="20"/>
                <w:szCs w:val="20"/>
                <w:color w:val="auto"/>
              </w:rPr>
            </w:pPr>
            <w:r>
              <w:rPr>
                <w:rFonts w:ascii="Arial" w:cs="Arial" w:eastAsia="Arial" w:hAnsi="Arial"/>
                <w:sz w:val="18"/>
                <w:szCs w:val="18"/>
                <w:color w:val="auto"/>
              </w:rPr>
              <w:t>32.1</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920" w:type="dxa"/>
            <w:vAlign w:val="bottom"/>
            <w:gridSpan w:val="10"/>
          </w:tcPr>
          <w:p>
            <w:pPr>
              <w:spacing w:after="0"/>
              <w:rPr>
                <w:sz w:val="20"/>
                <w:szCs w:val="20"/>
                <w:color w:val="auto"/>
              </w:rPr>
            </w:pPr>
            <w:r>
              <w:rPr>
                <w:rFonts w:ascii="Arial" w:cs="Arial" w:eastAsia="Arial" w:hAnsi="Arial"/>
                <w:sz w:val="18"/>
                <w:szCs w:val="18"/>
                <w:color w:val="0000EE"/>
              </w:rPr>
              <w:t>Certification of Chief Executive Officer Pursuant to 18 U.S.C. Section 1350, as adopted pursuant to</w:t>
            </w: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6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32.2</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920" w:type="dxa"/>
            <w:vAlign w:val="bottom"/>
            <w:gridSpan w:val="10"/>
          </w:tcPr>
          <w:p>
            <w:pPr>
              <w:spacing w:after="0"/>
              <w:rPr>
                <w:sz w:val="20"/>
                <w:szCs w:val="20"/>
                <w:color w:val="auto"/>
              </w:rPr>
            </w:pPr>
            <w:r>
              <w:rPr>
                <w:rFonts w:ascii="Arial" w:cs="Arial" w:eastAsia="Arial" w:hAnsi="Arial"/>
                <w:sz w:val="18"/>
                <w:szCs w:val="18"/>
                <w:color w:val="0000EE"/>
              </w:rPr>
              <w:t>Certification of Chief Financial Officer Pursuant to 18 U.S.C. Section 1350, as adopted pursuant to</w:t>
            </w: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120" w:type="dxa"/>
            <w:vAlign w:val="bottom"/>
            <w:gridSpan w:val="2"/>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40" w:right="279" w:hanging="983"/>
        <w:spacing w:after="0" w:line="286" w:lineRule="auto"/>
        <w:tabs>
          <w:tab w:leader="none" w:pos="1020" w:val="left"/>
        </w:tabs>
        <w:rPr>
          <w:sz w:val="20"/>
          <w:szCs w:val="20"/>
          <w:color w:val="auto"/>
        </w:rPr>
      </w:pPr>
      <w:r>
        <w:rPr>
          <w:rFonts w:ascii="Arial" w:cs="Arial" w:eastAsia="Arial" w:hAnsi="Arial"/>
          <w:sz w:val="18"/>
          <w:szCs w:val="18"/>
          <w:color w:val="auto"/>
        </w:rPr>
        <w:t>101.INS</w:t>
      </w:r>
      <w:r>
        <w:rPr>
          <w:rFonts w:ascii="Times New Roman" w:cs="Times New Roman" w:eastAsia="Times New Roman" w:hAnsi="Times New Roman"/>
          <w:sz w:val="18"/>
          <w:szCs w:val="18"/>
          <w:color w:val="auto"/>
        </w:rPr>
        <w:t>†</w:t>
      </w:r>
      <w:r>
        <w:rPr>
          <w:rFonts w:ascii="Arial" w:cs="Arial" w:eastAsia="Arial" w:hAnsi="Arial"/>
          <w:sz w:val="18"/>
          <w:szCs w:val="18"/>
          <w:color w:val="auto"/>
        </w:rPr>
        <w:tab/>
        <w:t xml:space="preserve">Inline XBRL Instance Document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instance document does not appear in the Interactive Data File because its XBRL tags are embedded within the Inline XBRL document</w:t>
      </w:r>
    </w:p>
    <w:p>
      <w:pPr>
        <w:spacing w:after="0" w:line="127"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101.SCH</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Schema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101.CAL</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Calculation Linkbase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101.DEF</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Definition Linkbase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101.LAB</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Label Linkbase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101.PRE</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Presentation Linkbase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104</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1"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5, 2025</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CVRX, INC.</w:t>
      </w:r>
    </w:p>
    <w:p>
      <w:pPr>
        <w:spacing w:after="0" w:line="225"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Hykes</w:t>
      </w:r>
    </w:p>
    <w:p>
      <w:pPr>
        <w:spacing w:after="0" w:line="1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Kevin Hykes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President and Chief Executive Officer</w:t>
      </w:r>
    </w:p>
    <w:p>
      <w:pPr>
        <w:ind w:left="452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Chief Financial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jc w:val="right"/>
        <w:ind w:right="159"/>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1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SEVENTH AMENDMENT TO LEASE</w:t>
      </w:r>
    </w:p>
    <w:p>
      <w:pPr>
        <w:spacing w:after="0" w:line="237" w:lineRule="exact"/>
        <w:rPr>
          <w:sz w:val="20"/>
          <w:szCs w:val="20"/>
          <w:color w:val="auto"/>
        </w:rPr>
      </w:pPr>
    </w:p>
    <w:p>
      <w:pPr>
        <w:ind w:left="200" w:right="159" w:firstLine="648"/>
        <w:spacing w:after="0" w:line="250" w:lineRule="auto"/>
        <w:rPr>
          <w:sz w:val="20"/>
          <w:szCs w:val="20"/>
          <w:color w:val="auto"/>
        </w:rPr>
      </w:pPr>
      <w:r>
        <w:rPr>
          <w:rFonts w:ascii="Times New Roman" w:cs="Times New Roman" w:eastAsia="Times New Roman" w:hAnsi="Times New Roman"/>
          <w:sz w:val="22"/>
          <w:szCs w:val="22"/>
          <w:color w:val="auto"/>
        </w:rPr>
        <w:t>THIS SEVENTH AMENDMENT TO LEASE (“Amendment”) is dated May 20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2025 (“Effective Date”), by and between TCI TT, LLC, a Delaware limited liability company (“Landlord”), and CVRx, Inc., a Delaware corporation (“Tenant”).</w:t>
      </w:r>
    </w:p>
    <w:p>
      <w:pPr>
        <w:spacing w:after="0" w:line="181" w:lineRule="exact"/>
        <w:rPr>
          <w:sz w:val="20"/>
          <w:szCs w:val="20"/>
          <w:color w:val="auto"/>
        </w:rPr>
      </w:pPr>
    </w:p>
    <w:p>
      <w:pPr>
        <w:jc w:val="both"/>
        <w:ind w:left="200" w:right="159" w:firstLine="652"/>
        <w:spacing w:after="0" w:line="239" w:lineRule="auto"/>
        <w:tabs>
          <w:tab w:leader="none" w:pos="14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as successor in interest to Duke Realty Limited Partnership, and Tenant are the current parties to that certain Lease dated October 13, 2008 (“Original Lease”), as amended by that certain First Lease Amendment dated November 30, 2010 (“First Amendment”), as further amended by that certain Second Lease Amendment dated October 22, 2012 (“Second Amendment”), as further amended by that certain Lease Amending Agreement No. 3 dated May 20, 2016 (“Third Amendment”), as further amended by that certain Lease Amending Agreement No. 4 dated May 18, 2020 (“Fourth Amendment”), as further amended by that certain Fifth Amendment to Lease dated April 21, 2023 (“Fifth Amendment”), and as further amended by that certain Sixth Amendment to Lease dated November 7, 2023 (“Sixth Amendment”) (the Original Lease, First Amendment, Second Amendment, Third Amendment, Fourth Amendment, Fifth Amendment and Sixth Amendment are hereinafter collectively referred to as the “Lease”), for the lease by Tenant of Suites 615 and 660 located at 9201 West Broadway, Brooklyn Park, Minnesota 55445, consisting of approximately 31,505 rentable square feet, as more particularly described in the Lease (“Current Premises”).</w:t>
      </w:r>
    </w:p>
    <w:p>
      <w:pPr>
        <w:spacing w:after="0" w:line="226" w:lineRule="exact"/>
        <w:rPr>
          <w:rFonts w:ascii="Times New Roman" w:cs="Times New Roman" w:eastAsia="Times New Roman" w:hAnsi="Times New Roman"/>
          <w:sz w:val="22"/>
          <w:szCs w:val="22"/>
          <w:color w:val="auto"/>
        </w:rPr>
      </w:pPr>
    </w:p>
    <w:p>
      <w:pPr>
        <w:jc w:val="both"/>
        <w:ind w:left="200" w:right="159" w:firstLine="652"/>
        <w:spacing w:after="0" w:line="250" w:lineRule="auto"/>
        <w:tabs>
          <w:tab w:leader="none" w:pos="14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desire to amend the Lease to provide for an expansion of the Current Premises, and to make certain other specific modifications to the Lease, upon the terms and conditions hereinafter set forth.</w:t>
      </w:r>
    </w:p>
    <w:p>
      <w:pPr>
        <w:spacing w:after="0" w:line="195" w:lineRule="exact"/>
        <w:rPr>
          <w:sz w:val="20"/>
          <w:szCs w:val="20"/>
          <w:color w:val="auto"/>
        </w:rPr>
      </w:pPr>
    </w:p>
    <w:p>
      <w:pPr>
        <w:jc w:val="both"/>
        <w:ind w:left="200" w:right="159" w:firstLine="648"/>
        <w:spacing w:after="0" w:line="250" w:lineRule="auto"/>
        <w:rPr>
          <w:sz w:val="20"/>
          <w:szCs w:val="20"/>
          <w:color w:val="auto"/>
        </w:rPr>
      </w:pPr>
      <w:r>
        <w:rPr>
          <w:rFonts w:ascii="Times New Roman" w:cs="Times New Roman" w:eastAsia="Times New Roman" w:hAnsi="Times New Roman"/>
          <w:sz w:val="22"/>
          <w:szCs w:val="22"/>
          <w:color w:val="auto"/>
        </w:rPr>
        <w:t>NOW, THEREFORE, in consideration of the foregoing and the mutual covenants hereinafter contained, and for other good and valuable consideration, the receipt and sufficiency of which are hereby acknowledged, the parties agree as follows:</w:t>
      </w:r>
    </w:p>
    <w:p>
      <w:pPr>
        <w:spacing w:after="0" w:line="208" w:lineRule="exact"/>
        <w:rPr>
          <w:sz w:val="20"/>
          <w:szCs w:val="20"/>
          <w:color w:val="auto"/>
        </w:rPr>
      </w:pPr>
    </w:p>
    <w:p>
      <w:pPr>
        <w:ind w:left="200" w:right="219" w:firstLine="4"/>
        <w:spacing w:after="0" w:line="271" w:lineRule="auto"/>
        <w:tabs>
          <w:tab w:leader="none" w:pos="84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All capitalized terms in this Amendment have the same meaning defined in the Lease, except where expressly defined to the contrary in this Amendment.</w:t>
      </w:r>
    </w:p>
    <w:p>
      <w:pPr>
        <w:spacing w:after="0" w:line="157" w:lineRule="exact"/>
        <w:rPr>
          <w:rFonts w:ascii="Times New Roman" w:cs="Times New Roman" w:eastAsia="Times New Roman" w:hAnsi="Times New Roman"/>
          <w:sz w:val="22"/>
          <w:szCs w:val="22"/>
          <w:color w:val="auto"/>
        </w:rPr>
      </w:pPr>
    </w:p>
    <w:p>
      <w:pPr>
        <w:jc w:val="both"/>
        <w:ind w:left="200" w:right="159" w:firstLine="4"/>
        <w:spacing w:after="0" w:line="254" w:lineRule="auto"/>
        <w:tabs>
          <w:tab w:leader="none" w:pos="84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Confirmation</w:t>
      </w:r>
      <w:r>
        <w:rPr>
          <w:rFonts w:ascii="Times New Roman" w:cs="Times New Roman" w:eastAsia="Times New Roman" w:hAnsi="Times New Roman"/>
          <w:sz w:val="21"/>
          <w:szCs w:val="21"/>
          <w:color w:val="auto"/>
        </w:rPr>
        <w:t>. Tenant acknowledges and agrees that: (a) Tenant is in sole possession of the Current Premises demised under the Lease; (b) all work, improvements and furnishings required by Landlord under the Lease for the Current Premises have been completed and accepted by Tenant; (c) Tenant has no offset, claim, recoupment, or defense against the payment of rent or other sums and the performance of all obligations of Tenant under the Lease; (d) the Lease is binding on Tenant and is in full force and effect, and Tenant has no defenses to the enforcement of the Lease; (e) Tenant has not assigned the Lease, or sublet the Current Premises; and (f) Tenant is not in default of the Lease and Tenant acknowledges that Landlord is not in default of the Lease.</w:t>
      </w:r>
    </w:p>
    <w:p>
      <w:pPr>
        <w:spacing w:after="0" w:line="196" w:lineRule="exact"/>
        <w:rPr>
          <w:rFonts w:ascii="Times New Roman" w:cs="Times New Roman" w:eastAsia="Times New Roman" w:hAnsi="Times New Roman"/>
          <w:sz w:val="21"/>
          <w:szCs w:val="21"/>
          <w:color w:val="auto"/>
        </w:rPr>
      </w:pPr>
    </w:p>
    <w:p>
      <w:pPr>
        <w:jc w:val="both"/>
        <w:ind w:left="200" w:right="159" w:firstLine="4"/>
        <w:spacing w:after="0" w:line="243" w:lineRule="auto"/>
        <w:tabs>
          <w:tab w:leader="none" w:pos="84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Expansion of Premises</w:t>
      </w:r>
      <w:r>
        <w:rPr>
          <w:rFonts w:ascii="Times New Roman" w:cs="Times New Roman" w:eastAsia="Times New Roman" w:hAnsi="Times New Roman"/>
          <w:sz w:val="22"/>
          <w:szCs w:val="22"/>
          <w:color w:val="auto"/>
        </w:rPr>
        <w:t xml:space="preserve">. Commencing on June 1, 2025 (“Expansion Date”), Landlord leases to Tenant and Tenant takes from Landlord the addition of approximately 3,678 rentable square feet of space, which is depicted in purple on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attached hereto (“Expansion Premises”). If, for any reason, Landlord is unable to deliver possession of the Expansion Premises on the Expansion Date, Landlord shall not be liable for any damage caused thereby, nor shall this Amendment be void or voidable, but, rather, the Expansion Premises Term shall commence upon,</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9465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494655"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jc w:val="both"/>
        <w:ind w:left="240" w:right="179"/>
        <w:spacing w:after="0" w:line="241" w:lineRule="auto"/>
        <w:rPr>
          <w:sz w:val="20"/>
          <w:szCs w:val="20"/>
          <w:color w:val="auto"/>
        </w:rPr>
      </w:pPr>
      <w:r>
        <w:rPr>
          <w:rFonts w:ascii="Times New Roman" w:cs="Times New Roman" w:eastAsia="Times New Roman" w:hAnsi="Times New Roman"/>
          <w:sz w:val="22"/>
          <w:szCs w:val="22"/>
          <w:color w:val="auto"/>
        </w:rPr>
        <w:t>and the Expansion Date shall be, the date that possession of the Expansion Premises is so tendered to Tenant. From and after the Expansion Date, the total leased space shall consist of both the Current Premises and the Expansion Premises, which totals approximately 35,183 rentable square feet. Commencing as of the Expansion Date, the Current Premises and the Expansion Premises shall be referred to as the “Premises” for all purposes under the Lease and this Amendment, subject to the terms hereof.</w:t>
      </w:r>
    </w:p>
    <w:p>
      <w:pPr>
        <w:spacing w:after="0" w:line="218" w:lineRule="exact"/>
        <w:rPr>
          <w:sz w:val="20"/>
          <w:szCs w:val="20"/>
          <w:color w:val="auto"/>
        </w:rPr>
      </w:pPr>
    </w:p>
    <w:p>
      <w:pPr>
        <w:jc w:val="both"/>
        <w:ind w:left="240" w:right="179"/>
        <w:spacing w:after="0" w:line="248" w:lineRule="auto"/>
        <w:tabs>
          <w:tab w:leader="none" w:pos="88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current term of the Lease for the Current Premises is set to expire on August 31, 2028. It is agreed and understood that the Term of the Lease for the Expansion Premises will commence on the Expansion Date, and run concurrently with the Term for the Current Premises, expiring on August 31, 2028 (“Expansion Premises Term”).</w:t>
      </w:r>
    </w:p>
    <w:p>
      <w:pPr>
        <w:spacing w:after="0" w:line="182" w:lineRule="exact"/>
        <w:rPr>
          <w:rFonts w:ascii="Times New Roman" w:cs="Times New Roman" w:eastAsia="Times New Roman" w:hAnsi="Times New Roman"/>
          <w:sz w:val="22"/>
          <w:szCs w:val="22"/>
          <w:color w:val="auto"/>
        </w:rPr>
      </w:pPr>
    </w:p>
    <w:p>
      <w:pPr>
        <w:jc w:val="both"/>
        <w:ind w:left="240" w:right="179"/>
        <w:spacing w:after="0" w:line="244" w:lineRule="auto"/>
        <w:tabs>
          <w:tab w:leader="none" w:pos="88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Rental Installments</w:t>
      </w:r>
      <w:r>
        <w:rPr>
          <w:rFonts w:ascii="Times New Roman" w:cs="Times New Roman" w:eastAsia="Times New Roman" w:hAnsi="Times New Roman"/>
          <w:sz w:val="22"/>
          <w:szCs w:val="22"/>
          <w:color w:val="auto"/>
        </w:rPr>
        <w:t>. Tenant shall continue to pay the Monthly Rental Installments for the Current Premises in accordance with the Lease. The Monthly Rental Installments for the Expansion Premises after the Expansion Date shall be paid in accordance with the Lease in the following amounts:</w:t>
      </w:r>
    </w:p>
    <w:p>
      <w:pPr>
        <w:spacing w:after="0" w:line="197" w:lineRule="exact"/>
        <w:rPr>
          <w:sz w:val="20"/>
          <w:szCs w:val="20"/>
          <w:color w:val="auto"/>
        </w:rPr>
      </w:pPr>
    </w:p>
    <w:tbl>
      <w:tblPr>
        <w:tblLayout w:type="fixed"/>
        <w:tblInd w:w="860" w:type="dxa"/>
        <w:tblCellMar>
          <w:top w:w="0" w:type="dxa"/>
          <w:left w:w="0" w:type="dxa"/>
          <w:bottom w:w="0" w:type="dxa"/>
          <w:right w:w="0" w:type="dxa"/>
        </w:tblCellMar>
      </w:tblPr>
      <w:tr>
        <w:trPr>
          <w:trHeight w:val="260"/>
        </w:trPr>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Time Period</w:t>
            </w:r>
          </w:p>
        </w:tc>
        <w:tc>
          <w:tcPr>
            <w:tcW w:w="1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S.F.</w:t>
            </w: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Rate (PSF)</w:t>
            </w: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Monthly Rental Installments</w:t>
            </w:r>
          </w:p>
        </w:tc>
      </w:tr>
      <w:tr>
        <w:trPr>
          <w:trHeight w:val="226"/>
        </w:trPr>
        <w:tc>
          <w:tcPr>
            <w:tcW w:w="980" w:type="dxa"/>
            <w:vAlign w:val="bottom"/>
          </w:tcPr>
          <w:p>
            <w:pPr>
              <w:ind w:left="20"/>
              <w:spacing w:after="0" w:line="226" w:lineRule="exact"/>
              <w:rPr>
                <w:sz w:val="20"/>
                <w:szCs w:val="20"/>
                <w:color w:val="auto"/>
              </w:rPr>
            </w:pPr>
            <w:r>
              <w:rPr>
                <w:rFonts w:ascii="Times New Roman" w:cs="Times New Roman" w:eastAsia="Times New Roman" w:hAnsi="Times New Roman"/>
                <w:sz w:val="22"/>
                <w:szCs w:val="22"/>
                <w:color w:val="auto"/>
              </w:rPr>
              <w:t>6/1/2025</w:t>
            </w:r>
          </w:p>
        </w:tc>
        <w:tc>
          <w:tcPr>
            <w:tcW w:w="300" w:type="dxa"/>
            <w:vAlign w:val="bottom"/>
          </w:tcPr>
          <w:p>
            <w:pPr>
              <w:ind w:left="100"/>
              <w:spacing w:after="0" w:line="226"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spacing w:after="0" w:line="226" w:lineRule="exact"/>
              <w:rPr>
                <w:sz w:val="20"/>
                <w:szCs w:val="20"/>
                <w:color w:val="auto"/>
              </w:rPr>
            </w:pPr>
            <w:r>
              <w:rPr>
                <w:rFonts w:ascii="Times New Roman" w:cs="Times New Roman" w:eastAsia="Times New Roman" w:hAnsi="Times New Roman"/>
                <w:sz w:val="22"/>
                <w:szCs w:val="22"/>
                <w:color w:val="auto"/>
              </w:rPr>
              <w:t>11/30/2025</w:t>
            </w:r>
          </w:p>
        </w:tc>
        <w:tc>
          <w:tcPr>
            <w:tcW w:w="780" w:type="dxa"/>
            <w:vAlign w:val="bottom"/>
          </w:tcPr>
          <w:p>
            <w:pPr>
              <w:ind w:left="80"/>
              <w:spacing w:after="0" w:line="226" w:lineRule="exact"/>
              <w:rPr>
                <w:sz w:val="20"/>
                <w:szCs w:val="20"/>
                <w:color w:val="auto"/>
              </w:rPr>
            </w:pPr>
            <w:r>
              <w:rPr>
                <w:rFonts w:ascii="Times New Roman" w:cs="Times New Roman" w:eastAsia="Times New Roman" w:hAnsi="Times New Roman"/>
                <w:sz w:val="22"/>
                <w:szCs w:val="22"/>
                <w:color w:val="auto"/>
              </w:rPr>
              <w:t>3,678</w:t>
            </w:r>
          </w:p>
        </w:tc>
        <w:tc>
          <w:tcPr>
            <w:tcW w:w="1360" w:type="dxa"/>
            <w:vAlign w:val="bottom"/>
          </w:tcPr>
          <w:p>
            <w:pPr>
              <w:jc w:val="right"/>
              <w:ind w:right="272"/>
              <w:spacing w:after="0" w:line="226" w:lineRule="exact"/>
              <w:rPr>
                <w:sz w:val="20"/>
                <w:szCs w:val="20"/>
                <w:color w:val="auto"/>
              </w:rPr>
            </w:pPr>
            <w:r>
              <w:rPr>
                <w:rFonts w:ascii="Times New Roman" w:cs="Times New Roman" w:eastAsia="Times New Roman" w:hAnsi="Times New Roman"/>
                <w:sz w:val="22"/>
                <w:szCs w:val="22"/>
                <w:color w:val="auto"/>
              </w:rPr>
              <w:t>$12.50</w:t>
            </w:r>
          </w:p>
        </w:tc>
        <w:tc>
          <w:tcPr>
            <w:tcW w:w="2820" w:type="dxa"/>
            <w:vAlign w:val="bottom"/>
          </w:tcPr>
          <w:p>
            <w:pPr>
              <w:jc w:val="right"/>
              <w:ind w:right="1092"/>
              <w:spacing w:after="0" w:line="226" w:lineRule="exact"/>
              <w:rPr>
                <w:sz w:val="20"/>
                <w:szCs w:val="20"/>
                <w:color w:val="auto"/>
              </w:rPr>
            </w:pPr>
            <w:r>
              <w:rPr>
                <w:rFonts w:ascii="Times New Roman" w:cs="Times New Roman" w:eastAsia="Times New Roman" w:hAnsi="Times New Roman"/>
                <w:sz w:val="22"/>
                <w:szCs w:val="22"/>
                <w:color w:val="auto"/>
              </w:rPr>
              <w:t>$3,831.25</w:t>
            </w:r>
          </w:p>
        </w:tc>
      </w:tr>
      <w:tr>
        <w:trPr>
          <w:trHeight w:val="243"/>
        </w:trPr>
        <w:tc>
          <w:tcPr>
            <w:tcW w:w="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12/1/2025</w:t>
            </w:r>
          </w:p>
        </w:tc>
        <w:tc>
          <w:tcPr>
            <w:tcW w:w="3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11/30/2026</w:t>
            </w:r>
          </w:p>
        </w:tc>
        <w:tc>
          <w:tcPr>
            <w:tcW w:w="7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3,678</w:t>
            </w:r>
          </w:p>
        </w:tc>
        <w:tc>
          <w:tcPr>
            <w:tcW w:w="136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$13.00</w:t>
            </w:r>
          </w:p>
        </w:tc>
        <w:tc>
          <w:tcPr>
            <w:tcW w:w="2820" w:type="dxa"/>
            <w:vAlign w:val="bottom"/>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$3,984.50</w:t>
            </w:r>
          </w:p>
        </w:tc>
      </w:tr>
      <w:tr>
        <w:trPr>
          <w:trHeight w:val="254"/>
        </w:trPr>
        <w:tc>
          <w:tcPr>
            <w:tcW w:w="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12/1/2026</w:t>
            </w:r>
          </w:p>
        </w:tc>
        <w:tc>
          <w:tcPr>
            <w:tcW w:w="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11/30/2027</w:t>
            </w:r>
          </w:p>
        </w:tc>
        <w:tc>
          <w:tcPr>
            <w:tcW w:w="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3,678</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$13.52</w:t>
            </w:r>
          </w:p>
        </w:tc>
        <w:tc>
          <w:tcPr>
            <w:tcW w:w="282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$4,143.88</w:t>
            </w:r>
          </w:p>
        </w:tc>
      </w:tr>
      <w:tr>
        <w:trPr>
          <w:trHeight w:val="283"/>
        </w:trPr>
        <w:tc>
          <w:tcPr>
            <w:tcW w:w="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12/1/2027</w:t>
            </w:r>
          </w:p>
        </w:tc>
        <w:tc>
          <w:tcPr>
            <w:tcW w:w="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8/31/2028</w:t>
            </w:r>
          </w:p>
        </w:tc>
        <w:tc>
          <w:tcPr>
            <w:tcW w:w="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3,678</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$14.06</w:t>
            </w:r>
          </w:p>
        </w:tc>
        <w:tc>
          <w:tcPr>
            <w:tcW w:w="282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$4,309.39</w:t>
            </w:r>
          </w:p>
        </w:tc>
      </w:tr>
    </w:tbl>
    <w:p>
      <w:pPr>
        <w:spacing w:after="0" w:line="215" w:lineRule="exact"/>
        <w:rPr>
          <w:sz w:val="20"/>
          <w:szCs w:val="20"/>
          <w:color w:val="auto"/>
        </w:rPr>
      </w:pPr>
    </w:p>
    <w:p>
      <w:pPr>
        <w:jc w:val="both"/>
        <w:ind w:left="240" w:right="179"/>
        <w:spacing w:after="0" w:line="237" w:lineRule="auto"/>
        <w:tabs>
          <w:tab w:leader="none" w:pos="88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 of Premises</w:t>
      </w:r>
      <w:r>
        <w:rPr>
          <w:rFonts w:ascii="Times New Roman" w:cs="Times New Roman" w:eastAsia="Times New Roman" w:hAnsi="Times New Roman"/>
          <w:sz w:val="22"/>
          <w:szCs w:val="22"/>
          <w:color w:val="auto"/>
        </w:rPr>
        <w:t xml:space="preserve">. Tenant shall accept the Current Premises in its as-is condition as of the date of this Amendment and as of the date of the commencement of the Expansion Premises Term, and Landlord shall have no obligation to make or pay for any alterations, additions, improvements or renovations in or to the Current Premises to prepare the same for Tenant’s occupancy during the Expansion Premises Term. Tenant shall accept the Expansion Premises in its as-is condition as of the Expansion Date, and Landlord shall have no obligation to make or pay for any alterations, additions, improvements or renovations in or to the Expansion Premises to prepare the same for Tenant’s occupancy, except that Landlord shall construct a demising wall in the location depicted on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and cause the construction of an opening between the Current Premises and Expansion Premises in a location to be mutually agreed upon by Landlord and Tenant. The improvements will be made by Landlord at Landlord’s sole cost and expense using materials as Landlord determines appropriate in its business judgment within a reasonable period of time after the mutual execution of this Amendment.</w:t>
      </w:r>
    </w:p>
    <w:p>
      <w:pPr>
        <w:spacing w:after="0" w:line="221" w:lineRule="exact"/>
        <w:rPr>
          <w:rFonts w:ascii="Times New Roman" w:cs="Times New Roman" w:eastAsia="Times New Roman" w:hAnsi="Times New Roman"/>
          <w:sz w:val="22"/>
          <w:szCs w:val="22"/>
          <w:color w:val="auto"/>
        </w:rPr>
      </w:pPr>
    </w:p>
    <w:p>
      <w:pPr>
        <w:jc w:val="both"/>
        <w:ind w:left="240" w:right="179"/>
        <w:spacing w:after="0" w:line="250" w:lineRule="auto"/>
        <w:tabs>
          <w:tab w:leader="none" w:pos="88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Tenant’s Proportionate Share</w:t>
      </w:r>
      <w:r>
        <w:rPr>
          <w:rFonts w:ascii="Times New Roman" w:cs="Times New Roman" w:eastAsia="Times New Roman" w:hAnsi="Times New Roman"/>
          <w:sz w:val="22"/>
          <w:szCs w:val="22"/>
          <w:color w:val="auto"/>
        </w:rPr>
        <w:t>. During such period that the definition of Premises includes both the Current Premises and Expansion Premises, Tenant’s Proportionate Share set forth in the Lease shall be adjusted to 48.25% (35,183/72,919).</w:t>
      </w:r>
    </w:p>
    <w:p>
      <w:pPr>
        <w:spacing w:after="0" w:line="208" w:lineRule="exact"/>
        <w:rPr>
          <w:rFonts w:ascii="Times New Roman" w:cs="Times New Roman" w:eastAsia="Times New Roman" w:hAnsi="Times New Roman"/>
          <w:sz w:val="22"/>
          <w:szCs w:val="22"/>
          <w:color w:val="auto"/>
        </w:rPr>
      </w:pPr>
    </w:p>
    <w:p>
      <w:pPr>
        <w:jc w:val="both"/>
        <w:ind w:left="240" w:right="179"/>
        <w:spacing w:after="0" w:line="244" w:lineRule="auto"/>
        <w:tabs>
          <w:tab w:leader="none" w:pos="88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Prior to Tenant taking possession of the Expansion Premises, Tenant shall provide to Landlord evidence reasonably satisfactory to Landlord that Tenant’s insurance, as required in the Lease, shall be in effect and include the Expansion Premises as of the time of possession.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345440</wp:posOffset>
            </wp:positionV>
            <wp:extent cx="558927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58927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5" w:name="page36"/>
    <w:bookmarkEnd w:id="35"/>
    <w:p>
      <w:pPr>
        <w:jc w:val="both"/>
        <w:ind w:left="240" w:right="179" w:firstLine="9"/>
        <w:spacing w:after="0" w:line="239" w:lineRule="auto"/>
        <w:tabs>
          <w:tab w:leader="none" w:pos="82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 Estate Brokers</w:t>
      </w:r>
      <w:r>
        <w:rPr>
          <w:rFonts w:ascii="Times New Roman" w:cs="Times New Roman" w:eastAsia="Times New Roman" w:hAnsi="Times New Roman"/>
          <w:sz w:val="22"/>
          <w:szCs w:val="22"/>
          <w:color w:val="auto"/>
        </w:rPr>
        <w:t>. Notwithstanding anything to the contrary contained in the Lease, Landlord and Tenant each represents and warrants to the other party that it has not authorized or employed, or acted by implication to authorize or employ, any real estate broker or salesperson to act for it in connection with this Amendment, except for CBRE, on behalf of Landlord, and Tim Olsen of Carlson Partners, on behalf of Tenant, each of whom shall be paid a commission by Landlord pursuant to a separate written agreement. Landlord and Tenant each indemnify, defend, and hold the other party harmless from and against any and all claims by any other real estate broker or salesperson whom the indemnifying party authorized or employed, or acted by implication to authorize or employ, to act for the indemnifying party in connection with this Amendment.</w:t>
      </w:r>
    </w:p>
    <w:p>
      <w:pPr>
        <w:spacing w:after="0" w:line="208" w:lineRule="exact"/>
        <w:rPr>
          <w:rFonts w:ascii="Times New Roman" w:cs="Times New Roman" w:eastAsia="Times New Roman" w:hAnsi="Times New Roman"/>
          <w:sz w:val="22"/>
          <w:szCs w:val="22"/>
          <w:color w:val="auto"/>
        </w:rPr>
      </w:pPr>
    </w:p>
    <w:p>
      <w:pPr>
        <w:jc w:val="both"/>
        <w:ind w:left="240" w:right="179" w:firstLine="9"/>
        <w:spacing w:after="0" w:line="253" w:lineRule="auto"/>
        <w:tabs>
          <w:tab w:leader="none" w:pos="823"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Rights</w:t>
      </w:r>
      <w:r>
        <w:rPr>
          <w:rFonts w:ascii="Times New Roman" w:cs="Times New Roman" w:eastAsia="Times New Roman" w:hAnsi="Times New Roman"/>
          <w:sz w:val="21"/>
          <w:szCs w:val="21"/>
          <w:color w:val="auto"/>
        </w:rPr>
        <w:t>. All option rights, if any, contained in the Lease, including, without limitation, options to extend or renew the term of the Lease or to expand the Premises, are hereby deleted and are of no force and effect, except for the one (1) three-year Option set forth in Section</w:t>
      </w:r>
    </w:p>
    <w:p>
      <w:pPr>
        <w:spacing w:after="0" w:line="2" w:lineRule="exact"/>
        <w:rPr>
          <w:rFonts w:ascii="Times New Roman" w:cs="Times New Roman" w:eastAsia="Times New Roman" w:hAnsi="Times New Roman"/>
          <w:sz w:val="21"/>
          <w:szCs w:val="21"/>
          <w:color w:val="auto"/>
        </w:rPr>
      </w:pPr>
    </w:p>
    <w:p>
      <w:pPr>
        <w:ind w:left="240" w:right="179" w:firstLine="9"/>
        <w:spacing w:after="0" w:line="248" w:lineRule="auto"/>
        <w:tabs>
          <w:tab w:leader="none" w:pos="58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Fifth Amendment. For clarity, the Option contained in Section 10 of the Fifth Amendment extends to and includes the Expansion Premises.</w:t>
      </w:r>
    </w:p>
    <w:p>
      <w:pPr>
        <w:spacing w:after="0" w:line="195" w:lineRule="exact"/>
        <w:rPr>
          <w:rFonts w:ascii="Times New Roman" w:cs="Times New Roman" w:eastAsia="Times New Roman" w:hAnsi="Times New Roman"/>
          <w:sz w:val="22"/>
          <w:szCs w:val="22"/>
          <w:color w:val="auto"/>
        </w:rPr>
      </w:pPr>
    </w:p>
    <w:p>
      <w:pPr>
        <w:jc w:val="both"/>
        <w:ind w:left="240" w:right="179" w:firstLine="9"/>
        <w:spacing w:after="0" w:line="250" w:lineRule="auto"/>
        <w:tabs>
          <w:tab w:leader="none" w:pos="82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Landlord and Tenant each agree to execute any and all documents and agreements reasonably requested by the other party to further evidence or effectuate this Amendment.</w:t>
      </w:r>
    </w:p>
    <w:p>
      <w:pPr>
        <w:spacing w:after="0" w:line="208" w:lineRule="exact"/>
        <w:rPr>
          <w:rFonts w:ascii="Times New Roman" w:cs="Times New Roman" w:eastAsia="Times New Roman" w:hAnsi="Times New Roman"/>
          <w:sz w:val="22"/>
          <w:szCs w:val="22"/>
          <w:color w:val="auto"/>
        </w:rPr>
      </w:pPr>
    </w:p>
    <w:p>
      <w:pPr>
        <w:ind w:left="240" w:right="179" w:firstLine="9"/>
        <w:spacing w:after="0" w:line="271" w:lineRule="auto"/>
        <w:tabs>
          <w:tab w:leader="none" w:pos="82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is binding upon and inures to the benefit of the parties and their successors and assigns.</w:t>
      </w:r>
    </w:p>
    <w:p>
      <w:pPr>
        <w:spacing w:after="0" w:line="171" w:lineRule="exact"/>
        <w:rPr>
          <w:rFonts w:ascii="Times New Roman" w:cs="Times New Roman" w:eastAsia="Times New Roman" w:hAnsi="Times New Roman"/>
          <w:sz w:val="22"/>
          <w:szCs w:val="22"/>
          <w:color w:val="auto"/>
        </w:rPr>
      </w:pPr>
    </w:p>
    <w:p>
      <w:pPr>
        <w:jc w:val="both"/>
        <w:ind w:left="240" w:right="179" w:firstLine="9"/>
        <w:spacing w:after="0" w:line="250" w:lineRule="auto"/>
        <w:tabs>
          <w:tab w:leader="none" w:pos="82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Except as modified herein, all other terms and conditions of the Lease remain in full force and effect, and nothing herein may be construed to relieve either Landlord or Tenant of any obligations as set forth therein.</w:t>
      </w:r>
    </w:p>
    <w:p>
      <w:pPr>
        <w:spacing w:after="0" w:line="208" w:lineRule="exact"/>
        <w:rPr>
          <w:rFonts w:ascii="Times New Roman" w:cs="Times New Roman" w:eastAsia="Times New Roman" w:hAnsi="Times New Roman"/>
          <w:sz w:val="22"/>
          <w:szCs w:val="22"/>
          <w:color w:val="auto"/>
        </w:rPr>
      </w:pPr>
    </w:p>
    <w:p>
      <w:pPr>
        <w:ind w:left="240" w:right="179" w:firstLine="9"/>
        <w:spacing w:after="0" w:line="258" w:lineRule="auto"/>
        <w:tabs>
          <w:tab w:leader="none" w:pos="82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Conflicts</w:t>
      </w:r>
      <w:r>
        <w:rPr>
          <w:rFonts w:ascii="Times New Roman" w:cs="Times New Roman" w:eastAsia="Times New Roman" w:hAnsi="Times New Roman"/>
          <w:sz w:val="22"/>
          <w:szCs w:val="22"/>
          <w:color w:val="auto"/>
        </w:rPr>
        <w:t>. In case of any conflict between any term or provision of this Amendment and the Lease, the term or provision of this Amendment will govern.</w:t>
      </w:r>
    </w:p>
    <w:p>
      <w:pPr>
        <w:spacing w:after="0" w:line="198" w:lineRule="exact"/>
        <w:rPr>
          <w:rFonts w:ascii="Times New Roman" w:cs="Times New Roman" w:eastAsia="Times New Roman" w:hAnsi="Times New Roman"/>
          <w:sz w:val="22"/>
          <w:szCs w:val="22"/>
          <w:color w:val="auto"/>
        </w:rPr>
      </w:pPr>
    </w:p>
    <w:p>
      <w:pPr>
        <w:ind w:left="240" w:right="179" w:firstLine="9"/>
        <w:spacing w:after="0" w:line="271" w:lineRule="auto"/>
        <w:tabs>
          <w:tab w:leader="none" w:pos="82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is deemed an original, but all of which when taken together will constitute one agreement.</w:t>
      </w:r>
    </w:p>
    <w:p>
      <w:pPr>
        <w:spacing w:after="0" w:line="171" w:lineRule="exact"/>
        <w:rPr>
          <w:rFonts w:ascii="Times New Roman" w:cs="Times New Roman" w:eastAsia="Times New Roman" w:hAnsi="Times New Roman"/>
          <w:sz w:val="22"/>
          <w:szCs w:val="22"/>
          <w:color w:val="auto"/>
        </w:rPr>
      </w:pPr>
    </w:p>
    <w:p>
      <w:pPr>
        <w:jc w:val="both"/>
        <w:ind w:left="240" w:right="179" w:firstLine="9"/>
        <w:spacing w:after="0" w:line="250" w:lineRule="auto"/>
        <w:tabs>
          <w:tab w:leader="none" w:pos="823"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Signatures and Delivery</w:t>
      </w:r>
      <w:r>
        <w:rPr>
          <w:rFonts w:ascii="Times New Roman" w:cs="Times New Roman" w:eastAsia="Times New Roman" w:hAnsi="Times New Roman"/>
          <w:sz w:val="21"/>
          <w:szCs w:val="21"/>
          <w:color w:val="auto"/>
        </w:rPr>
        <w:t>. This Amendment or any other document contemplated herein, other than those to be recorded in the public records, may be electronically signed through DocuSign or a similar third-party electronic signature provider, which electronic signature technology identifies and authenticates the signer and the signer’s intent to sign. Alternatively, a copy of the signature page to this Amendment or any other document contemplated herein bearing a handwritten signature may be delivered by facsimile transmission or by email in Portable Document Format and the parties agree that such delivery will have the same binding effect as delivery of the physical document bearing the handwritten signature. Landlord and Tenant intend to be bound by said forms of signatures and methods of delivery, are aware that the other party will rely on said form of signatures and methods of delivery, and hereby waive any defenses to the enforcement of the terms of this Amendment or any related document based on said form of signature and method of delivery. In the event any hand-signed documents are delivered by facsimile or email, the hand-signed originals must also be promptly exchanged by the parties, but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353695</wp:posOffset>
            </wp:positionV>
            <wp:extent cx="550354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6" w:name="page37"/>
    <w:bookmarkEnd w:id="36"/>
    <w:p>
      <w:pPr>
        <w:ind w:left="240" w:right="179"/>
        <w:spacing w:after="0" w:line="258" w:lineRule="auto"/>
        <w:rPr>
          <w:sz w:val="20"/>
          <w:szCs w:val="20"/>
          <w:color w:val="auto"/>
        </w:rPr>
      </w:pPr>
      <w:r>
        <w:rPr>
          <w:rFonts w:ascii="Times New Roman" w:cs="Times New Roman" w:eastAsia="Times New Roman" w:hAnsi="Times New Roman"/>
          <w:sz w:val="22"/>
          <w:szCs w:val="22"/>
          <w:color w:val="auto"/>
        </w:rPr>
        <w:t>the failure to subsequently deliver those originals will not affect the enforceability of the document delivered by facsimile or email.</w:t>
      </w:r>
    </w:p>
    <w:p>
      <w:pPr>
        <w:spacing w:after="0" w:line="199" w:lineRule="exact"/>
        <w:rPr>
          <w:sz w:val="20"/>
          <w:szCs w:val="20"/>
          <w:color w:val="auto"/>
        </w:rPr>
      </w:pPr>
    </w:p>
    <w:p>
      <w:pPr>
        <w:jc w:val="both"/>
        <w:ind w:left="240" w:right="179"/>
        <w:spacing w:after="0" w:line="252" w:lineRule="auto"/>
        <w:tabs>
          <w:tab w:leader="none" w:pos="88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This Amendment shall be construed under the laws of the State in which the Premises is located. Whenever possible, each provision of this Amendment shall be interpreted in a manner that would render it effective and valid under applicable law. If any provision of this Amendment is determined to be invalid or unenforceable, that provision will be ineffective only to the extent of the prohibition or invalidity without invalidating or otherwise affecting the remaining provisions of this Amendment. All captions, headings, titles, and numerical references are for convenience only and shall have no effect on the interpretation of this Amendment.</w:t>
      </w:r>
    </w:p>
    <w:p>
      <w:pPr>
        <w:spacing w:after="0" w:line="209" w:lineRule="exact"/>
        <w:rPr>
          <w:rFonts w:ascii="Times New Roman" w:cs="Times New Roman" w:eastAsia="Times New Roman" w:hAnsi="Times New Roman"/>
          <w:sz w:val="21"/>
          <w:szCs w:val="21"/>
          <w:color w:val="auto"/>
        </w:rPr>
      </w:pPr>
    </w:p>
    <w:p>
      <w:pPr>
        <w:jc w:val="both"/>
        <w:ind w:left="240" w:right="179"/>
        <w:spacing w:after="0" w:line="250" w:lineRule="auto"/>
        <w:tabs>
          <w:tab w:leader="none" w:pos="88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Authority</w:t>
      </w:r>
      <w:r>
        <w:rPr>
          <w:rFonts w:ascii="Times New Roman" w:cs="Times New Roman" w:eastAsia="Times New Roman" w:hAnsi="Times New Roman"/>
          <w:sz w:val="22"/>
          <w:szCs w:val="22"/>
          <w:color w:val="auto"/>
        </w:rPr>
        <w:t>. Landlord and Tenant represent and warrant to the other that each has the power and authority to enter into this Amendment and that the person duly executing this Amendment on behalf of each party has the requisite power and authority to do so.</w:t>
      </w:r>
    </w:p>
    <w:p>
      <w:pPr>
        <w:spacing w:after="0" w:line="208" w:lineRule="exact"/>
        <w:rPr>
          <w:rFonts w:ascii="Times New Roman" w:cs="Times New Roman" w:eastAsia="Times New Roman" w:hAnsi="Times New Roman"/>
          <w:sz w:val="22"/>
          <w:szCs w:val="22"/>
          <w:color w:val="auto"/>
        </w:rPr>
      </w:pPr>
    </w:p>
    <w:p>
      <w:pPr>
        <w:jc w:val="both"/>
        <w:ind w:left="240" w:right="179"/>
        <w:spacing w:after="0" w:line="238" w:lineRule="auto"/>
        <w:tabs>
          <w:tab w:leader="none" w:pos="88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Lease, this Amendment, and any exhibits attached hereto, constitute the entire understanding of the parties with respect to this transaction, and supersede all prior agreements and understandings between the parties with respect to the subject matter. No representations, warranties, undertakings or promises, whether oral, implied, written, or otherwise, have been made by any party to any other party unless expressly stated in the above-referenced documents, or unless mutually agreed to in writing between the parties after the date hereof, and neither party has relied upon any verbal representations, agreements, or understandings not expressly set forth herein.</w:t>
      </w:r>
    </w:p>
    <w:p>
      <w:pPr>
        <w:spacing w:after="0" w:line="220" w:lineRule="exact"/>
        <w:rPr>
          <w:rFonts w:ascii="Times New Roman" w:cs="Times New Roman" w:eastAsia="Times New Roman" w:hAnsi="Times New Roman"/>
          <w:sz w:val="22"/>
          <w:szCs w:val="22"/>
          <w:color w:val="auto"/>
        </w:rPr>
      </w:pPr>
    </w:p>
    <w:p>
      <w:pPr>
        <w:jc w:val="both"/>
        <w:ind w:left="240" w:right="179"/>
        <w:spacing w:after="0" w:line="236" w:lineRule="auto"/>
        <w:tabs>
          <w:tab w:leader="none" w:pos="88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The parties agree that the submission of a draft or copy of this Amendment for review or signature by a party is not intended, nor will it constitute or be deemed, by either party to be an offer to enter into a legally binding agreement with respect to the subject matter hereof and may not be relied on for any legal or equitable rights or obligations. Any draft or document submitted by Landlord or its agents to Tenant will not constitute a reservation of or option or offer in favor of Tenant. The parties will be legally bound with respect to the subject matter hereof pursuant to the terms of this Amendment only if, as and when all the parties have executed and delivered this Amendment to each other. Before the complete execution and delivery of this Amendment by all parties, each party will be free to negotiate the form and terms of this Amendment in a manner acceptable to that party in its sole and absolute discretion. The parties acknowledge and agree that the execution and delivery by one party before the execution and delivery of this Amendment by the other party will be of no force and effect and will in no way prejudice the party that executed this Amendment or the party that has not executed this Amendment.</w:t>
      </w:r>
    </w:p>
    <w:p>
      <w:pPr>
        <w:spacing w:after="0" w:line="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345440</wp:posOffset>
            </wp:positionV>
            <wp:extent cx="550354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7" w:name="page38"/>
    <w:bookmarkEnd w:id="37"/>
    <w:p>
      <w:pPr>
        <w:ind w:left="140" w:right="839" w:firstLine="324"/>
        <w:spacing w:after="0" w:line="258" w:lineRule="auto"/>
        <w:rPr>
          <w:sz w:val="20"/>
          <w:szCs w:val="20"/>
          <w:color w:val="auto"/>
        </w:rPr>
      </w:pPr>
      <w:r>
        <w:rPr>
          <w:rFonts w:ascii="Times New Roman" w:cs="Times New Roman" w:eastAsia="Times New Roman" w:hAnsi="Times New Roman"/>
          <w:sz w:val="22"/>
          <w:szCs w:val="22"/>
          <w:color w:val="auto"/>
        </w:rPr>
        <w:t>IN AGREEMENT, the parties have executed this Amendment as of the day and year first written above.</w:t>
      </w:r>
    </w:p>
    <w:p>
      <w:pPr>
        <w:spacing w:after="0" w:line="200" w:lineRule="exact"/>
        <w:rPr>
          <w:sz w:val="20"/>
          <w:szCs w:val="20"/>
          <w:color w:val="auto"/>
        </w:rPr>
      </w:pPr>
    </w:p>
    <w:p>
      <w:pPr>
        <w:spacing w:after="0" w:line="2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LANDLORD:</w:t>
      </w: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TCI TT, LLC,</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56"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Michael Moriarty</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392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Michael Moriarty</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vMerge w:val="continue"/>
          </w:tcPr>
          <w:p>
            <w:pPr>
              <w:spacing w:after="0"/>
              <w:rPr>
                <w:sz w:val="20"/>
                <w:szCs w:val="20"/>
                <w:color w:val="auto"/>
              </w:rPr>
            </w:pPr>
          </w:p>
        </w:tc>
        <w:tc>
          <w:tcPr>
            <w:tcW w:w="392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TENANT:</w:t>
      </w:r>
    </w:p>
    <w:p>
      <w:pPr>
        <w:spacing w:after="0" w:line="2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CVRx, Inc.,</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69"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Jared Oasheim</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392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Jared Oasheim</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vMerge w:val="continue"/>
          </w:tcPr>
          <w:p>
            <w:pPr>
              <w:spacing w:after="0"/>
              <w:rPr>
                <w:sz w:val="20"/>
                <w:szCs w:val="20"/>
                <w:color w:val="auto"/>
              </w:rPr>
            </w:pPr>
          </w:p>
        </w:tc>
        <w:tc>
          <w:tcPr>
            <w:tcW w:w="392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Chief Financial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4200525</wp:posOffset>
            </wp:positionV>
            <wp:extent cx="550354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Depiction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7397750</wp:posOffset>
            </wp:positionV>
            <wp:extent cx="55035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503545" cy="1714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187960</wp:posOffset>
            </wp:positionV>
            <wp:extent cx="5280660" cy="3060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280660" cy="306006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Hykes, certify that:</w:t>
      </w:r>
    </w:p>
    <w:p>
      <w:pPr>
        <w:spacing w:after="0" w:line="117" w:lineRule="exact"/>
        <w:rPr>
          <w:sz w:val="20"/>
          <w:szCs w:val="20"/>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Kevin Hykes</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w w:val="99"/>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Hykes</w:t>
            </w:r>
          </w:p>
        </w:tc>
        <w:tc>
          <w:tcPr>
            <w:tcW w:w="0" w:type="dxa"/>
            <w:vAlign w:val="bottom"/>
          </w:tcPr>
          <w:p>
            <w:pPr>
              <w:spacing w:after="0"/>
              <w:rPr>
                <w:sz w:val="1"/>
                <w:szCs w:val="1"/>
                <w:color w:val="auto"/>
              </w:rPr>
            </w:pPr>
          </w:p>
        </w:tc>
      </w:t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79"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-119380</wp:posOffset>
            </wp:positionV>
            <wp:extent cx="26657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1"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CVRx, Inc. (the “Company”) on Form 10-Q for the period ended June 30, 2025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Kevin Hykes</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Hykes</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1" w:right="9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CVRx, Inc. (the “Company”) on Form 10-Q for the period ended June 30, 2025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Jared Oasheim</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upperLetter"/>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4"/>
    </w:lvl>
  </w:abstractNum>
  <w:abstractNum w:abstractNumId="11">
    <w:nsid w:val="6B68079A"/>
    <w:multiLevelType w:val="hybridMultilevel"/>
    <w:lvl w:ilvl="0">
      <w:lvlJc w:val="left"/>
      <w:lvlText w:val="%1."/>
      <w:numFmt w:val="decimal"/>
      <w:start w:val="6"/>
    </w:lvl>
  </w:abstractNum>
  <w:abstractNum w:abstractNumId="12">
    <w:nsid w:val="4E6AFB66"/>
    <w:multiLevelType w:val="hybridMultilevel"/>
    <w:lvl w:ilvl="0">
      <w:lvlJc w:val="left"/>
      <w:lvlText w:val="%1."/>
      <w:numFmt w:val="decimal"/>
      <w:start w:val="9"/>
    </w:lvl>
  </w:abstractNum>
  <w:abstractNum w:abstractNumId="13">
    <w:nsid w:val="25E45D32"/>
    <w:multiLevelType w:val="hybridMultilevel"/>
    <w:lvl w:ilvl="0">
      <w:lvlJc w:val="left"/>
      <w:lvlText w:val="%1"/>
      <w:numFmt w:val="decimal"/>
      <w:start w:val="10"/>
    </w:lvl>
  </w:abstractNum>
  <w:abstractNum w:abstractNumId="14">
    <w:nsid w:val="519B500D"/>
    <w:multiLevelType w:val="hybridMultilevel"/>
    <w:lvl w:ilvl="0">
      <w:lvlJc w:val="left"/>
      <w:lvlText w:val="%1."/>
      <w:numFmt w:val="decimal"/>
      <w:start w:val="11"/>
    </w:lvl>
  </w:abstractNum>
  <w:abstractNum w:abstractNumId="15">
    <w:nsid w:val="431BD7B7"/>
    <w:multiLevelType w:val="hybridMultilevel"/>
    <w:lvl w:ilvl="0">
      <w:lvlJc w:val="left"/>
      <w:lvlText w:val="%1."/>
      <w:numFmt w:val="decimal"/>
      <w:start w:val="17"/>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jpeg"/><Relationship Id="rId64" Type="http://schemas.openxmlformats.org/officeDocument/2006/relationships/image" Target="media/image55.png"/><Relationship Id="rId65" Type="http://schemas.openxmlformats.org/officeDocument/2006/relationships/image" Target="media/image56.png"/><Relationship Id="rId50" Type="http://schemas.openxmlformats.org/officeDocument/2006/relationships/hyperlink" Target="https://www.sec.gov/Archives/edgar/data/1235912/000110465924069657/tm2416672d1_ex3-1.htm" TargetMode="External"/><Relationship Id="rId51" Type="http://schemas.openxmlformats.org/officeDocument/2006/relationships/hyperlink" Target="https://www.sec.gov/Archives/edgar/data/1235912/000110465921089779/tm212150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2025-08-05T07:37:05Z</dcterms:created>
  <dcterms:modified xsi:type="dcterms:W3CDTF">2025-08-05T07:37:05Z</dcterms:modified>
</cp:coreProperties>
</file>