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CVRx,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Jorey Chernett</w:t>
              <w:br/>
              <w:t>6222 Indianwood Tr., SUITE 650</w:t>
              <w:br/>
              <w:t>Bloomfield Hills, MI, 48301</w:t>
              <w:br/>
              <w:t>(248) 469-8811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Chernett Jorey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1,461,750.00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1,461,750.00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1,461,750.00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CVRx,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9201 WEST BROADWAY AVENUE, SUITE 650, MINNEAPOLIS, MINNESOTA , 55445.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 (this "Schedule 13D") is filed by the Reporting Person (as defined below) with respect to the Common Stock, $0.01 par value (the "Shares"), of CVRx, Inc., a Delaware corporation (the "Issuer"). The Reporting Person previously reported beneficial ownership of shares of the Issuer described herein on Schedule 13G, initially filed on August 14, 2026 (as amended, the "Schedule 13G"). This Schedule 13D represents the initial statement on Schedule 13D filed by the Reporting Person with the Securities and Exchange Commission (the "SEC") with respect to shares of the Issuer and amends and supersedes the Schedule 13G.</w:t>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This statement is filed by Jorey Chernett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The principal business address of the Reporting Person is 6222 Indianwood Trail, Bloomfield Hills, MI 48301.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The Reporting Person is a private investor.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The Reporting Person has not,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The Reporting Person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0"/>
              <w:jc w:val="left"/>
              <w:rPr/>
            </w:pPr>
            <w:r>
              <w:rPr/>
              <w:t>The Reporting Person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The 1,461,750 Shares held by Mr. Chernett were acquired through private transactions using personal funds in the amount of $7,995,772.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The Reporting Person purchased the Shares based on the Reporting Person's belief that the Shares, when purchased, were undervalued and represented an attractive investment opportunity. Depending upon overall market conditions, other investment opportunities available to the Reporting Person, and the availability of Shares at prices that would make the purchase or sale of Shares desirable, the Reporting Person may endeavor to further increase or decrease his position in the Issuer through, among other things, the purchase or sale of Shares on the open market or in private transactions or otherwise, on such terms and at such times as the Reporting Person may deem advisable. The Reporting Person does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 intends to review his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 may in the future take such actions with respect to his investment in the Issuer as he deems appropriate including, without limitation, engaging in additional communications with management and the Issuer's Board of Directors,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his Shares, engaging in short selling of or any hedging or similar transaction with respect to the Shares, including swaps and other derivative instruments, or changing his intention with respect to any and all matters referred to in Item 4. On August 24, 2026, the Reporting Person delivered a letter (the "Letter") to the Board of Directors of the Issuer (the "Board") urging the Board to retain an independent financial advisor and initiate a review of strategic alternatives, with a sale of the Company as the priority outcome. A copy of the Letter is filed as Exhibit 1 to this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The aggregate percentage of Shares beneficially owned by the Reporting Person is based upon 26,641,597 of the Issuer's shares of Common Stock outstanding as of July 30, 2026, as set forth in the Issuer's Quarterly Report on Form 10-Q filed with the Securities and Exchange Commission on August 6, 2026. As of the close of business on August 14, 2026, the Reporting Person beneficially owned 1,461,750 Shares. Percentage: Approximately 5.5%</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1. Sole power to vote or direct vote: 1,461,750 2. Shared power to vote or direct vote: 0 3. Sole power to dispose or direct the disposition: 1,461,750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The transactions in the Shares by the Reporting Person during the past sixty days are set forth in more detail in Exhibit 2 attached hereto.</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No person other than the Reporting Person is known to have the right to receive, or the power to direct the receipt of dividends from, or proceeds from the sale of, the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Other than as described herein, the Reporting Person does not have any other contracts, arrangements, understandings or relationships with respect to the Issuer's securities.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Exhibit 1: Letter from Jorey Chernett to the Board of Directors of CVRx, Inc., dated August 24, 2026. Exhibit 2: Transactions in the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Chernett Jorey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Jorey Chernett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Jorey Chernett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0"/>
        </w:rPr>
      </w:pPr>
      <w:bookmarkStart w:id="14" w:name="ex1to13d14528003_082426.htm"/>
      <w:bookmarkStart w:id="15" w:name="ksex1to13d14528003_082426"/>
      <w:bookmarkEnd w:id="14"/>
      <w:bookmarkEnd w:id="15"/>
      <w:r>
        <w:rPr>
          <w:rFonts w:ascii="Times New Roman;Times;Serif" w:hAnsi="Times New Roman;Times;Serif"/>
          <w:b/>
          <w:i w:val="false"/>
          <w:caps w:val="false"/>
          <w:smallCaps w:val="false"/>
          <w:sz w:val="20"/>
        </w:rPr>
        <w:t>Exhibit 1 – Letter to Issuer</w:t>
      </w:r>
      <w:r>
        <w:br w:type="page"/>
      </w:r>
    </w:p>
    <w:p>
      <w:pPr>
        <w:pStyle w:val="TextBody"/>
        <w:bidi w:val="0"/>
        <w:jc w:val="center"/>
        <w:rPr>
          <w:caps w:val="false"/>
          <w:smallCaps w:val="false"/>
        </w:rPr>
      </w:pPr>
      <w:r>
        <w:rPr>
          <w:caps w:val="false"/>
          <w:smallCaps w:val="false"/>
        </w:rPr>
        <w:t> </w:t>
      </w:r>
    </w:p>
    <w:p>
      <w:pPr>
        <w:pStyle w:val="TextBody"/>
        <w:bidi w:val="0"/>
        <w:jc w:val="center"/>
        <w:rPr>
          <w:rFonts w:ascii="Calibri;Helvetica;Sans-Serif" w:hAnsi="Calibri;Helvetica;Sans-Serif"/>
          <w:b/>
          <w:i w:val="false"/>
          <w:caps w:val="false"/>
          <w:smallCaps w:val="false"/>
          <w:sz w:val="20"/>
        </w:rPr>
      </w:pPr>
      <w:r>
        <w:rPr>
          <w:rFonts w:ascii="Calibri;Helvetica;Sans-Serif" w:hAnsi="Calibri;Helvetica;Sans-Serif"/>
          <w:b/>
          <w:i w:val="false"/>
          <w:caps w:val="false"/>
          <w:smallCaps w:val="false"/>
          <w:sz w:val="20"/>
        </w:rPr>
        <w:t>Jorey Chernett, Owner of More than 5.5% of Outstanding Shares of CVRx, Calls on Board to Begin Immediate Process to Pursue Sale of the Company to a Strategic Acquirer</w:t>
      </w:r>
    </w:p>
    <w:p>
      <w:pPr>
        <w:pStyle w:val="TextBody"/>
        <w:bidi w:val="0"/>
        <w:jc w:val="center"/>
        <w:rPr>
          <w:caps w:val="false"/>
          <w:smallCaps w:val="false"/>
        </w:rPr>
      </w:pPr>
      <w:r>
        <w:rPr>
          <w:caps w:val="false"/>
          <w:smallCaps w:val="false"/>
        </w:rPr>
        <w:t> </w:t>
      </w:r>
    </w:p>
    <w:p>
      <w:pPr>
        <w:pStyle w:val="TextBody"/>
        <w:bidi w:val="0"/>
        <w:jc w:val="center"/>
        <w:rPr>
          <w:rFonts w:ascii="Calibri;Helvetica;Sans-Serif" w:hAnsi="Calibri;Helvetica;Sans-Serif"/>
          <w:b w:val="false"/>
          <w:i/>
          <w:caps w:val="false"/>
          <w:smallCaps w:val="false"/>
          <w:sz w:val="20"/>
        </w:rPr>
      </w:pPr>
      <w:r>
        <w:rPr>
          <w:rFonts w:ascii="Calibri;Helvetica;Sans-Serif" w:hAnsi="Calibri;Helvetica;Sans-Serif"/>
          <w:b w:val="false"/>
          <w:i/>
          <w:caps w:val="false"/>
          <w:smallCaps w:val="false"/>
          <w:sz w:val="20"/>
        </w:rPr>
        <w:t>Delivers Letter to the CVRx Board Highlighting Significant Value Proposition of Barostim to a Large Medical Device Company with Established Infrastructure to Capitalize on the Product’s Market Position</w:t>
      </w:r>
    </w:p>
    <w:p>
      <w:pPr>
        <w:pStyle w:val="TextBody"/>
        <w:bidi w:val="0"/>
        <w:jc w:val="center"/>
        <w:rPr>
          <w:caps w:val="false"/>
          <w:smallCaps w:val="false"/>
        </w:rPr>
      </w:pPr>
      <w:r>
        <w:rPr>
          <w:caps w:val="false"/>
          <w:smallCaps w:val="false"/>
        </w:rPr>
        <w:t> </w:t>
      </w:r>
    </w:p>
    <w:p>
      <w:pPr>
        <w:pStyle w:val="TextBody"/>
        <w:bidi w:val="0"/>
        <w:jc w:val="left"/>
        <w:rPr>
          <w:rFonts w:ascii="Calibri;Helvetica;Sans-Serif" w:hAnsi="Calibri;Helvetica;Sans-Serif"/>
          <w:b w:val="false"/>
          <w:i w:val="false"/>
          <w:caps w:val="false"/>
          <w:smallCaps w:val="false"/>
          <w:sz w:val="20"/>
        </w:rPr>
      </w:pPr>
      <w:r>
        <w:rPr>
          <w:rFonts w:ascii="Calibri;Helvetica;Sans-Serif" w:hAnsi="Calibri;Helvetica;Sans-Serif"/>
          <w:b w:val="false"/>
          <w:i/>
          <w:caps w:val="false"/>
          <w:smallCaps w:val="false"/>
          <w:sz w:val="20"/>
        </w:rPr>
        <w:t xml:space="preserve">BLOOMFIELD HILLS, Mich. </w:t>
      </w:r>
      <w:r>
        <w:rPr>
          <w:rFonts w:ascii="Calibri;Helvetica;Sans-Serif" w:hAnsi="Calibri;Helvetica;Sans-Serif"/>
          <w:b w:val="false"/>
          <w:i w:val="false"/>
          <w:caps w:val="false"/>
          <w:smallCaps w:val="false"/>
          <w:sz w:val="20"/>
        </w:rPr>
        <w:t>August 24, 2026 -- Jorey Chernett, Founder of Pointillist Family Office and beneficial owner of more than 5.5% of the outstanding shares of CVRx, Inc. ("CVRx" or the "Company") (</w:t>
      </w:r>
      <w:r>
        <w:rPr>
          <w:rFonts w:ascii="Calibri;Helvetica;Sans-Serif" w:hAnsi="Calibri;Helvetica;Sans-Serif"/>
          <w:b w:val="false"/>
          <w:i/>
          <w:caps w:val="false"/>
          <w:smallCaps w:val="false"/>
          <w:sz w:val="20"/>
        </w:rPr>
        <w:t>NASDAQ: CVRx</w:t>
      </w:r>
      <w:r>
        <w:rPr>
          <w:rFonts w:ascii="Calibri;Helvetica;Sans-Serif" w:hAnsi="Calibri;Helvetica;Sans-Serif"/>
          <w:b w:val="false"/>
          <w:i w:val="false"/>
          <w:caps w:val="false"/>
          <w:smallCaps w:val="false"/>
          <w:sz w:val="20"/>
        </w:rPr>
        <w:t>), today delivered a letter to the CVRx Board of Directors (the “Board”), urging it to launch an immediate and formal process to sell the Company to a strategic acquirer.</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In the letter, Mr. Chernett outlines why CVRx, through its Barostim product, would be uniquely valuable to a large medical device company. A sale of CVRx can be accretive to such an acquirer within twelve months, and would enable CVRx shareholders to realize immediate value far superior to what the Company can plausibly deliver on a standalone basis.</w:t>
      </w:r>
    </w:p>
    <w:p>
      <w:pPr>
        <w:pStyle w:val="TextBody"/>
        <w:bidi w:val="0"/>
        <w:jc w:val="left"/>
        <w:rPr>
          <w:caps w:val="false"/>
          <w:smallCaps w:val="false"/>
        </w:rPr>
      </w:pPr>
      <w:r>
        <w:rPr>
          <w:caps w:val="false"/>
          <w:smallCaps w:val="false"/>
        </w:rPr>
        <w:t> </w:t>
      </w:r>
    </w:p>
    <w:p>
      <w:pPr>
        <w:pStyle w:val="TextBody"/>
        <w:bidi w:val="0"/>
        <w:spacing w:before="0" w:after="24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As a result, Mr. Chernett calls on the Board to:</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left"/>
              <w:rPr/>
            </w:pPr>
            <w:r>
              <w:rPr/>
              <w:t>Immediately retain an independent financial advisor and initiate a comprehensive review of strategic alternatives, with a sale of the Company as the priority outcome;</w:t>
            </w:r>
          </w:p>
        </w:tc>
      </w:tr>
    </w:tbl>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left"/>
              <w:rPr/>
            </w:pPr>
            <w:r>
              <w:rPr/>
              <w:t>Aggressively cut executive compensation and G&amp;A expense, as well as suspend incremental standalone spending commitments while that review is conducted; and</w:t>
            </w:r>
          </w:p>
        </w:tc>
      </w:tr>
    </w:tbl>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left"/>
              <w:rPr/>
            </w:pPr>
            <w:r>
              <w:rPr/>
              <w:t>Publicly commit to a comprehensive process and clear timeline. A sale process launched now, while the Company retains cash, momentum in the field, and the strategic scarcity of the only approved neuromodulation therapy for heart failure, will command a far better outcome for shareholders than one forced upon the Company as a result of a depleted cash balance a year from now. The Board must move with urgency instead of waiting to be rescued; time is of the essence.</w:t>
            </w:r>
          </w:p>
        </w:tc>
      </w:tr>
    </w:tbl>
    <w:p>
      <w:pPr>
        <w:pStyle w:val="TextBody"/>
        <w:bidi w:val="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 xml:space="preserve">The full text of the letter is available </w:t>
      </w:r>
      <w:r>
        <w:rPr>
          <w:rFonts w:ascii="Calibri;Helvetica;Sans-Serif" w:hAnsi="Calibri;Helvetica;Sans-Serif"/>
          <w:b/>
          <w:i w:val="false"/>
          <w:caps w:val="false"/>
          <w:smallCaps w:val="false"/>
          <w:sz w:val="20"/>
        </w:rPr>
        <w:t>HERE</w:t>
      </w:r>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Calibri;Helvetica;Sans-Serif" w:hAnsi="Calibri;Helvetica;Sans-Serif"/>
          <w:b w:val="false"/>
          <w:i w:val="false"/>
          <w:caps w:val="false"/>
          <w:smallCaps w:val="false"/>
          <w:sz w:val="20"/>
        </w:rPr>
      </w:pPr>
      <w:r>
        <w:rPr>
          <w:rFonts w:ascii="Calibri;Helvetica;Sans-Serif" w:hAnsi="Calibri;Helvetica;Sans-Serif"/>
          <w:b/>
          <w:i w:val="false"/>
          <w:caps w:val="false"/>
          <w:smallCaps w:val="false"/>
          <w:sz w:val="20"/>
          <w:shd w:fill="FFFFFF" w:val="clear"/>
        </w:rPr>
        <w:t>Media Contact:</w:t>
      </w:r>
      <w:r>
        <w:rPr>
          <w:rFonts w:ascii="Calibri;Helvetica;Sans-Serif" w:hAnsi="Calibri;Helvetica;Sans-Serif"/>
          <w:b w:val="false"/>
          <w:i w:val="false"/>
          <w:caps w:val="false"/>
          <w:smallCaps w:val="false"/>
          <w:sz w:val="20"/>
          <w:shd w:fill="FFFFFF" w:val="clear"/>
        </w:rPr>
        <w:br/>
        <w:t>ASC Advisors</w:t>
        <w:br/>
        <w:t>Taylor Ingraham / Max Rayden</w:t>
        <w:br/>
      </w:r>
      <w:r>
        <w:rPr>
          <w:rFonts w:ascii="Calibri;Helvetica;Sans-Serif" w:hAnsi="Calibri;Helvetica;Sans-Serif"/>
          <w:b/>
          <w:i w:val="false"/>
          <w:caps w:val="false"/>
          <w:smallCaps w:val="false"/>
          <w:sz w:val="20"/>
          <w:shd w:fill="FFFFFF" w:val="clear"/>
        </w:rPr>
        <w:t>tingraham@ascadvisors.com</w:t>
      </w:r>
      <w:r>
        <w:rPr>
          <w:rFonts w:ascii="Calibri;Helvetica;Sans-Serif" w:hAnsi="Calibri;Helvetica;Sans-Serif"/>
          <w:b w:val="false"/>
          <w:i w:val="false"/>
          <w:caps w:val="false"/>
          <w:smallCaps w:val="false"/>
          <w:sz w:val="20"/>
          <w:shd w:fill="FFFFFF" w:val="clear"/>
        </w:rPr>
        <w:t> / </w:t>
      </w:r>
      <w:r>
        <w:rPr>
          <w:rFonts w:ascii="Calibri;Helvetica;Sans-Serif" w:hAnsi="Calibri;Helvetica;Sans-Serif"/>
          <w:b/>
          <w:i w:val="false"/>
          <w:caps w:val="false"/>
          <w:smallCaps w:val="false"/>
          <w:sz w:val="20"/>
          <w:shd w:fill="FFFFFF" w:val="clear"/>
        </w:rPr>
        <w:t>mrayden@ascadvisors.com</w:t>
      </w:r>
      <w:r>
        <w:rPr>
          <w:rFonts w:ascii="Calibri;Helvetica;Sans-Serif" w:hAnsi="Calibri;Helvetica;Sans-Serif"/>
          <w:b w:val="false"/>
          <w:i w:val="false"/>
          <w:caps w:val="false"/>
          <w:smallCaps w:val="false"/>
          <w:sz w:val="20"/>
          <w:shd w:fill="FFFFFF" w:val="clear"/>
        </w:rPr>
        <w:br/>
        <w:t>203 992 1230</w:t>
      </w:r>
      <w:r>
        <w:rPr>
          <w:rFonts w:ascii="Calibri;Helvetica;Sans-Serif" w:hAnsi="Calibri;Helvetica;Sans-Serif"/>
          <w:b w:val="false"/>
          <w:i w:val="false"/>
          <w:caps w:val="false"/>
          <w:smallCaps w:val="false"/>
          <w:sz w:val="2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ex2to13d14528003_082426.htm"/>
      <w:bookmarkStart w:id="17" w:name="ksex2to13d14528003_082426"/>
      <w:bookmarkEnd w:id="16"/>
      <w:bookmarkEnd w:id="17"/>
      <w:r>
        <w:rPr>
          <w:rFonts w:ascii="Times New Roman;Times;Serif" w:hAnsi="Times New Roman;Times;Serif"/>
          <w:b/>
          <w:i w:val="false"/>
          <w:caps w:val="false"/>
          <w:smallCaps w:val="false"/>
          <w:sz w:val="20"/>
        </w:rPr>
        <w:t>Exhibit 2</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During the Past 60 Days</w:t>
      </w:r>
    </w:p>
    <w:p>
      <w:pPr>
        <w:pStyle w:val="TextBody"/>
        <w:bidi w:val="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2075"/>
        <w:gridCol w:w="830"/>
        <w:gridCol w:w="125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8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w:t>
            </w:r>
            <w:r>
              <w:rPr>
                <w:rFonts w:ascii="Times New Roman;Times;Serif" w:hAnsi="Times New Roman;Times;Serif"/>
                <w:b w:val="false"/>
                <w:i w:val="false"/>
                <w:caps w:val="false"/>
                <w:smallCaps w:val="false"/>
                <w:position w:val="7"/>
                <w:sz w:val="16"/>
                <w:sz w:val="20"/>
                <w:u w:val="single"/>
              </w:rPr>
              <w:t>1</w:t>
            </w:r>
          </w:p>
        </w:tc>
        <w:tc>
          <w:tcPr>
            <w:tcW w:w="125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 Sale</w:t>
            </w:r>
          </w:p>
        </w:tc>
      </w:tr>
    </w:tbl>
    <w:p>
      <w:pPr>
        <w:pStyle w:val="TextBody"/>
        <w:bidi w:val="0"/>
        <w:jc w:val="left"/>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845"/>
        <w:gridCol w:w="560"/>
        <w:gridCol w:w="1115"/>
      </w:tblGrid>
      <w:tr>
        <w:trPr/>
        <w:tc>
          <w:tcPr>
            <w:tcW w:w="845" w:type="dxa"/>
            <w:tcBorders/>
            <w:shd w:fill="CCEEFF" w:val="clear"/>
            <w:vAlign w:val="center"/>
          </w:tcPr>
          <w:p>
            <w:pPr>
              <w:pStyle w:val="TableContents"/>
              <w:bidi w:val="0"/>
              <w:spacing w:before="0" w:after="283"/>
              <w:jc w:val="center"/>
              <w:rPr/>
            </w:pPr>
            <w:r>
              <w:rPr/>
              <w:t>(200)</w:t>
            </w:r>
          </w:p>
        </w:tc>
        <w:tc>
          <w:tcPr>
            <w:tcW w:w="560" w:type="dxa"/>
            <w:tcBorders/>
            <w:shd w:fill="CCEEFF" w:val="clear"/>
            <w:vAlign w:val="center"/>
          </w:tcPr>
          <w:p>
            <w:pPr>
              <w:pStyle w:val="TableContents"/>
              <w:bidi w:val="0"/>
              <w:spacing w:before="0" w:after="283"/>
              <w:jc w:val="center"/>
              <w:rPr/>
            </w:pPr>
            <w:r>
              <w:rPr/>
              <w:t>5.82</w:t>
            </w:r>
          </w:p>
        </w:tc>
        <w:tc>
          <w:tcPr>
            <w:tcW w:w="1115" w:type="dxa"/>
            <w:tcBorders/>
            <w:shd w:fill="CCEEFF" w:val="clear"/>
            <w:vAlign w:val="center"/>
          </w:tcPr>
          <w:p>
            <w:pPr>
              <w:pStyle w:val="TableContents"/>
              <w:bidi w:val="0"/>
              <w:spacing w:before="0" w:after="283"/>
              <w:jc w:val="center"/>
              <w:rPr/>
            </w:pPr>
            <w:r>
              <w:rPr/>
              <w:t>07/07/2026</w:t>
            </w:r>
          </w:p>
        </w:tc>
      </w:tr>
      <w:tr>
        <w:trPr/>
        <w:tc>
          <w:tcPr>
            <w:tcW w:w="845" w:type="dxa"/>
            <w:tcBorders/>
            <w:shd w:fill="FFFFFF" w:val="clear"/>
            <w:vAlign w:val="center"/>
          </w:tcPr>
          <w:p>
            <w:pPr>
              <w:pStyle w:val="TableContents"/>
              <w:bidi w:val="0"/>
              <w:spacing w:before="0" w:after="283"/>
              <w:jc w:val="center"/>
              <w:rPr/>
            </w:pPr>
            <w:r>
              <w:rPr/>
              <w:t>(18,374)</w:t>
            </w:r>
          </w:p>
        </w:tc>
        <w:tc>
          <w:tcPr>
            <w:tcW w:w="560" w:type="dxa"/>
            <w:tcBorders/>
            <w:shd w:fill="FFFFFF" w:val="clear"/>
            <w:vAlign w:val="center"/>
          </w:tcPr>
          <w:p>
            <w:pPr>
              <w:pStyle w:val="TableContents"/>
              <w:bidi w:val="0"/>
              <w:spacing w:before="0" w:after="283"/>
              <w:jc w:val="center"/>
              <w:rPr/>
            </w:pPr>
            <w:r>
              <w:rPr/>
              <w:t>4.72</w:t>
            </w:r>
          </w:p>
        </w:tc>
        <w:tc>
          <w:tcPr>
            <w:tcW w:w="1115" w:type="dxa"/>
            <w:tcBorders/>
            <w:shd w:fill="FFFFFF" w:val="clear"/>
            <w:vAlign w:val="center"/>
          </w:tcPr>
          <w:p>
            <w:pPr>
              <w:pStyle w:val="TableContents"/>
              <w:bidi w:val="0"/>
              <w:spacing w:before="0" w:after="283"/>
              <w:jc w:val="center"/>
              <w:rPr/>
            </w:pPr>
            <w:r>
              <w:rPr/>
              <w:t>07/20/2026</w:t>
            </w:r>
          </w:p>
        </w:tc>
      </w:tr>
      <w:tr>
        <w:trPr/>
        <w:tc>
          <w:tcPr>
            <w:tcW w:w="845" w:type="dxa"/>
            <w:tcBorders/>
            <w:shd w:fill="CCEEFF" w:val="clear"/>
            <w:vAlign w:val="center"/>
          </w:tcPr>
          <w:p>
            <w:pPr>
              <w:pStyle w:val="TableContents"/>
              <w:bidi w:val="0"/>
              <w:spacing w:before="0" w:after="283"/>
              <w:jc w:val="center"/>
              <w:rPr/>
            </w:pPr>
            <w:r>
              <w:rPr/>
              <w:t>1,000</w:t>
            </w:r>
          </w:p>
        </w:tc>
        <w:tc>
          <w:tcPr>
            <w:tcW w:w="560" w:type="dxa"/>
            <w:tcBorders/>
            <w:shd w:fill="CCEEFF" w:val="clear"/>
            <w:vAlign w:val="center"/>
          </w:tcPr>
          <w:p>
            <w:pPr>
              <w:pStyle w:val="TableContents"/>
              <w:bidi w:val="0"/>
              <w:spacing w:before="0" w:after="283"/>
              <w:jc w:val="center"/>
              <w:rPr/>
            </w:pPr>
            <w:r>
              <w:rPr/>
              <w:t>4.951</w:t>
            </w:r>
          </w:p>
        </w:tc>
        <w:tc>
          <w:tcPr>
            <w:tcW w:w="1115" w:type="dxa"/>
            <w:tcBorders/>
            <w:shd w:fill="CCEEFF" w:val="clear"/>
            <w:vAlign w:val="center"/>
          </w:tcPr>
          <w:p>
            <w:pPr>
              <w:pStyle w:val="TableContents"/>
              <w:bidi w:val="0"/>
              <w:spacing w:before="0" w:after="283"/>
              <w:jc w:val="center"/>
              <w:rPr/>
            </w:pPr>
            <w:r>
              <w:rPr/>
              <w:t>08/06/2026</w:t>
            </w:r>
          </w:p>
        </w:tc>
      </w:tr>
      <w:tr>
        <w:trPr/>
        <w:tc>
          <w:tcPr>
            <w:tcW w:w="845" w:type="dxa"/>
            <w:tcBorders/>
            <w:shd w:fill="FFFFFF" w:val="clear"/>
            <w:vAlign w:val="center"/>
          </w:tcPr>
          <w:p>
            <w:pPr>
              <w:pStyle w:val="TableContents"/>
              <w:bidi w:val="0"/>
              <w:spacing w:before="0" w:after="283"/>
              <w:jc w:val="center"/>
              <w:rPr/>
            </w:pPr>
            <w:r>
              <w:rPr/>
              <w:t>405,000</w:t>
            </w:r>
          </w:p>
        </w:tc>
        <w:tc>
          <w:tcPr>
            <w:tcW w:w="560" w:type="dxa"/>
            <w:tcBorders/>
            <w:shd w:fill="FFFFFF" w:val="clear"/>
            <w:vAlign w:val="center"/>
          </w:tcPr>
          <w:p>
            <w:pPr>
              <w:pStyle w:val="TableContents"/>
              <w:bidi w:val="0"/>
              <w:spacing w:before="0" w:after="283"/>
              <w:jc w:val="center"/>
              <w:rPr/>
            </w:pPr>
            <w:r>
              <w:rPr/>
              <w:t>2.70</w:t>
            </w:r>
          </w:p>
        </w:tc>
        <w:tc>
          <w:tcPr>
            <w:tcW w:w="1115" w:type="dxa"/>
            <w:tcBorders/>
            <w:shd w:fill="FFFFFF" w:val="clear"/>
            <w:vAlign w:val="center"/>
          </w:tcPr>
          <w:p>
            <w:pPr>
              <w:pStyle w:val="TableContents"/>
              <w:bidi w:val="0"/>
              <w:spacing w:before="0" w:after="283"/>
              <w:jc w:val="center"/>
              <w:rPr/>
            </w:pPr>
            <w:r>
              <w:rPr/>
              <w:t>08/07/2026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prices reported in this column are weighted average prices. The Reporting Person undertakes to provide the Issuer and any security holder of the Issuer, or the staff of the Securities and Exchange Commission, upon request, full information regarding the number of shares purchased (or sold) at each separate price such shares were purchased.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1794</Words>
  <Characters>9499</Characters>
  <CharactersWithSpaces>11205</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