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-234950</wp:posOffset>
            </wp:positionV>
            <wp:extent cx="132080" cy="1320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080" cy="132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5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6"/>
        </w:trPr>
        <w:tc>
          <w:tcPr>
            <w:tcW w:w="632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6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2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3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2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5278120</wp:posOffset>
            </wp:positionH>
            <wp:positionV relativeFrom="paragraph">
              <wp:posOffset>-631190</wp:posOffset>
            </wp:positionV>
            <wp:extent cx="58420" cy="6445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3998595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-1622425</wp:posOffset>
            </wp:positionH>
            <wp:positionV relativeFrom="paragraph">
              <wp:posOffset>16510</wp:posOffset>
            </wp:positionV>
            <wp:extent cx="6992620" cy="56388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638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80" w:space="260"/>
            <w:col w:w="8540"/>
          </w:cols>
          <w:pgMar w:left="460" w:top="222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BRINTNALL JOHN</w:t>
        </w:r>
      </w:hyperlink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9201 W BROADWAY AVE #650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CVRx, Inc.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CVRX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12/30/2021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ind w:left="-6" w:right="620" w:firstLine="6"/>
        <w:spacing w:after="0" w:line="239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tbl>
      <w:tblPr>
        <w:tblLayout w:type="fixed"/>
        <w:tblInd w:w="194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2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1" w:lineRule="exact"/>
        <w:rPr>
          <w:sz w:val="24"/>
          <w:szCs w:val="24"/>
          <w:color w:val="auto"/>
        </w:rPr>
      </w:pPr>
    </w:p>
    <w:p>
      <w:pPr>
        <w:ind w:left="55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Chief Strategy Officer and Sec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6" w:space="720"/>
            <w:col w:w="3354"/>
          </w:cols>
          <w:pgMar w:left="460" w:top="222" w:right="359" w:bottom="1440" w:gutter="0" w:footer="0" w:header="0"/>
          <w:type w:val="continuous"/>
        </w:sectPr>
      </w:pPr>
    </w:p>
    <w:p>
      <w:pPr>
        <w:spacing w:after="0" w:line="162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56"/>
        </w:trPr>
        <w:tc>
          <w:tcPr>
            <w:tcW w:w="8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MINNEAPOLIS MN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55445</w:t>
            </w: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2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22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020"/>
        <w:spacing w:after="0" w:line="221" w:lineRule="auto"/>
        <w:tabs>
          <w:tab w:leader="none" w:pos="43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06" w:lineRule="exact"/>
        <w:rPr>
          <w:sz w:val="24"/>
          <w:szCs w:val="24"/>
          <w:color w:val="auto"/>
        </w:rPr>
      </w:pP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3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0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40" w:space="160"/>
            <w:col w:w="7180"/>
          </w:cols>
          <w:pgMar w:left="460" w:top="222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4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70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780" w:type="dxa"/>
            <w:vAlign w:val="bottom"/>
            <w:gridSpan w:val="6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7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1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12/30/2021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4"/>
              </w:rPr>
              <w:t>2,550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A</w:t>
            </w:r>
          </w:p>
        </w:tc>
        <w:tc>
          <w:tcPr>
            <w:tcW w:w="70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0.237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10,450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4,945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 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4,681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spouse's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trust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ind w:left="10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0" w:type="dxa"/>
            <w:vAlign w:val="bottom"/>
            <w:gridSpan w:val="13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5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0.237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12/30/2021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M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2,550</w:t>
            </w: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3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11/11/2023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2,550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2"/>
              </w:rPr>
              <w:t>2,221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5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8000"/>
              </w:rPr>
              <w:t>1. Fully exercisable.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120" w:type="dxa"/>
            <w:vAlign w:val="bottom"/>
            <w:tcBorders>
              <w:bottom w:val="single" w:sz="8" w:color="auto"/>
            </w:tcBorders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Amy C. Seidel, Attorney-in-</w:t>
            </w:r>
          </w:p>
        </w:tc>
        <w:tc>
          <w:tcPr>
            <w:tcW w:w="8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01/03/2022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9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Fact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4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12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-2884170</wp:posOffset>
            </wp:positionV>
            <wp:extent cx="29210" cy="220472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2047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7" w:lineRule="auto"/>
        <w:tabs>
          <w:tab w:leader="none" w:pos="177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2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69656" TargetMode="External"/><Relationship Id="rId13" Type="http://schemas.openxmlformats.org/officeDocument/2006/relationships/hyperlink" Target="http://www.sec.gov/cgi-bin/browse-edgar?action=getcompany&amp;CIK=000123591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2022-01-03T15:26:29Z</dcterms:created>
  <dcterms:modified xsi:type="dcterms:W3CDTF">2022-01-03T15:26:29Z</dcterms:modified>
</cp:coreProperties>
</file>