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5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March 31, 2026</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7"/>
                <w:szCs w:val="17"/>
                <w:color w:val="auto"/>
              </w:rPr>
            </w:pPr>
          </w:p>
        </w:tc>
      </w:tr>
      <w:tr>
        <w:trPr>
          <w:trHeight w:val="18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6"/>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7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30"/>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20"/>
                <w:szCs w:val="20"/>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55" w:lineRule="exact"/>
        <w:rPr>
          <w:sz w:val="24"/>
          <w:szCs w:val="24"/>
          <w:color w:val="auto"/>
        </w:rPr>
      </w:pPr>
    </w:p>
    <w:p>
      <w:pPr>
        <w:ind w:left="4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40" w:right="38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0"/>
        <w:spacing w:after="0" w:line="161"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112" w:lineRule="exact"/>
        <w:rPr>
          <w:sz w:val="24"/>
          <w:szCs w:val="24"/>
          <w:color w:val="auto"/>
        </w:rPr>
      </w:pPr>
    </w:p>
    <w:p>
      <w:pPr>
        <w:ind w:left="40" w:right="20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1" w:right="919" w:bottom="1440" w:gutter="0" w:footer="0" w:header="0"/>
        </w:sectPr>
      </w:pPr>
    </w:p>
    <w:p>
      <w:pPr>
        <w:spacing w:after="0" w:line="1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640" w:space="720"/>
            <w:col w:w="420" w:space="720"/>
            <w:col w:w="1920" w:space="720"/>
            <w:col w:w="4040"/>
          </w:cols>
          <w:pgMar w:left="800" w:top="661" w:right="91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48"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1" w:right="919" w:bottom="1440" w:gutter="0" w:footer="0" w:header="0"/>
          <w:type w:val="continuous"/>
        </w:sectPr>
      </w:pPr>
    </w:p>
    <w:p>
      <w:pPr>
        <w:ind w:left="40"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40" w:right="18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May 5, 2026, there were 26,535,944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116840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1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80" w:type="dxa"/>
            <w:vAlign w:val="bottom"/>
            <w:gridSpan w:val="24"/>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71"/>
        </w:trPr>
        <w:tc>
          <w:tcPr>
            <w:tcW w:w="44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64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b w:val="1"/>
                <w:bCs w:val="1"/>
                <w:color w:val="0000EE"/>
              </w:rPr>
              <w:t>Financial Information</w:t>
            </w: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8"/>
                <w:szCs w:val="18"/>
                <w:color w:val="0000EE"/>
                <w:w w:val="79"/>
              </w:rPr>
              <w:t>Item 1.</w:t>
            </w:r>
          </w:p>
        </w:tc>
        <w:tc>
          <w:tcPr>
            <w:tcW w:w="6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color w:val="0000EE"/>
              </w:rPr>
              <w:t>Financial Statements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color w:val="0000EE"/>
              </w:rPr>
              <w:t>Condensed Consolidated Balance Sheets as of March 31, 2026 and December 31, 2025</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9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(Unaudited)</w:t>
            </w:r>
          </w:p>
        </w:tc>
        <w:tc>
          <w:tcPr>
            <w:tcW w:w="5980" w:type="dxa"/>
            <w:vAlign w:val="bottom"/>
            <w:tcBorders>
              <w:top w:val="single" w:sz="8" w:color="0000EE"/>
            </w:tcBorders>
            <w:gridSpan w:val="1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three months ended March 31, 2026 and 2025 (Unaudited)</w:t>
            </w: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Stockholders</w:t>
            </w:r>
            <w:r>
              <w:rPr>
                <w:rFonts w:ascii="Times New Roman" w:cs="Times New Roman" w:eastAsia="Times New Roman" w:hAnsi="Times New Roman"/>
                <w:sz w:val="18"/>
                <w:szCs w:val="18"/>
                <w:color w:val="0000EE"/>
              </w:rPr>
              <w:t>’</w:t>
            </w:r>
            <w:r>
              <w:rPr>
                <w:rFonts w:ascii="Arial" w:cs="Arial" w:eastAsia="Arial" w:hAnsi="Arial"/>
                <w:sz w:val="18"/>
                <w:szCs w:val="18"/>
                <w:color w:val="0000EE"/>
              </w:rPr>
              <w:t xml:space="preserve"> Equity for the three months</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4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ended March 31, 2026 and 2025 (Unaudited)</w:t>
            </w:r>
          </w:p>
        </w:tc>
        <w:tc>
          <w:tcPr>
            <w:tcW w:w="580" w:type="dxa"/>
            <w:vAlign w:val="bottom"/>
            <w:gridSpan w:val="4"/>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Cash Flows for the three months ended March</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8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31, 2026 and 2025 (Unaudited)</w:t>
            </w:r>
          </w:p>
        </w:tc>
        <w:tc>
          <w:tcPr>
            <w:tcW w:w="180" w:type="dxa"/>
            <w:vAlign w:val="bottom"/>
            <w:gridSpan w:val="2"/>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6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1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w:t>
            </w:r>
            <w:r>
              <w:rPr>
                <w:rFonts w:ascii="Times New Roman" w:cs="Times New Roman" w:eastAsia="Times New Roman" w:hAnsi="Times New Roman"/>
                <w:sz w:val="18"/>
                <w:szCs w:val="18"/>
                <w:color w:val="0000EE"/>
                <w:w w:val="99"/>
              </w:rPr>
              <w:t>’</w:t>
            </w:r>
            <w:r>
              <w:rPr>
                <w:rFonts w:ascii="Arial" w:cs="Arial" w:eastAsia="Arial" w:hAnsi="Arial"/>
                <w:sz w:val="18"/>
                <w:szCs w:val="18"/>
                <w:color w:val="0000EE"/>
                <w:w w:val="99"/>
              </w:rPr>
              <w:t>s Discussion and Analysis of Financial Condition and Results of</w:t>
            </w:r>
          </w:p>
        </w:tc>
        <w:tc>
          <w:tcPr>
            <w:tcW w:w="940" w:type="dxa"/>
            <w:vAlign w:val="bottom"/>
            <w:gridSpan w:val="5"/>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Operations</w:t>
            </w:r>
          </w:p>
        </w:tc>
        <w:tc>
          <w:tcPr>
            <w:tcW w:w="6100" w:type="dxa"/>
            <w:vAlign w:val="bottom"/>
            <w:gridSpan w:val="19"/>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5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400" w:type="dxa"/>
            <w:vAlign w:val="bottom"/>
            <w:gridSpan w:val="9"/>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4.</w:t>
            </w:r>
          </w:p>
        </w:tc>
        <w:tc>
          <w:tcPr>
            <w:tcW w:w="6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Controls and Procedures</w:t>
            </w:r>
          </w:p>
        </w:tc>
        <w:tc>
          <w:tcPr>
            <w:tcW w:w="5120" w:type="dxa"/>
            <w:vAlign w:val="bottom"/>
            <w:gridSpan w:val="12"/>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9"/>
        </w:trPr>
        <w:tc>
          <w:tcPr>
            <w:tcW w:w="1080" w:type="dxa"/>
            <w:vAlign w:val="bottom"/>
            <w:gridSpan w:val="7"/>
          </w:tcPr>
          <w:p>
            <w:pPr>
              <w:spacing w:after="0"/>
              <w:rPr>
                <w:sz w:val="20"/>
                <w:szCs w:val="20"/>
                <w:color w:val="auto"/>
              </w:rPr>
            </w:pPr>
            <w:r>
              <w:rPr>
                <w:rFonts w:ascii="Arial" w:cs="Arial" w:eastAsia="Arial" w:hAnsi="Arial"/>
                <w:sz w:val="18"/>
                <w:szCs w:val="18"/>
                <w:b w:val="1"/>
                <w:bCs w:val="1"/>
                <w:color w:val="0000EE"/>
              </w:rPr>
              <w:t>Part II</w:t>
            </w: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b w:val="1"/>
                <w:bCs w:val="1"/>
                <w:color w:val="0000EE"/>
              </w:rPr>
              <w:t>Other Information</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w:t>
            </w:r>
          </w:p>
        </w:tc>
        <w:tc>
          <w:tcPr>
            <w:tcW w:w="5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Legal Proceedings</w:t>
            </w:r>
          </w:p>
        </w:tc>
        <w:tc>
          <w:tcPr>
            <w:tcW w:w="5600" w:type="dxa"/>
            <w:vAlign w:val="bottom"/>
            <w:gridSpan w:val="16"/>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8"/>
        </w:trPr>
        <w:tc>
          <w:tcPr>
            <w:tcW w:w="660" w:type="dxa"/>
            <w:vAlign w:val="bottom"/>
            <w:gridSpan w:val="4"/>
          </w:tcPr>
          <w:p>
            <w:pPr>
              <w:spacing w:after="0"/>
              <w:rPr>
                <w:sz w:val="20"/>
                <w:szCs w:val="20"/>
                <w:color w:val="auto"/>
              </w:rPr>
            </w:pPr>
            <w:r>
              <w:rPr>
                <w:rFonts w:ascii="Arial" w:cs="Arial" w:eastAsia="Arial" w:hAnsi="Arial"/>
                <w:sz w:val="18"/>
                <w:szCs w:val="18"/>
                <w:color w:val="0000EE"/>
                <w:w w:val="95"/>
              </w:rPr>
              <w:t>Item 1A.</w:t>
            </w:r>
          </w:p>
        </w:tc>
        <w:tc>
          <w:tcPr>
            <w:tcW w:w="4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color w:val="0000EE"/>
              </w:rPr>
              <w:t>Risk Factors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2.</w:t>
            </w:r>
          </w:p>
        </w:tc>
        <w:tc>
          <w:tcPr>
            <w:tcW w:w="10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2260" w:type="dxa"/>
            <w:vAlign w:val="bottom"/>
            <w:gridSpan w:val="7"/>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9"/>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5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rPr>
              <w:t>Defaults Upon Senior Securities</w:t>
            </w:r>
          </w:p>
        </w:tc>
        <w:tc>
          <w:tcPr>
            <w:tcW w:w="4500" w:type="dxa"/>
            <w:vAlign w:val="bottom"/>
            <w:gridSpan w:val="11"/>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4.</w:t>
            </w:r>
          </w:p>
        </w:tc>
        <w:tc>
          <w:tcPr>
            <w:tcW w:w="5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Mine Safety Disclosures</w:t>
            </w:r>
          </w:p>
        </w:tc>
        <w:tc>
          <w:tcPr>
            <w:tcW w:w="5180" w:type="dxa"/>
            <w:vAlign w:val="bottom"/>
            <w:gridSpan w:val="13"/>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8"/>
        </w:trPr>
        <w:tc>
          <w:tcPr>
            <w:tcW w:w="560" w:type="dxa"/>
            <w:vAlign w:val="bottom"/>
            <w:gridSpan w:val="3"/>
          </w:tcPr>
          <w:p>
            <w:pPr>
              <w:spacing w:after="0"/>
              <w:rPr>
                <w:sz w:val="20"/>
                <w:szCs w:val="20"/>
                <w:color w:val="auto"/>
              </w:rPr>
            </w:pPr>
            <w:r>
              <w:rPr>
                <w:rFonts w:ascii="Arial" w:cs="Arial" w:eastAsia="Arial" w:hAnsi="Arial"/>
                <w:sz w:val="18"/>
                <w:szCs w:val="18"/>
                <w:color w:val="0000EE"/>
                <w:w w:val="98"/>
              </w:rPr>
              <w:t>Item 5.</w:t>
            </w:r>
          </w:p>
        </w:tc>
        <w:tc>
          <w:tcPr>
            <w:tcW w:w="5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23"/>
          </w:tcPr>
          <w:p>
            <w:pPr>
              <w:spacing w:after="0"/>
              <w:rPr>
                <w:sz w:val="20"/>
                <w:szCs w:val="20"/>
                <w:color w:val="auto"/>
              </w:rPr>
            </w:pPr>
            <w:r>
              <w:rPr>
                <w:rFonts w:ascii="Arial" w:cs="Arial" w:eastAsia="Arial" w:hAnsi="Arial"/>
                <w:sz w:val="18"/>
                <w:szCs w:val="18"/>
                <w:color w:val="0000EE"/>
              </w:rPr>
              <w:t>Other Information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9"/>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79"/>
              </w:rPr>
              <w:t>Item 6.</w:t>
            </w:r>
          </w:p>
        </w:tc>
        <w:tc>
          <w:tcPr>
            <w:tcW w:w="80" w:type="dxa"/>
            <w:vAlign w:val="bottom"/>
            <w:tcBorders>
              <w:top w:val="single" w:sz="8" w:color="0000EE"/>
            </w:tcBorders>
          </w:tcPr>
          <w:p>
            <w:pPr>
              <w:spacing w:after="0"/>
              <w:rPr>
                <w:sz w:val="24"/>
                <w:szCs w:val="24"/>
                <w:color w:val="auto"/>
              </w:rPr>
            </w:pPr>
          </w:p>
        </w:tc>
        <w:tc>
          <w:tcPr>
            <w:tcW w:w="5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4"/>
          </w:tcPr>
          <w:p>
            <w:pPr>
              <w:spacing w:after="0"/>
              <w:rPr>
                <w:sz w:val="24"/>
                <w:szCs w:val="24"/>
                <w:color w:val="auto"/>
              </w:rPr>
            </w:pPr>
          </w:p>
        </w:tc>
        <w:tc>
          <w:tcPr>
            <w:tcW w:w="5720" w:type="dxa"/>
            <w:vAlign w:val="bottom"/>
            <w:gridSpan w:val="17"/>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8"/>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Exhibit Index</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Signatures</w:t>
            </w:r>
          </w:p>
        </w:tc>
        <w:tc>
          <w:tcPr>
            <w:tcW w:w="2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1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2025, which are summarized below. Moreover, we operate in an evolving environment. New risk factors and uncertainties may emerge from time to time, and it is not possible for management to predict all risk factors and uncertainties.</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9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2025,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176"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6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(one of whom is affiliated with one of our principal stockholders) own a significant percentage of our stock and will be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83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must continue to demonstrate to physicians and patients the merits of Barostim;</w:t>
      </w:r>
    </w:p>
    <w:p>
      <w:pPr>
        <w:spacing w:after="0" w:line="116" w:lineRule="exact"/>
        <w:rPr>
          <w:rFonts w:ascii="Times New Roman" w:cs="Times New Roman" w:eastAsia="Times New Roman" w:hAnsi="Times New Roman"/>
          <w:sz w:val="18"/>
          <w:szCs w:val="18"/>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payers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6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8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68"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12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clinical studies may not produce results necessary to support regulatory clearance or approval, and could produce negative or inconclusive results;</w:t>
      </w:r>
    </w:p>
    <w:p>
      <w:pPr>
        <w:spacing w:after="0" w:line="46" w:lineRule="exact"/>
        <w:rPr>
          <w:rFonts w:ascii="Times New Roman" w:cs="Times New Roman" w:eastAsia="Times New Roman" w:hAnsi="Times New Roman"/>
          <w:sz w:val="18"/>
          <w:szCs w:val="18"/>
          <w:color w:val="auto"/>
        </w:rPr>
      </w:pPr>
    </w:p>
    <w:p>
      <w:pPr>
        <w:ind w:left="720" w:right="12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could adversely affect our business;</w:t>
      </w:r>
    </w:p>
    <w:p>
      <w:pPr>
        <w:spacing w:after="0" w:line="46"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effectiveness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64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1"/>
                <w:szCs w:val="21"/>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64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20"/>
              <w:spacing w:after="0" w:line="177"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4"/>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72,303</w:t>
            </w:r>
          </w:p>
        </w:tc>
        <w:tc>
          <w:tcPr>
            <w:tcW w:w="3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$869 and $871, respectively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9,104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10,665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2,940</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96,750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99,728</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line="204"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120"/>
              <w:spacing w:after="0" w:line="204"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4"/>
        </w:trPr>
        <w:tc>
          <w:tcPr>
            <w:tcW w:w="64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2,998</w:t>
            </w:r>
          </w:p>
        </w:tc>
        <w:tc>
          <w:tcPr>
            <w:tcW w:w="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6,488</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9,486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13,317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58,490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2,099</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70,619</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65,470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Commitments and contingencies (Note 10)</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4"/>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Common stock, $0.01 par value, 200,000,000 authorized as of March 31, 2026</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December 31, 2025; 26,428,767 and 26,311,607 shares issued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2026 and December 31, 2025, respectively</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632,820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629,916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(603,772)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(590,652)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29,109</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99,728</w:t>
            </w: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104,794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6240" w:type="dxa"/>
            <w:vAlign w:val="bottom"/>
          </w:tcPr>
          <w:p>
            <w:pPr>
              <w:spacing w:after="0"/>
              <w:rPr>
                <w:sz w:val="21"/>
                <w:szCs w:val="21"/>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7"/>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2026</w:t>
            </w:r>
          </w:p>
        </w:tc>
        <w:tc>
          <w:tcPr>
            <w:tcW w:w="34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14,769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12,881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10,312</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21,958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25,042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(12,161)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(13,437)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(13,120)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(0.50)</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 compute net loss per share, basic</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26,355,591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25,876,062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3520" w:type="dxa"/>
            <w:vAlign w:val="bottom"/>
          </w:tcPr>
          <w:p>
            <w:pPr>
              <w:ind w:left="3420"/>
              <w:spacing w:after="0" w:line="12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1"/>
                <w:szCs w:val="11"/>
                <w:color w:val="auto"/>
              </w:rPr>
            </w:pPr>
          </w:p>
        </w:tc>
        <w:tc>
          <w:tcPr>
            <w:tcW w:w="70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260" w:type="dxa"/>
            <w:vAlign w:val="bottom"/>
            <w:gridSpan w:val="2"/>
          </w:tcPr>
          <w:p>
            <w:pPr>
              <w:jc w:val="right"/>
              <w:ind w:right="28"/>
              <w:spacing w:after="0" w:line="12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26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26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deficit</w:t>
            </w:r>
          </w:p>
        </w:tc>
        <w:tc>
          <w:tcPr>
            <w:tcW w:w="1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2"/>
              </w:rPr>
              <w:t>loss</w:t>
            </w:r>
          </w:p>
        </w:tc>
        <w:tc>
          <w:tcPr>
            <w:tcW w:w="280" w:type="dxa"/>
            <w:vAlign w:val="bottom"/>
            <w:gridSpan w:val="2"/>
          </w:tcPr>
          <w:p>
            <w:pPr>
              <w:jc w:val="right"/>
              <w:ind w:right="77"/>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28"/>
        </w:trPr>
        <w:tc>
          <w:tcPr>
            <w:tcW w:w="35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December 31, 2025</w:t>
            </w:r>
          </w:p>
        </w:tc>
        <w:tc>
          <w:tcPr>
            <w:tcW w:w="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26,311,607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629,916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(590,652)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39,324</w:t>
            </w:r>
          </w:p>
        </w:tc>
        <w:tc>
          <w:tcPr>
            <w:tcW w:w="0" w:type="dxa"/>
            <w:vAlign w:val="bottom"/>
          </w:tcPr>
          <w:p>
            <w:pPr>
              <w:spacing w:after="0"/>
              <w:rPr>
                <w:sz w:val="1"/>
                <w:szCs w:val="1"/>
                <w:color w:val="auto"/>
              </w:rPr>
            </w:pPr>
          </w:p>
        </w:tc>
      </w:tr>
      <w:tr>
        <w:trPr>
          <w:trHeight w:val="135"/>
        </w:trPr>
        <w:tc>
          <w:tcPr>
            <w:tcW w:w="35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36,500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Vesting of restricted stock units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80,660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2,916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2,916</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5"/>
        </w:trPr>
        <w:tc>
          <w:tcPr>
            <w:tcW w:w="35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Net loss for the three months ended March 31, 2026</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(13,120)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(13,120)</w:t>
            </w:r>
          </w:p>
        </w:tc>
        <w:tc>
          <w:tcPr>
            <w:tcW w:w="0" w:type="dxa"/>
            <w:vAlign w:val="bottom"/>
          </w:tcPr>
          <w:p>
            <w:pPr>
              <w:spacing w:after="0"/>
              <w:rPr>
                <w:sz w:val="1"/>
                <w:szCs w:val="1"/>
                <w:color w:val="auto"/>
              </w:rPr>
            </w:pPr>
          </w:p>
        </w:tc>
      </w:tr>
      <w:tr>
        <w:trPr>
          <w:trHeight w:val="128"/>
        </w:trPr>
        <w:tc>
          <w:tcPr>
            <w:tcW w:w="35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March 31, 2026</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26,428,767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632,820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(603,772)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29,109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December 31, 2024</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25,324,684</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w:t>
            </w:r>
          </w:p>
        </w:tc>
        <w:tc>
          <w:tcPr>
            <w:tcW w:w="2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608,354</w:t>
            </w:r>
          </w:p>
        </w:tc>
        <w:tc>
          <w:tcPr>
            <w:tcW w:w="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(537,346)</w:t>
            </w: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(206)</w:t>
            </w:r>
          </w:p>
        </w:tc>
        <w:tc>
          <w:tcPr>
            <w:tcW w:w="2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71,055</w:t>
            </w:r>
          </w:p>
        </w:tc>
        <w:tc>
          <w:tcPr>
            <w:tcW w:w="0" w:type="dxa"/>
            <w:vAlign w:val="bottom"/>
          </w:tcPr>
          <w:p>
            <w:pPr>
              <w:spacing w:after="0"/>
              <w:rPr>
                <w:sz w:val="1"/>
                <w:szCs w:val="1"/>
                <w:color w:val="auto"/>
              </w:rPr>
            </w:pPr>
          </w:p>
        </w:tc>
      </w:tr>
      <w:tr>
        <w:trPr>
          <w:trHeight w:val="135"/>
        </w:trPr>
        <w:tc>
          <w:tcPr>
            <w:tcW w:w="35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183,846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415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2,455</w:t>
            </w:r>
          </w:p>
        </w:tc>
        <w:tc>
          <w:tcPr>
            <w:tcW w:w="0" w:type="dxa"/>
            <w:vAlign w:val="bottom"/>
          </w:tcPr>
          <w:p>
            <w:pPr>
              <w:spacing w:after="0"/>
              <w:rPr>
                <w:sz w:val="1"/>
                <w:szCs w:val="1"/>
                <w:color w:val="auto"/>
              </w:rPr>
            </w:pPr>
          </w:p>
        </w:tc>
      </w:tr>
      <w:tr>
        <w:trPr>
          <w:trHeight w:val="135"/>
        </w:trPr>
        <w:tc>
          <w:tcPr>
            <w:tcW w:w="35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543,462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9,192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9,198</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three months ended March 31, 2025</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(13,766)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(13,766)</w:t>
            </w:r>
          </w:p>
        </w:tc>
        <w:tc>
          <w:tcPr>
            <w:tcW w:w="0" w:type="dxa"/>
            <w:vAlign w:val="bottom"/>
          </w:tcPr>
          <w:p>
            <w:pPr>
              <w:spacing w:after="0"/>
              <w:rPr>
                <w:sz w:val="1"/>
                <w:szCs w:val="1"/>
                <w:color w:val="auto"/>
              </w:rPr>
            </w:pPr>
          </w:p>
        </w:tc>
      </w:tr>
      <w:tr>
        <w:trPr>
          <w:trHeight w:val="135"/>
        </w:trPr>
        <w:tc>
          <w:tcPr>
            <w:tcW w:w="35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9"/>
        </w:trPr>
        <w:tc>
          <w:tcPr>
            <w:tcW w:w="35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March 31, 2025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26,051,992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620,416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(551,112)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69,360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80" w:type="dxa"/>
            <w:vAlign w:val="bottom"/>
          </w:tcPr>
          <w:p>
            <w:pPr>
              <w:ind w:left="66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98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1"/>
              <w:spacing w:after="0" w:line="196" w:lineRule="exact"/>
              <w:rPr>
                <w:sz w:val="20"/>
                <w:szCs w:val="20"/>
                <w:color w:val="auto"/>
              </w:rPr>
            </w:pPr>
            <w:r>
              <w:rPr>
                <w:rFonts w:ascii="Arial" w:cs="Arial" w:eastAsia="Arial" w:hAnsi="Arial"/>
                <w:sz w:val="18"/>
                <w:szCs w:val="18"/>
                <w:b w:val="1"/>
                <w:bCs w:val="1"/>
                <w:color w:val="auto"/>
              </w:rPr>
              <w:t>2026</w:t>
            </w:r>
          </w:p>
        </w:tc>
        <w:tc>
          <w:tcPr>
            <w:tcW w:w="20" w:type="dxa"/>
            <w:vAlign w:val="bottom"/>
          </w:tcPr>
          <w:p>
            <w:pPr>
              <w:spacing w:after="0"/>
              <w:rPr>
                <w:sz w:val="17"/>
                <w:szCs w:val="17"/>
                <w:color w:val="auto"/>
              </w:rPr>
            </w:pPr>
          </w:p>
        </w:tc>
        <w:tc>
          <w:tcPr>
            <w:tcW w:w="40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2025</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(13,120)</w:t>
            </w:r>
          </w:p>
        </w:tc>
        <w:tc>
          <w:tcPr>
            <w:tcW w:w="420" w:type="dxa"/>
            <w:vAlign w:val="bottom"/>
            <w:gridSpan w:val="3"/>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(13,766)</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28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Loss on disposal of equipment</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gridSpan w:val="3"/>
          </w:tcPr>
          <w:p>
            <w:pPr>
              <w:jc w:val="right"/>
              <w:ind w:right="28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(2,907)</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(12,164)</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(12,767)</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Net (payments) proceeds from the issuance of common stock</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debt financing</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Debt financing costs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(1,107)</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8,882</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75,708</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105,933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72,303</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102,668</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w:t>
            </w:r>
          </w:p>
        </w:tc>
        <w:tc>
          <w:tcPr>
            <w:tcW w:w="420" w:type="dxa"/>
            <w:vAlign w:val="bottom"/>
            <w:gridSpan w:val="3"/>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180"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The condensed consolidated financial statements include the accounts of CVRx, Inc. and its wholly owned subsidiary, CVRx Switzerland LLC.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March 31, 2026 and December 31, 2025, cash equivalents consisted of money market funds, which are stated at cost and approximate fair value. Additionally, as of March 31, 2026 and December 31, 2025, a majority of our cash and cash equivalents were maintained with two financial institutions in the U.S., and our current deposits are likely in excess of insured limits.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We regularly review inventory quantities based on actual loss experiences, projected future demand and remaining shelf life to record a provision for excess and obsolete inventory when appropriate.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and the fair value of restricted stock units (“RSUs”) and performance stock units (“PSUs”) are equal to the closing price of our common stock on the grant date. We account for forfeitures as they occur. We expense the fair value of our equity-based compensation awards granted to employees on a straight-line basis over the associated service period, which is generally the period in which the related services are received for stock options and RSUs, and the performance period and any additional service period based on the probability of achieving the performance objectives for PSUs.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99"/>
        <w:spacing w:after="0" w:line="209" w:lineRule="exact"/>
        <w:rPr>
          <w:sz w:val="20"/>
          <w:szCs w:val="20"/>
          <w:color w:val="auto"/>
        </w:rPr>
      </w:pPr>
      <w:r>
        <w:rPr>
          <w:rFonts w:ascii="Arial" w:cs="Arial" w:eastAsia="Arial" w:hAnsi="Arial"/>
          <w:sz w:val="17"/>
          <w:szCs w:val="17"/>
          <w:color w:val="auto"/>
        </w:rPr>
        <w:t>In July 2025, the FASB issued ASU 2025-05, which provides targeted relief under Topic 326 for entities estimating expected credit losses on accounts receivable and contract assets arising from revenue transactions under ASC 606. The amendment introduces a practical expedient allowing entities to assume that current conditions as of the reporting date remain unchanged over the life of the asset. The standard is effective for fiscal years beginning after December 15, 2025, including interim periods within those fiscal years. We adopted ASU 2025</w:t>
      </w:r>
      <w:r>
        <w:rPr>
          <w:rFonts w:ascii="MS PGothic" w:cs="MS PGothic" w:eastAsia="MS PGothic" w:hAnsi="MS PGothic"/>
          <w:sz w:val="17"/>
          <w:szCs w:val="17"/>
          <w:color w:val="auto"/>
        </w:rPr>
        <w:t>‑</w:t>
      </w:r>
      <w:r>
        <w:rPr>
          <w:rFonts w:ascii="Arial" w:cs="Arial" w:eastAsia="Arial" w:hAnsi="Arial"/>
          <w:sz w:val="17"/>
          <w:szCs w:val="17"/>
          <w:color w:val="auto"/>
        </w:rPr>
        <w:t>05 effective January 1, 2026. The amendments were applied on a prospective basis and did not have a material impact on our consolidated financial statements, results of operations, or cash flows. We continue to record a specific allowance for credit losses based on known collection risks and historical experience.</w:t>
      </w:r>
    </w:p>
    <w:p>
      <w:pPr>
        <w:spacing w:after="0" w:line="181"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November 2024, the FASB issued ASU 2024-03, Income Statement — Reporting Comprehensive Income (Subtopic 220-40): Disaggregation of Income Statement Expenses. The amendments require public business entities to provide enhanced disclosures related to the disaggregation of income statement expenses, including additional quantitative and qualitative information about the nature of expenses presented within relevant expense captions. The guidance is effective for annual reporting periods beginning after December 15, 2026, and interim reporting periods beginning after December 15, 2027, with early adoption permitted. We have not yet adopted ASU 2024-03 and are in the process of evaluating the impact of the guidance on our consolidated financial statements. While the amendments will require additional disclosures and may require changes to internal data aggregation and reporting processes, we do not expect adoption to have a material impact on its results of operations, financial position, or cash flows.</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36"/>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3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8,413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3,367</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12,403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780" w:type="dxa"/>
            <w:vAlign w:val="bottom"/>
            <w:vMerge w:val="restart"/>
          </w:tcPr>
          <w:p>
            <w:pPr>
              <w:jc w:val="right"/>
              <w:ind w:right="197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2025</w:t>
            </w: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Lab equipment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2,679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3,533</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828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196"/>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5,242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6,391</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3,083</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4,148</w:t>
            </w:r>
          </w:p>
        </w:tc>
      </w:tr>
      <w:tr>
        <w:trPr>
          <w:trHeight w:val="196"/>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2,159</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2,243</w:t>
            </w:r>
          </w:p>
        </w:tc>
      </w:tr>
      <w:tr>
        <w:trPr>
          <w:trHeight w:val="20"/>
        </w:trPr>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Depreciation is determined using the straight-line method over the estimated useful lives of the respective assets, generally three to five years. Leasehold improvements are amortized on a straight-line basis over the shorter of their estimated useful lives or the term of the lease. Depreciation expense was $0.2 for each of the three months ended March 31, 2026 and 2025, respectively.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9"/>
              </w:rPr>
              <w:t>March 31,</w:t>
            </w: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Bonuses</w:t>
            </w:r>
          </w:p>
        </w:tc>
        <w:tc>
          <w:tcPr>
            <w:tcW w:w="2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2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401(k) match</w:t>
            </w: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Taxes</w:t>
            </w: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Clinical trial and other professional fees</w:t>
            </w:r>
          </w:p>
        </w:tc>
        <w:tc>
          <w:tcPr>
            <w:tcW w:w="2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28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1,166</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6,488</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40" w:type="dxa"/>
            <w:vAlign w:val="bottom"/>
            <w:vMerge w:val="restart"/>
          </w:tcPr>
          <w:p>
            <w:pPr>
              <w:jc w:val="right"/>
              <w:ind w:right="195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3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October 31, 2022, we entered into a Loan and Security Agreement (the “Loan Agreement”) with Innovatus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color w:val="auto"/>
        </w:rPr>
        <w:t>Life Sciences Fund I, LP, as the collateral agent and a lender, allowing us to borrow, subject to our achievement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 certain milestones, up to a total of $50.0 million in a series of term loans (collectively, the “Term Loans”). On</w:t>
      </w:r>
    </w:p>
    <w:p>
      <w:pPr>
        <w:ind w:left="60"/>
        <w:spacing w:after="0" w:line="234" w:lineRule="auto"/>
        <w:rPr>
          <w:sz w:val="20"/>
          <w:szCs w:val="20"/>
          <w:color w:val="auto"/>
        </w:rPr>
      </w:pPr>
      <w:r>
        <w:rPr>
          <w:rFonts w:ascii="Arial" w:cs="Arial" w:eastAsia="Arial" w:hAnsi="Arial"/>
          <w:sz w:val="18"/>
          <w:szCs w:val="18"/>
          <w:color w:val="auto"/>
        </w:rPr>
        <w:t>January 9, 2026, we entered into an Amendment to our existing Loan Agreement. Pursuant to the Amendment,</w:t>
      </w:r>
    </w:p>
    <w:p>
      <w:pPr>
        <w:ind w:left="60"/>
        <w:spacing w:after="0" w:line="235" w:lineRule="auto"/>
        <w:rPr>
          <w:sz w:val="20"/>
          <w:szCs w:val="20"/>
          <w:color w:val="auto"/>
        </w:rPr>
      </w:pPr>
      <w:r>
        <w:rPr>
          <w:rFonts w:ascii="Arial" w:cs="Arial" w:eastAsia="Arial" w:hAnsi="Arial"/>
          <w:sz w:val="18"/>
          <w:szCs w:val="18"/>
          <w:color w:val="auto"/>
        </w:rPr>
        <w:t>the term loans available were increased by $50.0 million, to an aggregate principal amount of up to $100.0</w:t>
      </w:r>
    </w:p>
    <w:p>
      <w:pPr>
        <w:ind w:left="60"/>
        <w:spacing w:after="0" w:line="235" w:lineRule="auto"/>
        <w:rPr>
          <w:sz w:val="20"/>
          <w:szCs w:val="20"/>
          <w:color w:val="auto"/>
        </w:rPr>
      </w:pPr>
      <w:r>
        <w:rPr>
          <w:rFonts w:ascii="Arial" w:cs="Arial" w:eastAsia="Arial" w:hAnsi="Arial"/>
          <w:sz w:val="18"/>
          <w:szCs w:val="18"/>
          <w:color w:val="auto"/>
        </w:rPr>
        <w:t>million, subject to our achievement of certain milestones, and the maturity date was extended to 2031. On the</w:t>
      </w:r>
    </w:p>
    <w:p>
      <w:pPr>
        <w:ind w:left="60"/>
        <w:spacing w:after="0" w:line="235" w:lineRule="auto"/>
        <w:rPr>
          <w:sz w:val="20"/>
          <w:szCs w:val="20"/>
          <w:color w:val="auto"/>
        </w:rPr>
      </w:pPr>
      <w:r>
        <w:rPr>
          <w:rFonts w:ascii="Arial" w:cs="Arial" w:eastAsia="Arial" w:hAnsi="Arial"/>
          <w:sz w:val="18"/>
          <w:szCs w:val="18"/>
          <w:color w:val="auto"/>
        </w:rPr>
        <w:t>closing date, we borrowed an additional $10.0 million under the Loan Agreement. We had $60.0 million in</w:t>
      </w:r>
    </w:p>
    <w:p>
      <w:pPr>
        <w:ind w:left="60"/>
        <w:spacing w:after="0"/>
        <w:rPr>
          <w:sz w:val="20"/>
          <w:szCs w:val="20"/>
          <w:color w:val="auto"/>
        </w:rPr>
      </w:pPr>
      <w:r>
        <w:rPr>
          <w:rFonts w:ascii="Arial" w:cs="Arial" w:eastAsia="Arial" w:hAnsi="Arial"/>
          <w:sz w:val="17"/>
          <w:szCs w:val="17"/>
          <w:color w:val="auto"/>
        </w:rPr>
        <w:t>outstanding Term Loans under the Loan Agreement as of March 31, 2026. The Term Loans require interest only</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payments through December 2029, followed by monthly principal and interest payments. A final payment of</w:t>
      </w:r>
    </w:p>
    <w:p>
      <w:pPr>
        <w:ind w:left="60"/>
        <w:spacing w:after="0" w:line="234" w:lineRule="auto"/>
        <w:rPr>
          <w:sz w:val="20"/>
          <w:szCs w:val="20"/>
          <w:color w:val="auto"/>
        </w:rPr>
      </w:pPr>
      <w:r>
        <w:rPr>
          <w:rFonts w:ascii="Arial" w:cs="Arial" w:eastAsia="Arial" w:hAnsi="Arial"/>
          <w:sz w:val="18"/>
          <w:szCs w:val="18"/>
          <w:color w:val="auto"/>
        </w:rPr>
        <w:t>$2.7 million, equal to 4.5% of the original borrowed principal, is due in May 2031. The Term Loans bear interest</w:t>
      </w:r>
    </w:p>
    <w:p>
      <w:pPr>
        <w:ind w:left="60"/>
        <w:spacing w:after="0" w:line="235" w:lineRule="auto"/>
        <w:rPr>
          <w:sz w:val="20"/>
          <w:szCs w:val="20"/>
          <w:color w:val="auto"/>
        </w:rPr>
      </w:pPr>
      <w:r>
        <w:rPr>
          <w:rFonts w:ascii="Arial" w:cs="Arial" w:eastAsia="Arial" w:hAnsi="Arial"/>
          <w:sz w:val="18"/>
          <w:szCs w:val="18"/>
          <w:color w:val="auto"/>
        </w:rPr>
        <w:t>at a floating rate per annum equal to the sum of (a) the greater of (i) the prime rate and (ii) 6.75%; plus (b)</w:t>
      </w:r>
    </w:p>
    <w:p>
      <w:pPr>
        <w:spacing w:after="0" w:line="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2.65%, which margin will decrease to 2.00% after we achieve a positive adjusted EBITDA for two consecutive quarters.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March 31, 2026.</w:t>
      </w:r>
    </w:p>
    <w:p>
      <w:pPr>
        <w:spacing w:after="0" w:line="169"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connection with the Loan Agreement, we recorded $2.2 million of debt issuance costs and discounts as a reduction of long-term debt.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2026</w:t>
            </w:r>
          </w:p>
        </w:tc>
      </w:tr>
      <w:tr>
        <w:trPr>
          <w:trHeight w:val="196"/>
        </w:trPr>
        <w:tc>
          <w:tcPr>
            <w:tcW w:w="7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41,250</w:t>
            </w:r>
          </w:p>
        </w:tc>
      </w:tr>
      <w:tr>
        <w:trPr>
          <w:trHeight w:val="203"/>
        </w:trPr>
        <w:tc>
          <w:tcPr>
            <w:tcW w:w="7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18,750</w:t>
            </w:r>
          </w:p>
        </w:tc>
      </w:tr>
      <w:tr>
        <w:trPr>
          <w:trHeight w:val="196"/>
        </w:trPr>
        <w:tc>
          <w:tcPr>
            <w:tcW w:w="7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r>
      <w:tr>
        <w:trPr>
          <w:trHeight w:val="202"/>
        </w:trPr>
        <w:tc>
          <w:tcPr>
            <w:tcW w:w="7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(1,510)</w:t>
            </w:r>
          </w:p>
        </w:tc>
      </w:tr>
      <w:tr>
        <w:trPr>
          <w:trHeight w:val="196"/>
        </w:trPr>
        <w:tc>
          <w:tcPr>
            <w:tcW w:w="7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58,490</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lease 35,183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On May 20, 2025, we further increased our office space by leasing an additional 3,678 square feet of the contiguous property. The term on this expanded property is for 40 consecutive months that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three years. The exercise of the lease renewal option is at our sole discretion and was not included in the lease term for the calculation of the ROU asset and lease liability, as it is not reasonably certain of exercise.</w:t>
      </w:r>
    </w:p>
    <w:p>
      <w:pPr>
        <w:spacing w:after="0" w:line="154"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2025</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center"/>
              <w:ind w:left="356"/>
              <w:spacing w:after="0"/>
              <w:rPr>
                <w:sz w:val="20"/>
                <w:szCs w:val="20"/>
                <w:color w:val="auto"/>
              </w:rPr>
            </w:pPr>
            <w:r>
              <w:rPr>
                <w:rFonts w:ascii="Arial" w:cs="Arial" w:eastAsia="Arial" w:hAnsi="Arial"/>
                <w:sz w:val="18"/>
                <w:szCs w:val="18"/>
                <w:color w:val="auto"/>
                <w:w w:val="99"/>
              </w:rPr>
              <w:t>793</w:t>
            </w:r>
          </w:p>
        </w:tc>
        <w:tc>
          <w:tcPr>
            <w:tcW w:w="4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left="356"/>
              <w:spacing w:after="0"/>
              <w:rPr>
                <w:sz w:val="20"/>
                <w:szCs w:val="20"/>
                <w:color w:val="auto"/>
              </w:rPr>
            </w:pPr>
            <w:r>
              <w:rPr>
                <w:rFonts w:ascii="Arial" w:cs="Arial" w:eastAsia="Arial" w:hAnsi="Arial"/>
                <w:sz w:val="18"/>
                <w:szCs w:val="18"/>
                <w:color w:val="auto"/>
                <w:w w:val="99"/>
              </w:rPr>
              <w:t>361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99"/>
              </w:rPr>
              <w:t>544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196"/>
        </w:trPr>
        <w:tc>
          <w:tcPr>
            <w:tcW w:w="662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3"/>
          </w:tcPr>
          <w:p>
            <w:pPr>
              <w:jc w:val="center"/>
              <w:ind w:left="356"/>
              <w:spacing w:after="0" w:line="196" w:lineRule="exact"/>
              <w:rPr>
                <w:sz w:val="20"/>
                <w:szCs w:val="20"/>
                <w:color w:val="auto"/>
              </w:rPr>
            </w:pPr>
            <w:r>
              <w:rPr>
                <w:rFonts w:ascii="Arial" w:cs="Arial" w:eastAsia="Arial" w:hAnsi="Arial"/>
                <w:sz w:val="18"/>
                <w:szCs w:val="18"/>
                <w:color w:val="auto"/>
                <w:w w:val="99"/>
              </w:rPr>
              <w:t>905</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990</w:t>
            </w:r>
          </w:p>
        </w:tc>
      </w:tr>
      <w:tr>
        <w:trPr>
          <w:trHeight w:val="20"/>
        </w:trPr>
        <w:tc>
          <w:tcPr>
            <w:tcW w:w="682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3"/>
        </w:trPr>
        <w:tc>
          <w:tcPr>
            <w:tcW w:w="7740" w:type="dxa"/>
            <w:vAlign w:val="bottom"/>
            <w:gridSpan w:val="7"/>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March 31, 2026: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1"/>
        </w:trPr>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2026</w:t>
            </w: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w:t>
            </w: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r>
      <w:tr>
        <w:trPr>
          <w:trHeight w:val="203"/>
        </w:trPr>
        <w:tc>
          <w:tcPr>
            <w:tcW w:w="66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Total undiscounted lease payments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985</w:t>
            </w: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6620" w:type="dxa"/>
            <w:vAlign w:val="bottom"/>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905</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As of March 31, 2026, the remaining lease term was 2.4 years, and the weighted average discount rate was 7.1%. The operating cash outflows from our operating lease were $0.2 million and $0.1 million for the three months ended March 31, 2026 and 2025.</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12"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We had common stock warrants exercisable for 102,718 shares of common stock upon conversion at a weighted average exercise price of $12.66 per share outstanding as of March 31, 2026 and December 31, 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At-the-Market (“ATM”) Offering</w:t>
      </w:r>
    </w:p>
    <w:p>
      <w:pPr>
        <w:spacing w:after="0" w:line="21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issued 543,462 shares of common stock for gross proceeds of $ 9.5 million under the ATM offering during the year ended December 31, 2025. On November 4, 2025, we and the agent mutually agreed to terminate the Equity Distribution Agreement for the ATM, effective on November 6, 2025.</w:t>
      </w:r>
    </w:p>
    <w:p>
      <w:pPr>
        <w:spacing w:after="0" w:line="148" w:lineRule="exact"/>
        <w:rPr>
          <w:sz w:val="20"/>
          <w:szCs w:val="20"/>
          <w:color w:val="auto"/>
        </w:rPr>
      </w:pPr>
    </w:p>
    <w:p>
      <w:pPr>
        <w:ind w:left="60" w:right="99"/>
        <w:spacing w:after="0" w:line="222" w:lineRule="auto"/>
        <w:rPr>
          <w:sz w:val="20"/>
          <w:szCs w:val="20"/>
          <w:color w:val="auto"/>
        </w:rPr>
      </w:pPr>
      <w:r>
        <w:rPr>
          <w:rFonts w:ascii="Arial" w:cs="Arial" w:eastAsia="Arial" w:hAnsi="Arial"/>
          <w:sz w:val="18"/>
          <w:szCs w:val="18"/>
          <w:color w:val="auto"/>
        </w:rPr>
        <w:t>On January 12, 2026, we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(the “Sale Agreement”) with Jefferies LLC, as agent. Pursuant to the terms of the Sale Agreement, we may offer and sell, from time to time at our sole discretion, shares of common stock having an aggregate offering price up to $50.0 million in an ATM offering, to or through the agent.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1,315,580 shares being reserved for issuance under the 2021 Plan as of January 1, 2026.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granted under the 2001 Plan following the adoption of the 2021 Plan.</w:t>
      </w:r>
    </w:p>
    <w:p>
      <w:pPr>
        <w:spacing w:after="0" w:line="18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As of March 31, 2026, there were 539,390 shares available for future issuance under the 2021 Plan, based on awards outstanding and reserved at target levels for PSUs. In connection with the PSUs granted during 2026, we evaluated the number of shares that could be issued assuming maximum achievement of the applicable performance conditions. If PSUs are reserved at the maximum payout level, the number of shares subject to outstanding awards could exceed the shares available under the plan as of March 31, 2026. We expect that we will have sufficient shares available for issuance under the 2021 Plan to satisfy these awards as a result of future automatic annual increases pursuant to the terms of the plan prior to the end of the performance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Options are granted at exercise prices not less than the fair market value of our common stock on the date of grant. Prior to our initial public offering (the “IPO”), the fair market value of our common stock was determined by our Board of Directors, and following our IPO, the fair market value of our common stock is based on the closing price of our common stock on the date of grant.</w:t>
      </w:r>
    </w:p>
    <w:p>
      <w:pPr>
        <w:spacing w:after="0" w:line="16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years 2008 through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73"/>
        </w:trPr>
        <w:tc>
          <w:tcPr>
            <w:tcW w:w="4040" w:type="dxa"/>
            <w:vAlign w:val="bottom"/>
          </w:tcPr>
          <w:p>
            <w:pPr>
              <w:spacing w:after="0"/>
              <w:rPr>
                <w:sz w:val="23"/>
                <w:szCs w:val="23"/>
                <w:color w:val="auto"/>
              </w:rPr>
            </w:pPr>
          </w:p>
        </w:tc>
        <w:tc>
          <w:tcPr>
            <w:tcW w:w="2320" w:type="dxa"/>
            <w:vAlign w:val="bottom"/>
            <w:gridSpan w:val="3"/>
          </w:tcPr>
          <w:p>
            <w:pPr>
              <w:jc w:val="right"/>
              <w:ind w:right="1140"/>
              <w:spacing w:after="0"/>
              <w:rPr>
                <w:sz w:val="20"/>
                <w:szCs w:val="20"/>
                <w:color w:val="auto"/>
              </w:rPr>
            </w:pPr>
            <w:r>
              <w:rPr>
                <w:rFonts w:ascii="Arial" w:cs="Arial" w:eastAsia="Arial" w:hAnsi="Arial"/>
                <w:sz w:val="20"/>
                <w:szCs w:val="20"/>
                <w:b w:val="1"/>
                <w:bCs w:val="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center"/>
              <w:ind w:right="83"/>
              <w:spacing w:after="0"/>
              <w:rPr>
                <w:sz w:val="20"/>
                <w:szCs w:val="20"/>
                <w:color w:val="auto"/>
              </w:rPr>
            </w:pPr>
            <w:r>
              <w:rPr>
                <w:rFonts w:ascii="Arial" w:cs="Arial" w:eastAsia="Arial" w:hAnsi="Arial"/>
                <w:sz w:val="14"/>
                <w:szCs w:val="14"/>
                <w:b w:val="1"/>
                <w:bCs w:val="1"/>
                <w:color w:val="auto"/>
              </w:rPr>
              <w:t>Weighted</w:t>
            </w:r>
          </w:p>
        </w:tc>
        <w:tc>
          <w:tcPr>
            <w:tcW w:w="38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83"/>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83"/>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5,834,448</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6"/>
                <w:szCs w:val="16"/>
                <w:color w:val="auto"/>
              </w:rPr>
              <w:t>Granted</w:t>
            </w:r>
          </w:p>
        </w:tc>
        <w:tc>
          <w:tcPr>
            <w:tcW w:w="2280" w:type="dxa"/>
            <w:vAlign w:val="bottom"/>
            <w:gridSpan w:val="2"/>
          </w:tcPr>
          <w:p>
            <w:pPr>
              <w:jc w:val="right"/>
              <w:spacing w:after="0"/>
              <w:rPr>
                <w:sz w:val="20"/>
                <w:szCs w:val="20"/>
                <w:color w:val="auto"/>
              </w:rPr>
            </w:pPr>
            <w:r>
              <w:rPr>
                <w:rFonts w:ascii="Arial" w:cs="Arial" w:eastAsia="Arial" w:hAnsi="Arial"/>
                <w:sz w:val="16"/>
                <w:szCs w:val="16"/>
                <w:color w:val="auto"/>
              </w:rPr>
              <w:t>1,055,100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 / Forfeited</w:t>
            </w:r>
          </w:p>
        </w:tc>
        <w:tc>
          <w:tcPr>
            <w:tcW w:w="2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(53,549)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320" w:type="dxa"/>
            <w:vAlign w:val="bottom"/>
            <w:gridSpan w:val="3"/>
          </w:tcPr>
          <w:p>
            <w:pPr>
              <w:jc w:val="right"/>
              <w:ind w:right="40"/>
              <w:spacing w:after="0"/>
              <w:rPr>
                <w:sz w:val="20"/>
                <w:szCs w:val="20"/>
                <w:color w:val="auto"/>
              </w:rPr>
            </w:pPr>
            <w:r>
              <w:rPr>
                <w:rFonts w:ascii="Arial" w:cs="Arial" w:eastAsia="Arial" w:hAnsi="Arial"/>
                <w:sz w:val="16"/>
                <w:szCs w:val="16"/>
                <w:color w:val="auto"/>
              </w:rPr>
              <w:t>(36,500)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4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March 31, 2026</w:t>
            </w:r>
          </w:p>
        </w:tc>
        <w:tc>
          <w:tcPr>
            <w:tcW w:w="11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6,799,499</w:t>
            </w:r>
          </w:p>
        </w:tc>
        <w:tc>
          <w:tcPr>
            <w:tcW w:w="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11.41</w:t>
            </w:r>
          </w:p>
        </w:tc>
        <w:tc>
          <w:tcPr>
            <w:tcW w:w="38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Options exercisable as of March 31, 2026</w:t>
            </w:r>
          </w:p>
        </w:tc>
        <w:tc>
          <w:tcPr>
            <w:tcW w:w="116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11.54</w:t>
            </w: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4,002,540</w:t>
            </w:r>
          </w:p>
        </w:tc>
        <w:tc>
          <w:tcPr>
            <w:tcW w:w="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As of March 31, 2026, stock options outstanding included 4,363 options that were not granted under the 2001 Plan or the 2021 Plan. For options outstanding as of March 31, 2026, the weighted average remaining contractual life was 6.8 years. For options exercisable as of March 31, 2026, the weighted average remaining contractual life was 5.4 years. As of March 31, 2026, unrecognized compensation expense related to unvested stock-based compensation arrangements for stock options was $22.4 million. As of March 31, 2026, the related weighted average period over which the expense is expected to be recognized is approximately 2.8 years.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RSUs are share awards that entitle the holder to receive freely tradable shares of our common stock upon vesting. The RSUs cannot be transferred and the awards are subject to forfeiture if the holder’s service terminates prior to vesting other than for death, disability, or other qualifying terminations.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RSU activity:</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73"/>
        </w:trPr>
        <w:tc>
          <w:tcPr>
            <w:tcW w:w="4120" w:type="dxa"/>
            <w:vAlign w:val="bottom"/>
          </w:tcPr>
          <w:p>
            <w:pPr>
              <w:spacing w:after="0"/>
              <w:rPr>
                <w:sz w:val="23"/>
                <w:szCs w:val="23"/>
                <w:color w:val="auto"/>
              </w:rPr>
            </w:pPr>
          </w:p>
        </w:tc>
        <w:tc>
          <w:tcPr>
            <w:tcW w:w="2240" w:type="dxa"/>
            <w:vAlign w:val="bottom"/>
            <w:gridSpan w:val="3"/>
          </w:tcPr>
          <w:p>
            <w:pPr>
              <w:jc w:val="right"/>
              <w:ind w:right="1140"/>
              <w:spacing w:after="0"/>
              <w:rPr>
                <w:sz w:val="20"/>
                <w:szCs w:val="20"/>
                <w:color w:val="auto"/>
              </w:rPr>
            </w:pPr>
            <w:r>
              <w:rPr>
                <w:rFonts w:ascii="Arial" w:cs="Arial" w:eastAsia="Arial" w:hAnsi="Arial"/>
                <w:sz w:val="20"/>
                <w:szCs w:val="20"/>
                <w:b w:val="1"/>
                <w:bCs w:val="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center"/>
              <w:ind w:right="83"/>
              <w:spacing w:after="0"/>
              <w:rPr>
                <w:sz w:val="20"/>
                <w:szCs w:val="20"/>
                <w:color w:val="auto"/>
              </w:rPr>
            </w:pPr>
            <w:r>
              <w:rPr>
                <w:rFonts w:ascii="Arial" w:cs="Arial" w:eastAsia="Arial" w:hAnsi="Arial"/>
                <w:sz w:val="14"/>
                <w:szCs w:val="14"/>
                <w:b w:val="1"/>
                <w:bCs w:val="1"/>
                <w:color w:val="auto"/>
              </w:rPr>
              <w:t>Weighted</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83"/>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23"/>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RSUs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2025</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383,268</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color w:val="auto"/>
              </w:rPr>
              <w:t>Granted</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622,555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(80,660)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color w:val="auto"/>
              </w:rPr>
              <w:t>Cancelled / Forfeited</w:t>
            </w:r>
          </w:p>
        </w:tc>
        <w:tc>
          <w:tcPr>
            <w:tcW w:w="2240" w:type="dxa"/>
            <w:vAlign w:val="bottom"/>
            <w:gridSpan w:val="3"/>
          </w:tcPr>
          <w:p>
            <w:pPr>
              <w:jc w:val="right"/>
              <w:ind w:right="40"/>
              <w:spacing w:after="0"/>
              <w:rPr>
                <w:sz w:val="20"/>
                <w:szCs w:val="20"/>
                <w:color w:val="auto"/>
              </w:rPr>
            </w:pPr>
            <w:r>
              <w:rPr>
                <w:rFonts w:ascii="Arial" w:cs="Arial" w:eastAsia="Arial" w:hAnsi="Arial"/>
                <w:sz w:val="16"/>
                <w:szCs w:val="16"/>
                <w:color w:val="auto"/>
              </w:rPr>
              <w:t>(2,865)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Unvested Balance as of March 31, 2026</w:t>
            </w:r>
          </w:p>
        </w:tc>
        <w:tc>
          <w:tcPr>
            <w:tcW w:w="10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922,298</w:t>
            </w:r>
          </w:p>
        </w:tc>
        <w:tc>
          <w:tcPr>
            <w:tcW w:w="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9.37</w:t>
            </w:r>
          </w:p>
        </w:tc>
        <w:tc>
          <w:tcPr>
            <w:tcW w:w="38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The aggregate intrinsic value of unvested RSUs is based on our closing stock price on the last trading day of the period. 80,660 RSUs were vested as of March 31, 2026. As of March 31, 2026, the unrecognized compensation expense related to unvested stock-based compensation arrangements for RSUs was $8.4 million. As of March 31, 2026, the related weighted average period over which the expense is expected to be recognized is approximately 3.6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Stock Units</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grant PSUs to officers and key employees. The number of PSUs that will ultimately be earned is based on our performance relative to pre-established performance goals for the respective performance period. The expense is recorded on a straight-line basis over the requisite performance and service periods based on an estimate of the number of PSUs expected to vest. Management expectations related to the achievement of the performance goals associated with PSU grants are assessed each reporting period. The number of PSUs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earned at the end of the performance period ranges from 0% to 200% of the number of PSU’s granted. The PSUs cannot be transferred and the awards are subject to forfeiture if the holder’s service terminates prior to vesting other than for death, disability, or other qualifying terminations.</w:t>
      </w:r>
    </w:p>
    <w:p>
      <w:pPr>
        <w:spacing w:after="0" w:line="169"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If the performance conditions are not met or not expected to be met, any compensation expense recognized associated with the grant will be reversed.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PSU activity:</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73"/>
        </w:trPr>
        <w:tc>
          <w:tcPr>
            <w:tcW w:w="4120" w:type="dxa"/>
            <w:vAlign w:val="bottom"/>
          </w:tcPr>
          <w:p>
            <w:pPr>
              <w:spacing w:after="0"/>
              <w:rPr>
                <w:sz w:val="23"/>
                <w:szCs w:val="23"/>
                <w:color w:val="auto"/>
              </w:rPr>
            </w:pPr>
          </w:p>
        </w:tc>
        <w:tc>
          <w:tcPr>
            <w:tcW w:w="2200" w:type="dxa"/>
            <w:vAlign w:val="bottom"/>
            <w:gridSpan w:val="2"/>
          </w:tcPr>
          <w:p>
            <w:pPr>
              <w:jc w:val="right"/>
              <w:ind w:right="1023"/>
              <w:spacing w:after="0"/>
              <w:rPr>
                <w:sz w:val="20"/>
                <w:szCs w:val="20"/>
                <w:color w:val="auto"/>
              </w:rPr>
            </w:pPr>
            <w:r>
              <w:rPr>
                <w:rFonts w:ascii="Arial" w:cs="Arial" w:eastAsia="Arial" w:hAnsi="Arial"/>
                <w:sz w:val="20"/>
                <w:szCs w:val="20"/>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center"/>
              <w:ind w:right="63"/>
              <w:spacing w:after="0"/>
              <w:rPr>
                <w:sz w:val="20"/>
                <w:szCs w:val="20"/>
                <w:color w:val="auto"/>
              </w:rPr>
            </w:pPr>
            <w:r>
              <w:rPr>
                <w:rFonts w:ascii="Arial" w:cs="Arial" w:eastAsia="Arial" w:hAnsi="Arial"/>
                <w:sz w:val="14"/>
                <w:szCs w:val="14"/>
                <w:b w:val="1"/>
                <w:bCs w:val="1"/>
                <w:color w:val="auto"/>
              </w:rPr>
              <w:t>Weighted</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23"/>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PSUs</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2025</w:t>
            </w: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color w:val="auto"/>
              </w:rPr>
              <w:t>Granted</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602,000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 / Forfeited</w:t>
            </w:r>
          </w:p>
        </w:tc>
        <w:tc>
          <w:tcPr>
            <w:tcW w:w="10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Unvested Balance as of March 31, 2026</w:t>
            </w:r>
          </w:p>
        </w:tc>
        <w:tc>
          <w:tcPr>
            <w:tcW w:w="10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602,000</w:t>
            </w:r>
          </w:p>
        </w:tc>
        <w:tc>
          <w:tcPr>
            <w:tcW w:w="3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8.16</w:t>
            </w:r>
          </w:p>
        </w:tc>
        <w:tc>
          <w:tcPr>
            <w:tcW w:w="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5,695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The aggregate intrinsic value of unvested PSUs is based on our closing stock price on the last trading day of the period. As of March 31, 2026, there was $4.7 million of unrecognized stock-based compensation expense related to outstanding PSUs that is expected to be recognized over a weighted-average period of 2.3 years.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No annual increase was made to the shares reserved for issuance under the ESPP as of January 1, 2026.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three months ended March 31, 2026, there were no shares of common stock purchased under the ESPP. As of March 31, 2026, there were 737,396 shares available for issuance under the ESPP.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use the Black-Scholes option pricing model to determine the fair value of stock options and ESPP purchase rights on the grant date. The fair values of RSUs and PSUs are determined based on the closing stock price of our common stock on the grant date. We measure stock-based compensation expense based on the grant date fair value of the award and recognize compensation expense over the requisite service period, which is generally the vesting period for stock options, RSUs, and PSUs, and the offering period for ESPP purchase rights. The amount of stock-based compensation expense recognized for stock option, RSU and PSU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following table provides the weighted average fair value of options granted to employees and the related assumptions used in the Black-Scholes option pricing model for the three months ended March 31, 2026 and 2025:</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920" w:type="dxa"/>
            <w:vAlign w:val="bottom"/>
            <w:gridSpan w:val="2"/>
          </w:tcPr>
          <w:p>
            <w:pPr>
              <w:jc w:val="right"/>
              <w:ind w:right="759"/>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49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6.50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10.44</w:t>
            </w:r>
          </w:p>
        </w:tc>
        <w:tc>
          <w:tcPr>
            <w:tcW w:w="160" w:type="dxa"/>
            <w:vAlign w:val="bottom"/>
            <w:shd w:val="clear" w:color="auto" w:fill="CCEE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5.5 to 6.1</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3500" w:type="dxa"/>
            <w:vAlign w:val="bottom"/>
          </w:tcPr>
          <w:p>
            <w:pPr>
              <w:jc w:val="right"/>
              <w:spacing w:after="0"/>
              <w:rPr>
                <w:sz w:val="20"/>
                <w:szCs w:val="20"/>
                <w:color w:val="auto"/>
              </w:rPr>
            </w:pPr>
            <w:r>
              <w:rPr>
                <w:rFonts w:ascii="Arial" w:cs="Arial" w:eastAsia="Arial" w:hAnsi="Arial"/>
                <w:sz w:val="18"/>
                <w:szCs w:val="18"/>
                <w:color w:val="auto"/>
              </w:rPr>
              <w:t>98.5% to 99.1 %</w:t>
            </w:r>
          </w:p>
        </w:tc>
        <w:tc>
          <w:tcPr>
            <w:tcW w:w="1400" w:type="dxa"/>
            <w:vAlign w:val="bottom"/>
          </w:tcPr>
          <w:p>
            <w:pPr>
              <w:jc w:val="right"/>
              <w:spacing w:after="0"/>
              <w:rPr>
                <w:sz w:val="20"/>
                <w:szCs w:val="20"/>
                <w:color w:val="auto"/>
              </w:rPr>
            </w:pPr>
            <w:r>
              <w:rPr>
                <w:rFonts w:ascii="Arial" w:cs="Arial" w:eastAsia="Arial" w:hAnsi="Arial"/>
                <w:sz w:val="18"/>
                <w:szCs w:val="18"/>
                <w:color w:val="auto"/>
              </w:rPr>
              <w:t>95.0% to 96.5 %</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tcPr>
          <w:p>
            <w:pPr>
              <w:jc w:val="right"/>
              <w:spacing w:after="0"/>
              <w:rPr>
                <w:sz w:val="20"/>
                <w:szCs w:val="20"/>
                <w:color w:val="auto"/>
              </w:rPr>
            </w:pPr>
            <w:r>
              <w:rPr>
                <w:rFonts w:ascii="Arial" w:cs="Arial" w:eastAsia="Arial" w:hAnsi="Arial"/>
                <w:sz w:val="18"/>
                <w:szCs w:val="18"/>
                <w:color w:val="auto"/>
              </w:rPr>
              <w:t>3.72% to 4.11 %</w:t>
            </w:r>
          </w:p>
        </w:tc>
        <w:tc>
          <w:tcPr>
            <w:tcW w:w="1400" w:type="dxa"/>
            <w:vAlign w:val="bottom"/>
          </w:tcPr>
          <w:p>
            <w:pPr>
              <w:jc w:val="right"/>
              <w:spacing w:after="0"/>
              <w:rPr>
                <w:sz w:val="20"/>
                <w:szCs w:val="20"/>
                <w:color w:val="auto"/>
              </w:rPr>
            </w:pPr>
            <w:r>
              <w:rPr>
                <w:rFonts w:ascii="Arial" w:cs="Arial" w:eastAsia="Arial" w:hAnsi="Arial"/>
                <w:sz w:val="18"/>
                <w:szCs w:val="18"/>
                <w:color w:val="auto"/>
              </w:rPr>
              <w:t>4.09% to 4.47 %</w:t>
            </w:r>
          </w:p>
        </w:tc>
      </w:tr>
    </w:tbl>
    <w:p>
      <w:pPr>
        <w:spacing w:after="0" w:line="363"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 following table provides the weighted average fair value of ESPP purchase rights and the related assumptions used in the Black-Scholes option pricing model for the three months ended March 31, 2026 and 2025:</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5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7"/>
                <w:szCs w:val="17"/>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fair value per ESPP purchase right</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61.1 %</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112.3 %</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3.58 %</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4.25 %</w:t>
            </w:r>
          </w:p>
        </w:tc>
      </w:tr>
    </w:tbl>
    <w:p>
      <w:pPr>
        <w:spacing w:after="0" w:line="18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review these assumptions on a periodic basis and adjust them, as necessary. We utilize the simplified method to develop the estimate of the expected term for stock option awards and ESPP purchase rights. The expected volatility is based upon our historical stock price.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spacing w:after="0" w:line="176"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780" w:type="dxa"/>
            <w:vAlign w:val="bottom"/>
          </w:tcPr>
          <w:p>
            <w:pPr>
              <w:spacing w:after="0"/>
              <w:rPr>
                <w:sz w:val="14"/>
                <w:szCs w:val="14"/>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Borders>
              <w:bottom w:val="single" w:sz="8" w:color="auto"/>
            </w:tcBorders>
            <w:vMerge w:val="continue"/>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2026</w:t>
            </w:r>
          </w:p>
        </w:tc>
        <w:tc>
          <w:tcPr>
            <w:tcW w:w="2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w:t>
            </w:r>
          </w:p>
        </w:tc>
        <w:tc>
          <w:tcPr>
            <w:tcW w:w="2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RSUs</w:t>
            </w: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PSUs</w:t>
            </w:r>
          </w:p>
        </w:tc>
        <w:tc>
          <w:tcPr>
            <w:tcW w:w="2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7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2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2,916</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320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2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2,916</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780" w:type="dxa"/>
            <w:vAlign w:val="bottom"/>
            <w:vMerge w:val="restart"/>
          </w:tcPr>
          <w:p>
            <w:pPr>
              <w:jc w:val="right"/>
              <w:ind w:right="197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8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8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As of March 31, 2026 and December 31, 2025, a valuation allowance was recorded against all deferred tax assets due to our cumulative net loss position. Provision for income taxes for the three months ended March 31, 2026 was $1,000 and benefit for income taxes for the three months ended March 31, 2025 was $5,000.</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of December 31, 2025, we had federal and state net operating loss carryforwards (“NOLs”) of approximately $483.7 million and $9.7 million, respectively. The federal NOLs began expiring in 2021 and the state NOLs began expiring in 2020. As of December 31, 2025, we had federal and state tax credit carryforwards of approximately $10.3 million and $ 1.9 million, respectively. The federal tax credit carryforwards began expiring in 2021 and the state tax credits will begin expiring in 2028.</w:t>
      </w:r>
    </w:p>
    <w:p>
      <w:pPr>
        <w:spacing w:after="0" w:line="1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July 4, 2025, the One Big Beautiful Bill Act (“OBBBA”) was enacted in the U.S. The OBBBA includes significant tax-related provisions, such as the permanent extension of certain expiring provisions of the Tax Cuts and Jobs Act, modifications to the international tax framework, and the restoration of favorable tax treatment for certain business provisions, including the deduction of certain R&amp;D costs. The legislation has multiple effective dates, with certain provisions effective in 2025 and others implemented through 2027. The impacts of the OBBBA were taken into account in our provision for income taxes for fiscal year 2025. Because a valuation allowance has been recorded against all deferred tax assets, the impacts of the OBBBA were not material to our consolidated financial statements or related disclosures.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2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2026</w:t>
            </w:r>
          </w:p>
        </w:tc>
        <w:tc>
          <w:tcPr>
            <w:tcW w:w="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(13,120)</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(13,766)</w:t>
            </w:r>
          </w:p>
        </w:tc>
        <w:tc>
          <w:tcPr>
            <w:tcW w:w="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2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26,355,591</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25,876,062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3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(0.50)</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(0.53)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436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6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6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potentially dilutive securities, which include stock options, RSUs, PSUs,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900" w:type="dxa"/>
            <w:vAlign w:val="bottom"/>
            <w:gridSpan w:val="2"/>
          </w:tcPr>
          <w:p>
            <w:pPr>
              <w:ind w:left="6760"/>
              <w:spacing w:after="0"/>
              <w:rPr>
                <w:sz w:val="20"/>
                <w:szCs w:val="20"/>
                <w:color w:val="auto"/>
              </w:rPr>
            </w:pPr>
            <w:r>
              <w:rPr>
                <w:rFonts w:ascii="Arial" w:cs="Arial" w:eastAsia="Arial" w:hAnsi="Arial"/>
                <w:sz w:val="14"/>
                <w:szCs w:val="14"/>
                <w:b w:val="1"/>
                <w:bCs w:val="1"/>
                <w:color w:val="auto"/>
              </w:rPr>
              <w:t>​​​</w:t>
            </w:r>
          </w:p>
        </w:tc>
        <w:tc>
          <w:tcPr>
            <w:tcW w:w="200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217"/>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w:t>
            </w: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6,799,499</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5,987,007</w:t>
            </w: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RSUs</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922,298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334,128</w:t>
            </w:r>
          </w:p>
        </w:tc>
      </w:tr>
      <w:tr>
        <w:trPr>
          <w:trHeight w:val="203"/>
        </w:trPr>
        <w:tc>
          <w:tcPr>
            <w:tcW w:w="6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PSUs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602,000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Warrants</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102,718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103,349</w:t>
            </w:r>
          </w:p>
        </w:tc>
      </w:tr>
      <w:tr>
        <w:trPr>
          <w:trHeight w:val="196"/>
        </w:trPr>
        <w:tc>
          <w:tcPr>
            <w:tcW w:w="68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8,426,515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6,424,484</w:t>
            </w:r>
          </w:p>
        </w:tc>
      </w:tr>
      <w:tr>
        <w:trPr>
          <w:trHeight w:val="20"/>
        </w:trPr>
        <w:tc>
          <w:tcPr>
            <w:tcW w:w="6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March 31, 2026 or December 31, 2025.</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$0.4 million and $0.3 million for the three months ended March 31, 2026 and 2025,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1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have determined that we have a single reportable and operating segment structure. We have one business activity and there are no segment managers who are held accountable for operations, operating results, or plans for levels or components below the consolidated unit level. Our chief operating decision maker is our Chief Executive Officer. Our Chief Executive Officer evaluates performance based primarily on revenue in the geographic locations in which we operate and consolidated net loss. The Chief Executive Officer reviews financial information presented on a consolidated basis, including consolidated net loss, accompanied by information about revenue by geographic region, for purposes of allocating resources and evaluating financial performance. Further, the financial information on expenses provided to the Chief Executive Officer is presented on a consolidated basis, as reported in the condensed consolidated statements of operations and comprehensive loss in this Quarterly Report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We derive all our revenues from sales to customers in Europe and the U.S. The following table provides revenue by country for each location accounting for more than 10% of the total revenue for the periods indicated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w:t>
            </w:r>
          </w:p>
        </w:tc>
        <w:tc>
          <w:tcPr>
            <w:tcW w:w="202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860" w:type="dxa"/>
            <w:vAlign w:val="bottom"/>
          </w:tcPr>
          <w:p>
            <w:pPr>
              <w:spacing w:after="0"/>
              <w:rPr>
                <w:sz w:val="14"/>
                <w:szCs w:val="14"/>
                <w:color w:val="auto"/>
              </w:rPr>
            </w:pPr>
          </w:p>
        </w:tc>
        <w:tc>
          <w:tcPr>
            <w:tcW w:w="3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rPr>
              <w:t>March 31,</w:t>
            </w:r>
          </w:p>
        </w:tc>
        <w:tc>
          <w:tcPr>
            <w:tcW w:w="720" w:type="dxa"/>
            <w:vAlign w:val="bottom"/>
          </w:tcPr>
          <w:p>
            <w:pPr>
              <w:spacing w:after="0"/>
              <w:rPr>
                <w:sz w:val="14"/>
                <w:szCs w:val="14"/>
                <w:color w:val="auto"/>
              </w:rPr>
            </w:pPr>
          </w:p>
        </w:tc>
      </w:tr>
      <w:tr>
        <w:trPr>
          <w:trHeight w:val="156"/>
        </w:trPr>
        <w:tc>
          <w:tcPr>
            <w:tcW w:w="38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top w:val="single" w:sz="8" w:color="auto"/>
            </w:tcBorders>
            <w:gridSpan w:val="2"/>
          </w:tcPr>
          <w:p>
            <w:pPr>
              <w:jc w:val="center"/>
              <w:ind w:right="13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3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2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13,650</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11,202</w:t>
            </w:r>
          </w:p>
        </w:tc>
      </w:tr>
      <w:tr>
        <w:trPr>
          <w:trHeight w:val="203"/>
        </w:trPr>
        <w:tc>
          <w:tcPr>
            <w:tcW w:w="3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1,119</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1,146</w:t>
            </w:r>
          </w:p>
        </w:tc>
      </w:tr>
      <w:tr>
        <w:trPr>
          <w:trHeight w:val="196"/>
        </w:trPr>
        <w:tc>
          <w:tcPr>
            <w:tcW w:w="38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14,769</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12,348</w:t>
            </w:r>
          </w:p>
        </w:tc>
      </w:tr>
      <w:tr>
        <w:trPr>
          <w:trHeight w:val="20"/>
        </w:trPr>
        <w:tc>
          <w:tcPr>
            <w:tcW w:w="3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2026 and December 31, 2025, substantially all our long-lived assets were located in the U.S.</w:t>
      </w:r>
    </w:p>
    <w:p>
      <w:pPr>
        <w:spacing w:after="0" w:line="188"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and advanced practice providers who treat HFrEF about the advantages of Barostim and train them on the implant procedure.</w:t>
      </w:r>
    </w:p>
    <w:p>
      <w:pPr>
        <w:spacing w:after="0" w:line="18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 Centers for Medicare and Medicaid Services while simultaneously developing processes to engage commercial payers. All Medicare Administrative Contractors have retired their official automatic coverage denial policies for our Current Procedural Terminology (“CPT”) codes, thereby allowing hospitals to submit payment requests for the Barostim procedure to be adjudicated on a claim-by-claim basis. Our reimbursement strategy involves continuing to broaden our current coverage and build our in-house market access team to obtain appropriate prior authorization approvals in advance of</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spacing w:after="0" w:line="163"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6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October 31, 2022, we entered into the Loan Agreement allowing borrowing, subject to our achievement of certain milestones, up to a total of $50.0 million in a series of Term Loans described in Note 4 to our condensed consolidated financial statements included elsewhere in this Quarterly Report on Form 10-Q. On January 9, 2026, we entered into an Amendment to our existing Loan Agreement. Pursuant to the Amendment, the terms loans available were increased by $50.0 million, to an aggregate principal amount of up to $100.0 million, subject to our achievement of certain milestones, and the maturity date was extended to 2031. We had $60.0 million in outstanding Term Loans under the Loan Agreement as of March 31, 2026.</w:t>
      </w:r>
    </w:p>
    <w:p>
      <w:pPr>
        <w:spacing w:after="0" w:line="185"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As a result of the planned investments to fund our commercialization efforts, we expect to continue to incur net losses for the next several years, which may require additional funding and could include future equity and debt financing.</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previously disclosed, the Category I CPT codes for Baroreflex Activation Therapy using our Barostim device replaced Category III codes as of January 1, 2026, which eliminates the automatic denials regularly seen with Category III codes and improves prior authorization predictability to fairly pay physicians for the procedure. Early data in 2026 showed an increase in the 30-day approval rate for Medicare Advantage prior authorizations managed by our in-house market access team. At the same time that payers were incorporating this coding change, other regulatory changes took effect January 1, 2026 that accelerated the deadline for Medicare Advantage payers to respond to prior authorization requests. We believe this caused Medicare Advantage payers to respond with a higher rate of initial denials as the quarter progressed, which slowed the 30-day approval rate for March 2026. As a result, the 30-day approval rate for Medicare Advantage prior authorizations managed by our in-house market access team increased from 31% in 2024 to 44% in 2025 and to 46% for the first quarter of 2026. We expect the overall approval rate to continue to increase, although the speed of approval may be temporarily delayed.</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November 2025, the FDA granted an investigational device exemption (“IDE”) study designed as a prospective, multi-center, randomized controlled trial to evaluate the Barostim device’s impact on all-cause mortality and HF decompensation events in an expanded population of HF patients. In January 2026, we initiated the trial, supported by CMS Category B IDE coverage. We expect to begin enrolling the trial across approximately 150 centers in the first half of 2026 and complete enrollment within five years. The trial provides for a two-year follow-up period, resulting in the expected conclusion of the trial in five to seven years. On March 31, 2026, the first site was activated in the BENEFIT-HF trial and the first patient was enrolled in the second quarter of 2026.</w:t>
      </w:r>
    </w:p>
    <w:p>
      <w:pPr>
        <w:spacing w:after="0" w:line="180" w:lineRule="exact"/>
        <w:rPr>
          <w:sz w:val="20"/>
          <w:szCs w:val="20"/>
          <w:color w:val="auto"/>
        </w:rPr>
      </w:pPr>
    </w:p>
    <w:p>
      <w:pPr>
        <w:ind w:left="60" w:right="399"/>
        <w:spacing w:after="0" w:line="301" w:lineRule="auto"/>
        <w:rPr>
          <w:sz w:val="20"/>
          <w:szCs w:val="20"/>
          <w:color w:val="auto"/>
        </w:rPr>
      </w:pPr>
      <w:r>
        <w:rPr>
          <w:rFonts w:ascii="Arial" w:cs="Arial" w:eastAsia="Arial" w:hAnsi="Arial"/>
          <w:sz w:val="17"/>
          <w:szCs w:val="17"/>
          <w:color w:val="auto"/>
        </w:rPr>
        <w:t>On January 9, 2026, we entered into an Amendment to our existing Loan Agreement. Pursuant to the Amendment, the terms loans available were increased by $50.0 million, to an aggregate principal amount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up to $100.0 million, subject to our achievement of certain milestones, and the maturity date was extended to 2031. On the closing date, we borrowed an additional $10.0 million under the Loan Agreement.</w:t>
      </w:r>
    </w:p>
    <w:p>
      <w:pPr>
        <w:spacing w:after="0" w:line="154"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On January 12, 2026, we entered into the Sale Agreement with Jefferies LLC, as agent. Pursuant to the terms of the Sale Agreement, we may offer and sell, from time to time at our sole discretion, shares of common stock having an aggregate offering price up to $50.0 million in an ATM offering, to or through the agent.</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Continuing to develop and disseminate clinical evidence supporting the benefits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payers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7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56" w:lineRule="auto"/>
        <w:rPr>
          <w:sz w:val="20"/>
          <w:szCs w:val="20"/>
          <w:color w:val="auto"/>
        </w:rPr>
      </w:pPr>
      <w:r>
        <w:rPr>
          <w:rFonts w:ascii="Arial" w:cs="Arial" w:eastAsia="Arial" w:hAnsi="Arial"/>
          <w:sz w:val="17"/>
          <w:szCs w:val="17"/>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or modified products and adopt new manufacturing processes and technologies.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1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Benefit (provision)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29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March 31, 2026, compared to the three months ended March 31, 2025</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6"/>
          </w:tcPr>
          <w:p>
            <w:pPr>
              <w:jc w:val="center"/>
              <w:ind w:right="92"/>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420" w:type="dxa"/>
            <w:vAlign w:val="bottom"/>
            <w:gridSpan w:val="3"/>
          </w:tcPr>
          <w:p>
            <w:pPr>
              <w:jc w:val="right"/>
              <w:ind w:right="17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center"/>
              <w:ind w:left="375"/>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274"/>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3"/>
                <w:szCs w:val="13"/>
                <w:color w:val="auto"/>
              </w:rPr>
            </w:pPr>
          </w:p>
        </w:tc>
        <w:tc>
          <w:tcPr>
            <w:tcW w:w="380" w:type="dxa"/>
            <w:vAlign w:val="bottom"/>
            <w:gridSpan w:val="3"/>
          </w:tcPr>
          <w:p>
            <w:pPr>
              <w:jc w:val="center"/>
              <w:ind w:right="130"/>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14,769</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12,348</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1,888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2,036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12,881</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10,312</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540" w:type="dxa"/>
            <w:vAlign w:val="bottom"/>
          </w:tcPr>
          <w:p>
            <w:pPr>
              <w:ind w:left="340"/>
              <w:spacing w:after="0" w:line="196" w:lineRule="exact"/>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60" w:type="dxa"/>
            <w:vAlign w:val="bottom"/>
            <w:gridSpan w:val="3"/>
          </w:tcPr>
          <w:p>
            <w:pPr>
              <w:jc w:val="right"/>
              <w:ind w:right="28"/>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3"/>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3,084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2,517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21,958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25,042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23,749</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(12,161)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(13,437)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(13,119)</w:t>
            </w: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(13,771)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652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340"/>
              <w:spacing w:after="0"/>
              <w:rPr>
                <w:sz w:val="20"/>
                <w:szCs w:val="20"/>
                <w:color w:val="auto"/>
              </w:rPr>
            </w:pPr>
            <w:r>
              <w:rPr>
                <w:rFonts w:ascii="Arial" w:cs="Arial" w:eastAsia="Arial" w:hAnsi="Arial"/>
                <w:sz w:val="18"/>
                <w:szCs w:val="18"/>
                <w:color w:val="auto"/>
              </w:rPr>
              <w:t>Net loss</w:t>
            </w: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(13,120)</w:t>
            </w: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(13,766)</w:t>
            </w:r>
          </w:p>
        </w:tc>
        <w:tc>
          <w:tcPr>
            <w:tcW w:w="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646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40"/>
        </w:trPr>
        <w:tc>
          <w:tcPr>
            <w:tcW w:w="4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532"/>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5"/>
              <w:spacing w:after="0" w:line="155" w:lineRule="exact"/>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13,650</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11,202</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2,448</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Europe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14,769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12,348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2,421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Revenue was $14.8 million for the three months ended March 31, 2026, an increase of $2.4 million, or 20%, over the three months ended March 31, 2025.</w:t>
      </w:r>
    </w:p>
    <w:p>
      <w:pPr>
        <w:spacing w:after="0" w:line="15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Revenue generated in the U.S. was $13.7 million for the three months ended March 31, 2026, an increase of $2.4 million, or 22%, over the three months ended March 31, 2025. Revenue units in the U.S. totaled 429 and 359 for the three months ended March 31, 2026 and 2025, respectively. The increases were primarily driven by continued growth in the U.S. HF business as a result of the expansion into new sales territories, new accounts, and increased physician and patient awareness of Barostim.</w:t>
      </w:r>
    </w:p>
    <w:p>
      <w:pPr>
        <w:spacing w:after="0" w:line="163"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As of March 31, 2026, we had a total of 257 active implanting centers in the U.S., as compared to 227 as of March 31, 2025. Active implanting centers are customers that have completed at least one commercial HF implant in the last 12 months. As of March 31, 2026, we had a total of 56 sales territories in the U.S. as compared to 45 sales territories as of March 31, 2025.</w:t>
      </w:r>
    </w:p>
    <w:p>
      <w:pPr>
        <w:spacing w:after="0" w:line="160"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Revenue generated in Europe was $1.1 million for the three months ended March 31, 2026, a $27,000 decrease, or 2%, compared to the three months ended March 31, 2025. Total revenue units in Europe decreased to 56 for the three months ended March 31, 2026, as compared to 59 in the prior year period. We had five sales territories in Europe as of March 31, 2026 and March 31, 2025.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Cost of goods sold decreased $0.1 million, or 7%, to $ 1.9 million for the three months ended March 31, 2026, compared to the three months ended March 31, 2025. This decrease was driven by a lower cost per unit, primarily due to an increase in manufacturing efficiencies.</w:t>
      </w:r>
    </w:p>
    <w:p>
      <w:pPr>
        <w:spacing w:after="0" w:line="169"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Gross profit was $12.9 million for the three months ended March 31, 2026, an increase of $ 2.6 million, or 25%, over the three months ended March 31, 2025. Gross margin increased to 87% for the three months ended March 31, 2026, compared to 84% for the three months ended March 31, 2025. Gross margin for the</w:t>
      </w:r>
    </w:p>
    <w:p>
      <w:pPr>
        <w:spacing w:after="0" w:line="2"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three months ended March 31, 2026 was higher due to an increase in the average selling price and a decrease in the cost per unit, primarily due to an increase in manufacturing efficiencies.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R&amp;D expenses increased $0.6 million, or 23%, to $3.1 million for the three months ended March 31, 2026, compared to the three months ended March 31, 2025. This change was driven by a $0.4 million increase in consulting expenses, a $0.3 million increase in compensation expenses, and a $0.1 million increase in non-cash stock-based compensation expenses, partially offset by a $0.2 million decrease in clinical trial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SG&amp;A expenses increased $0.7 million, or 3%, to $22.0 million for the three months ended March 31, 2026, compared to the three months ended March 31, 2025. This change was primarily driven by a $1.0 million increase in compensation expenses and a $0.3 million increase in non-cash stock-based compensation expenses, partially offset by a $0.3 million decrease in consulting expenses and a $0.3 million decrease in advertising expenses.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Interest expense increased $0.1 million for the three months ended March 31, 2026, compared to the three months ended March 31, 2025. This increase was driven by the interest expense on higher levels of borrowings under the Loan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Other income, net was $0.6 and $1.1 million for the three months ended March 31, 2026 and 2025, respectively. These balances consisted of interest income on our interest-bearing accounts. The decrease was primarily driven by the lower cash balance.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Benefit (provision) for income taxes was nominal for each of the three months ended March 31, 2026 and 2025.</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 xml:space="preserve">We have incurred significant operating losses and negative cash flows from operations since our inception, and we anticipate that we will incur significant losses for at least the next several years. As of March 31, 2026 and December 31, 2025, we had cash and cash equivalents of $72.3 million and $75.7 million, respectively. </w:t>
      </w:r>
      <w:r>
        <w:rPr>
          <w:rFonts w:ascii="Arial" w:cs="Arial" w:eastAsia="Arial" w:hAnsi="Arial"/>
          <w:sz w:val="18"/>
          <w:szCs w:val="18"/>
          <w:color w:val="212529"/>
        </w:rPr>
        <w:t>F</w:t>
      </w:r>
      <w:r>
        <w:rPr>
          <w:rFonts w:ascii="Arial" w:cs="Arial" w:eastAsia="Arial" w:hAnsi="Arial"/>
          <w:sz w:val="18"/>
          <w:szCs w:val="18"/>
          <w:color w:val="auto"/>
        </w:rPr>
        <w:t>or the three months ended March 31, 2026 and 2025, our net losses were $13.1 million and $13.8 million, respectively. Our net cash used in operating activities for the three months ended March 31, 2026 and 2025 was $12.2 million and $12.8 million, respectively.</w:t>
      </w:r>
    </w:p>
    <w:p>
      <w:pPr>
        <w:spacing w:after="0" w:line="179"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On October 31, 2022, we entered into the Loan Agreement under which we were allowed to borrow, subject to our achievement of certain milestones, up to a total of $50.0 million in a series of Term Loans described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Note 4 to our condensed consolidated financial statements included elsewhere in this Quarterly Report on Form 10-Q. On January 9, 2026, we entered into an Amendment to our existing Loan Agreement. Pursuant to the Amendment, the terms loans available were increased by $50.0 million, to an aggregate principal amount of up to $100.0 million, subject to our achievement of certain milestones. On the closing date, we borrowed an additional $10.0 million under the Loan Agreement. We had $60.0 million in outstanding Term Loans under the Loan Agreement as of March 31, 2026.</w:t>
      </w:r>
    </w:p>
    <w:p>
      <w:pPr>
        <w:spacing w:after="0" w:line="179"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On November 4, 2022, we entered into an Equity Distribution Agreement with Piper Sandler &amp; Co., as agent, under which we may offer and sell, from time to time at our sole discretion, shares of our common stock having an aggregate offering price of up to $50.0 million in an ATM offering, to or through the agent. We issued</w:t>
      </w:r>
    </w:p>
    <w:p>
      <w:pPr>
        <w:spacing w:after="0" w:line="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543,462 shares of common stock for gross proceeds of $9.5 million during the year ended December 31, 2025. On November 4, 2025, we and the agent mutually agreed to terminate the Equity Distribution Agreement for the ATM, effective on November 6, 2025. On January 12, 2026, we entered into a Sale Agreement with Jefferies LLC, as agent. Pursuant to the terms of the Sale Agreement, we may offer and sell, from time to time at our sole discretion, shares of common stock having an aggregate offering price up to $50.0 million in an ATM offering, to or through the agent.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right="103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1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believe that our existing cash resources together with cash from operations will be sufficient to meet our forecasted requirements for operating liquidity, capital expenditures and debt services for at least the next two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8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180" w:type="dxa"/>
            <w:vAlign w:val="bottom"/>
            <w:gridSpan w:val="8"/>
          </w:tcPr>
          <w:p>
            <w:pPr>
              <w:ind w:left="60"/>
              <w:spacing w:after="0"/>
              <w:rPr>
                <w:sz w:val="20"/>
                <w:szCs w:val="20"/>
                <w:color w:val="auto"/>
              </w:rPr>
            </w:pPr>
            <w:r>
              <w:rPr>
                <w:rFonts w:ascii="Arial" w:cs="Arial" w:eastAsia="Arial" w:hAnsi="Arial"/>
                <w:sz w:val="14"/>
                <w:szCs w:val="14"/>
                <w:b w:val="1"/>
                <w:bCs w:val="1"/>
                <w:color w:val="auto"/>
              </w:rPr>
              <w:t>​​​   Three months ended</w:t>
            </w:r>
          </w:p>
        </w:tc>
        <w:tc>
          <w:tcPr>
            <w:tcW w:w="0" w:type="dxa"/>
            <w:vAlign w:val="bottom"/>
          </w:tcPr>
          <w:p>
            <w:pPr>
              <w:spacing w:after="0"/>
              <w:rPr>
                <w:sz w:val="1"/>
                <w:szCs w:val="1"/>
                <w:color w:val="auto"/>
              </w:rPr>
            </w:pPr>
          </w:p>
        </w:tc>
      </w:tr>
      <w:tr>
        <w:trPr>
          <w:trHeight w:val="164"/>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center"/>
              <w:ind w:right="90"/>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6"/>
        </w:trPr>
        <w:tc>
          <w:tcPr>
            <w:tcW w:w="67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2026</w:t>
            </w:r>
          </w:p>
        </w:tc>
        <w:tc>
          <w:tcPr>
            <w:tcW w:w="360" w:type="dxa"/>
            <w:vAlign w:val="bottom"/>
            <w:tcBorders>
              <w:top w:val="single" w:sz="8" w:color="auto"/>
            </w:tcBorders>
            <w:gridSpan w:val="3"/>
          </w:tcPr>
          <w:p>
            <w:pPr>
              <w:jc w:val="center"/>
              <w:ind w:right="7"/>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(12,164)</w:t>
            </w:r>
          </w:p>
        </w:tc>
        <w:tc>
          <w:tcPr>
            <w:tcW w:w="36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8,882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9,615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Effect of currency exchange on cash and cash equivalents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(3,405)</w:t>
            </w:r>
          </w:p>
        </w:tc>
        <w:tc>
          <w:tcPr>
            <w:tcW w:w="200" w:type="dxa"/>
            <w:vAlign w:val="bottom"/>
            <w:gridSpan w:val="2"/>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(3,265)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Net cash used in operating activities for the three months ended March 31, 2026 was $12.2 million and consisted primarily of a net loss of $13.1 million, partially offset by a non-cash charge of $2.9 million related to stock-based compensation expense, and a change in net operating assets of $2.2 million. Net operating assets consisted primarily of accrued expenses, accounts receivable, accounts payable, inventory, and prepaid expenses and other current assets to support the growth of our operations.</w:t>
      </w:r>
    </w:p>
    <w:p>
      <w:pPr>
        <w:spacing w:after="0" w:line="17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Net cash used in operating activities for the three months ended March 31, 2025 was $12.8 million and consisted primarily of a net loss of $ 13.8 million and a change in net operating assets of $1.7 million, partially offset by a non-cash charge of $2.5 million related to stock-based compensation expense.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Cash used in investing activities was $0.1 million for each of the three months ended March 31, 2026 and 2025,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Net cash provided by financing activities for the three months ended March 31, 2026 was $8.9 million and consisted primarily of $10.0 million related to net proceeds from debt financing partially offset by $1.1 million related to the debt financing costs.</w:t>
      </w:r>
    </w:p>
    <w:p>
      <w:pPr>
        <w:spacing w:after="0" w:line="169"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Net cash provided by financing activities for the three months ended March 31, 2025 was $9.6 million and consisted of $9.2 million related to net proceeds from the issuance of common stock through the ATM offering and $0.4 million related to proceeds from the exercise of common stock options.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16"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There have been no material changes to our contractual obligations as of March 31, 2026, as compared to those disclosed in our Annual Report on Form 10-K for the year ended December 31, 2025.</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For a discussion of our potential risks and uncertainties, see the information in Part II, Item 7. “Management's Discussion and Analysis of Financial Condition and Results of Operations—Critical accounting policies and estimates" in our Annual Report on Form 10-K for the fiscal year ended December 31, 2025. We have reviewed and determined that those critical accounting policies and estimates remain our critical accounting policies and estimates as of and for the three months ended March 31, 2026.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realized gains and losses from foreign currency transactions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As of March 31, 2026 and December 31, 2025,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75" w:lineRule="exact"/>
        <w:rPr>
          <w:sz w:val="20"/>
          <w:szCs w:val="20"/>
          <w:color w:val="auto"/>
        </w:rPr>
      </w:pPr>
    </w:p>
    <w:p>
      <w:pPr>
        <w:ind w:left="60" w:right="179"/>
        <w:spacing w:after="0" w:line="318"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89" w:lineRule="exact"/>
        <w:rPr>
          <w:sz w:val="20"/>
          <w:szCs w:val="20"/>
          <w:color w:val="auto"/>
        </w:rPr>
      </w:pPr>
    </w:p>
    <w:p>
      <w:pPr>
        <w:ind w:left="60" w:right="99"/>
        <w:spacing w:after="0" w:line="284" w:lineRule="auto"/>
        <w:rPr>
          <w:sz w:val="20"/>
          <w:szCs w:val="20"/>
          <w:color w:val="auto"/>
        </w:rPr>
      </w:pPr>
      <w:r>
        <w:rPr>
          <w:rFonts w:ascii="Arial" w:cs="Arial" w:eastAsia="Arial" w:hAnsi="Arial"/>
          <w:sz w:val="18"/>
          <w:szCs w:val="18"/>
          <w:color w:val="auto"/>
        </w:rPr>
        <w:t>For a discussion of our potential risks and uncertainties, see the information in Part I, Item IA. “Risk Factors” in our Annual Report on Form 10-K for the year ended December 31, 2025. There have been no material changes to the risk factors disclosed in our Annual Report on Form 10-K.</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Modification or Termination of Rule 10b5-1 Plans and Certain Other Trading Arrangements</w:t>
      </w:r>
    </w:p>
    <w:p>
      <w:pPr>
        <w:spacing w:after="0" w:line="21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During the three months ended March 31, 2026, none of our directors or officers adopted, modified or terminated a “Rule 10b5-1 trading arrangement” or “non-Rule 10b5-1 trading arrangement,” as each term is defined in Item 408(a) of Regulation S-K, except for certain sell-to-cover arrangements with our officers authorizing pre-arranged sales of shares of our common stock to satisfy tax withholding obligations we have arising exclusively from the vesting of RSUs and PSUs. The amount of shares to be sold to satisfy our withholding obligations under these arrangements is dependent on future events which cannot be known at this time, including the future trading price of our common stock. The expiration date relating to these arrangements is dependent on future events which cannot be known at this time, including the vesting date and any termination of service.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40" w:type="dxa"/>
            <w:vAlign w:val="bottom"/>
            <w:gridSpan w:val="16"/>
          </w:tcPr>
          <w:p>
            <w:pPr>
              <w:ind w:left="2700"/>
              <w:spacing w:after="0"/>
              <w:rPr>
                <w:sz w:val="20"/>
                <w:szCs w:val="20"/>
                <w:color w:val="auto"/>
              </w:rPr>
            </w:pPr>
            <w:r>
              <w:rPr>
                <w:rFonts w:ascii="Arial" w:cs="Arial" w:eastAsia="Arial" w:hAnsi="Arial"/>
                <w:sz w:val="22"/>
                <w:szCs w:val="22"/>
                <w:b w:val="1"/>
                <w:bCs w:val="1"/>
                <w:color w:val="auto"/>
              </w:rPr>
              <w:t>EXHIBIT INDEX</w:t>
            </w:r>
          </w:p>
        </w:tc>
      </w:tr>
      <w:tr>
        <w:trPr>
          <w:trHeight w:val="435"/>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80" w:type="dxa"/>
            <w:vAlign w:val="bottom"/>
            <w:gridSpan w:val="17"/>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7"/>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Description</w:t>
            </w:r>
          </w:p>
        </w:tc>
      </w:tr>
      <w:tr>
        <w:trPr>
          <w:trHeight w:val="37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7940" w:type="dxa"/>
            <w:vAlign w:val="bottom"/>
            <w:tcBorders>
              <w:top w:val="single" w:sz="8" w:color="auto"/>
            </w:tcBorders>
            <w:gridSpan w:val="16"/>
          </w:tcPr>
          <w:p>
            <w:pPr>
              <w:spacing w:after="0"/>
              <w:rPr>
                <w:rFonts w:ascii="Arial" w:cs="Arial" w:eastAsia="Arial" w:hAnsi="Arial"/>
                <w:sz w:val="18"/>
                <w:szCs w:val="18"/>
                <w:color w:val="0000EE"/>
              </w:rPr>
            </w:pPr>
            <w:hyperlink r:id="rId43">
              <w:r>
                <w:rPr>
                  <w:rFonts w:ascii="Arial" w:cs="Arial" w:eastAsia="Arial" w:hAnsi="Arial"/>
                  <w:sz w:val="18"/>
                  <w:szCs w:val="18"/>
                  <w:color w:val="0000EE"/>
                </w:rPr>
                <w:t>Restated Certificate of Incorporation of CVRx, Inc. (incorporated by reference to Exhibit 3.1 to the</w:t>
              </w:r>
            </w:hyperlink>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43">
              <w:r>
                <w:rPr>
                  <w:rFonts w:ascii="Arial" w:cs="Arial" w:eastAsia="Arial" w:hAnsi="Arial"/>
                  <w:sz w:val="18"/>
                  <w:szCs w:val="18"/>
                  <w:color w:val="0000EE"/>
                  <w:w w:val="99"/>
                </w:rPr>
                <w:t>Company’s Current Report on Form 8-K filed on June 7, 2024)</w:t>
              </w:r>
            </w:hyperlink>
          </w:p>
        </w:tc>
        <w:tc>
          <w:tcPr>
            <w:tcW w:w="2780" w:type="dxa"/>
            <w:vAlign w:val="bottom"/>
            <w:tcBorders>
              <w:top w:val="single" w:sz="8" w:color="0000EE"/>
            </w:tcBorders>
            <w:gridSpan w:val="7"/>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r:id="rId44">
              <w:r>
                <w:rPr>
                  <w:rFonts w:ascii="Arial" w:cs="Arial" w:eastAsia="Arial" w:hAnsi="Arial"/>
                  <w:sz w:val="18"/>
                  <w:szCs w:val="18"/>
                  <w:color w:val="0000EE"/>
                </w:rPr>
                <w:t>Amended and Restated By-Laws of CVRx, Inc. (incorporated by reference to Exhibit 3.2 to the</w:t>
              </w:r>
            </w:hyperlink>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Company’s Current Report on Form 8-K filed on July 7, 2021)</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r:id="rId45">
              <w:r>
                <w:rPr>
                  <w:rFonts w:ascii="Arial" w:cs="Arial" w:eastAsia="Arial" w:hAnsi="Arial"/>
                  <w:sz w:val="18"/>
                  <w:szCs w:val="18"/>
                  <w:color w:val="0000EE"/>
                </w:rPr>
                <w:t>Second Amendment to Loan and Security Agreement, dated as of January 9, 2026, among the</w:t>
              </w:r>
            </w:hyperlink>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40" w:type="dxa"/>
            <w:vAlign w:val="bottom"/>
            <w:tcBorders>
              <w:top w:val="single" w:sz="8" w:color="0000EE"/>
            </w:tcBorders>
            <w:gridSpan w:val="9"/>
          </w:tcPr>
          <w:p>
            <w:pPr>
              <w:spacing w:after="0" w:line="182" w:lineRule="exact"/>
              <w:rPr>
                <w:rFonts w:ascii="Arial" w:cs="Arial" w:eastAsia="Arial" w:hAnsi="Arial"/>
                <w:sz w:val="18"/>
                <w:szCs w:val="18"/>
                <w:color w:val="0000EE"/>
                <w:w w:val="98"/>
              </w:rPr>
            </w:pPr>
            <w:hyperlink r:id="rId45">
              <w:r>
                <w:rPr>
                  <w:rFonts w:ascii="Arial" w:cs="Arial" w:eastAsia="Arial" w:hAnsi="Arial"/>
                  <w:sz w:val="18"/>
                  <w:szCs w:val="18"/>
                  <w:color w:val="0000EE"/>
                  <w:w w:val="98"/>
                </w:rPr>
                <w:t>Company, Innovatus Life Sciences Lending Fund I, LP, as the collateral agent and a lender, and</w:t>
              </w:r>
            </w:hyperlink>
          </w:p>
        </w:tc>
        <w:tc>
          <w:tcPr>
            <w:tcW w:w="400" w:type="dxa"/>
            <w:vAlign w:val="bottom"/>
            <w:gridSpan w:val="7"/>
          </w:tcPr>
          <w:p>
            <w:pPr>
              <w:ind w:left="120"/>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the</w:t>
              </w:r>
            </w:hyperlink>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9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other lenders from time to time party thereto (incorporated by reference to Exhibit 10.1 to the</w:t>
              </w:r>
            </w:hyperlink>
          </w:p>
        </w:tc>
        <w:tc>
          <w:tcPr>
            <w:tcW w:w="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3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Company’s Current Report on Form 8-K filed on January 12, 2026)</w:t>
              </w:r>
            </w:hyperlink>
          </w:p>
        </w:tc>
        <w:tc>
          <w:tcPr>
            <w:tcW w:w="3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r:id="rId46">
              <w:r>
                <w:rPr>
                  <w:rFonts w:ascii="Arial" w:cs="Arial" w:eastAsia="Arial" w:hAnsi="Arial"/>
                  <w:sz w:val="18"/>
                  <w:szCs w:val="18"/>
                  <w:color w:val="0000EE"/>
                </w:rPr>
                <w:t>Form of Performance Stock Unit Agreement (Executives – 2026-2027 Cumulative Revenue)</w:t>
              </w:r>
            </w:hyperlink>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940" w:type="dxa"/>
            <w:vAlign w:val="bottom"/>
            <w:gridSpan w:val="16"/>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pursuant to 2021 Equity Incentive Plan (incorporated by reference to Exhibit 10.1 to the Company’s</w:t>
              </w:r>
            </w:hyperlink>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46">
              <w:r>
                <w:rPr>
                  <w:rFonts w:ascii="Arial" w:cs="Arial" w:eastAsia="Arial" w:hAnsi="Arial"/>
                  <w:sz w:val="18"/>
                  <w:szCs w:val="18"/>
                  <w:color w:val="0000EE"/>
                  <w:w w:val="99"/>
                </w:rPr>
                <w:t>Current Report on Form 8-K filed on March 3, 2026)</w:t>
              </w:r>
            </w:hyperlink>
          </w:p>
        </w:tc>
        <w:tc>
          <w:tcPr>
            <w:tcW w:w="3740" w:type="dxa"/>
            <w:vAlign w:val="bottom"/>
            <w:tcBorders>
              <w:top w:val="single" w:sz="8" w:color="0000EE"/>
            </w:tcBorders>
            <w:gridSpan w:val="1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8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140" w:type="dxa"/>
            <w:vAlign w:val="bottom"/>
            <w:gridSpan w:val="4"/>
          </w:tcPr>
          <w:p>
            <w:pPr>
              <w:spacing w:after="0"/>
              <w:rPr>
                <w:sz w:val="24"/>
                <w:szCs w:val="24"/>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7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200" w:type="dxa"/>
            <w:vAlign w:val="bottom"/>
            <w:gridSpan w:val="6"/>
          </w:tcPr>
          <w:p>
            <w:pPr>
              <w:spacing w:after="0"/>
              <w:rPr>
                <w:sz w:val="24"/>
                <w:szCs w:val="24"/>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9"/>
              </w:rPr>
              <w:t>Section 906 of the Sarbanes-Oxley Act of 2002</w:t>
            </w:r>
          </w:p>
        </w:tc>
        <w:tc>
          <w:tcPr>
            <w:tcW w:w="4100" w:type="dxa"/>
            <w:vAlign w:val="bottom"/>
            <w:tcBorders>
              <w:top w:val="single" w:sz="8" w:color="0000EE"/>
            </w:tcBorders>
            <w:gridSpan w:val="12"/>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0000EE"/>
              </w:rPr>
              <w:t>Certification of Chief Financial Officer Pursuant to 18 U.S.C. Section 1350, as adopted pursuant to</w:t>
            </w: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9"/>
              </w:rPr>
              <w:t>Section 906 of the Sarbanes-Oxley Act of 2002</w:t>
            </w:r>
          </w:p>
        </w:tc>
        <w:tc>
          <w:tcPr>
            <w:tcW w:w="4040" w:type="dxa"/>
            <w:vAlign w:val="bottom"/>
            <w:tcBorders>
              <w:top w:val="single" w:sz="8" w:color="0000EE"/>
            </w:tcBorders>
            <w:gridSpan w:val="11"/>
          </w:tcPr>
          <w:p>
            <w:pPr>
              <w:spacing w:after="0"/>
              <w:rPr>
                <w:sz w:val="17"/>
                <w:szCs w:val="17"/>
                <w:color w:val="auto"/>
              </w:rPr>
            </w:pPr>
          </w:p>
        </w:tc>
        <w:tc>
          <w:tcPr>
            <w:tcW w:w="140" w:type="dxa"/>
            <w:vAlign w:val="bottom"/>
            <w:gridSpan w:val="4"/>
          </w:tcPr>
          <w:p>
            <w:pPr>
              <w:spacing w:after="0"/>
              <w:rPr>
                <w:sz w:val="17"/>
                <w:szCs w:val="17"/>
                <w:color w:val="auto"/>
              </w:rPr>
            </w:pPr>
          </w:p>
        </w:tc>
      </w:tr>
    </w:tbl>
    <w:p>
      <w:pPr>
        <w:spacing w:after="0" w:line="211" w:lineRule="exact"/>
        <w:rPr>
          <w:sz w:val="20"/>
          <w:szCs w:val="20"/>
          <w:color w:val="auto"/>
        </w:rPr>
      </w:pPr>
    </w:p>
    <w:p>
      <w:pPr>
        <w:ind w:left="1020" w:right="299" w:hanging="969"/>
        <w:spacing w:after="0" w:line="286" w:lineRule="auto"/>
        <w:tabs>
          <w:tab w:leader="none" w:pos="100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12, 2026</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Hykes</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Hykes, certify that:</w:t>
      </w:r>
    </w:p>
    <w:p>
      <w:pPr>
        <w:spacing w:after="0" w:line="117"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79"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March 31,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March 31,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3" Type="http://schemas.openxmlformats.org/officeDocument/2006/relationships/hyperlink" Target="https://www.sec.gov/Archives/edgar/data/1235912/000110465924069657/tm2416672d1_ex3-1.htm" TargetMode="External"/><Relationship Id="rId44" Type="http://schemas.openxmlformats.org/officeDocument/2006/relationships/hyperlink" Target="https://www.sec.gov/Archives/edgar/data/1235912/000110465921089779/tm2121505d1_ex3-2.htm" TargetMode="External"/><Relationship Id="rId45" Type="http://schemas.openxmlformats.org/officeDocument/2006/relationships/hyperlink" Target="https://www.sec.gov/Archives/edgar/data/1235912/000110465926002728/tm262733d2_ex10-1.htm" TargetMode="External"/><Relationship Id="rId46" Type="http://schemas.openxmlformats.org/officeDocument/2006/relationships/hyperlink" Target="https://www.sec.gov/Archives/edgar/data/1235912/000110465926022952/tm26767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2026-05-12T07:04:05Z</dcterms:created>
  <dcterms:modified xsi:type="dcterms:W3CDTF">2026-05-12T07:04:05Z</dcterms:modified>
</cp:coreProperties>
</file>