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CVRx, Inc.</w:t>
      </w:r>
    </w:p>
    <w:p>
      <w:pPr>
        <w:spacing w:after="0" w:line="39"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1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(Exact name of registrant as specified in its charter)</w:t>
            </w:r>
          </w:p>
        </w:tc>
        <w:tc>
          <w:tcPr>
            <w:tcW w:w="1820" w:type="dxa"/>
            <w:vAlign w:val="bottom"/>
          </w:tcPr>
          <w:p>
            <w:pPr>
              <w:spacing w:after="0"/>
              <w:rPr>
                <w:sz w:val="20"/>
                <w:szCs w:val="20"/>
                <w:color w:val="auto"/>
              </w:rPr>
            </w:pPr>
          </w:p>
        </w:tc>
      </w:tr>
      <w:tr>
        <w:trPr>
          <w:trHeight w:val="200"/>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25"/>
        </w:trPr>
        <w:tc>
          <w:tcPr>
            <w:tcW w:w="2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Delaware</w:t>
            </w:r>
          </w:p>
        </w:tc>
        <w:tc>
          <w:tcPr>
            <w:tcW w:w="388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1A1A1A"/>
                <w:w w:val="90"/>
              </w:rPr>
              <w:t>001-40545</w:t>
            </w:r>
          </w:p>
        </w:tc>
        <w:tc>
          <w:tcPr>
            <w:tcW w:w="1280" w:type="dxa"/>
            <w:vAlign w:val="bottom"/>
          </w:tcPr>
          <w:p>
            <w:pPr>
              <w:spacing w:after="0"/>
              <w:rPr>
                <w:sz w:val="24"/>
                <w:szCs w:val="24"/>
                <w:color w:val="auto"/>
              </w:rPr>
            </w:pP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41-1983744</w:t>
            </w:r>
          </w:p>
        </w:tc>
      </w:tr>
      <w:tr>
        <w:trPr>
          <w:trHeight w:val="216"/>
        </w:trPr>
        <w:tc>
          <w:tcPr>
            <w:tcW w:w="2380" w:type="dxa"/>
            <w:vAlign w:val="bottom"/>
          </w:tcPr>
          <w:p>
            <w:pPr>
              <w:jc w:val="center"/>
              <w:ind w:right="190"/>
              <w:spacing w:after="0"/>
              <w:rPr>
                <w:sz w:val="20"/>
                <w:szCs w:val="20"/>
                <w:color w:val="auto"/>
              </w:rPr>
            </w:pPr>
            <w:r>
              <w:rPr>
                <w:rFonts w:ascii="Arial" w:cs="Arial" w:eastAsia="Arial" w:hAnsi="Arial"/>
                <w:sz w:val="18"/>
                <w:szCs w:val="18"/>
                <w:color w:val="auto"/>
                <w:w w:val="93"/>
              </w:rPr>
              <w:t>(State or other jurisdiction of</w:t>
            </w:r>
          </w:p>
        </w:tc>
        <w:tc>
          <w:tcPr>
            <w:tcW w:w="1080" w:type="dxa"/>
            <w:vAlign w:val="bottom"/>
          </w:tcPr>
          <w:p>
            <w:pPr>
              <w:spacing w:after="0"/>
              <w:rPr>
                <w:sz w:val="18"/>
                <w:szCs w:val="18"/>
                <w:color w:val="auto"/>
              </w:rPr>
            </w:pPr>
          </w:p>
        </w:tc>
        <w:tc>
          <w:tcPr>
            <w:tcW w:w="4080" w:type="dxa"/>
            <w:vAlign w:val="bottom"/>
            <w:gridSpan w:val="2"/>
          </w:tcPr>
          <w:p>
            <w:pPr>
              <w:jc w:val="center"/>
              <w:ind w:right="1240"/>
              <w:spacing w:after="0"/>
              <w:rPr>
                <w:sz w:val="20"/>
                <w:szCs w:val="20"/>
                <w:color w:val="auto"/>
              </w:rPr>
            </w:pPr>
            <w:r>
              <w:rPr>
                <w:rFonts w:ascii="Arial" w:cs="Arial" w:eastAsia="Arial" w:hAnsi="Arial"/>
                <w:sz w:val="18"/>
                <w:szCs w:val="18"/>
                <w:color w:val="auto"/>
                <w:w w:val="91"/>
              </w:rPr>
              <w:t>(Commission</w:t>
            </w: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90"/>
              <w:spacing w:after="0"/>
              <w:rPr>
                <w:sz w:val="20"/>
                <w:szCs w:val="20"/>
                <w:color w:val="auto"/>
              </w:rPr>
            </w:pPr>
            <w:r>
              <w:rPr>
                <w:rFonts w:ascii="Arial" w:cs="Arial" w:eastAsia="Arial" w:hAnsi="Arial"/>
                <w:sz w:val="18"/>
                <w:szCs w:val="18"/>
                <w:color w:val="auto"/>
                <w:w w:val="92"/>
              </w:rPr>
              <w:t>incorporation)</w:t>
            </w:r>
          </w:p>
        </w:tc>
        <w:tc>
          <w:tcPr>
            <w:tcW w:w="1080" w:type="dxa"/>
            <w:vAlign w:val="bottom"/>
          </w:tcPr>
          <w:p>
            <w:pPr>
              <w:spacing w:after="0"/>
              <w:rPr>
                <w:sz w:val="20"/>
                <w:szCs w:val="20"/>
                <w:color w:val="auto"/>
              </w:rPr>
            </w:pPr>
          </w:p>
        </w:tc>
        <w:tc>
          <w:tcPr>
            <w:tcW w:w="4080" w:type="dxa"/>
            <w:vAlign w:val="bottom"/>
            <w:gridSpan w:val="2"/>
          </w:tcPr>
          <w:p>
            <w:pPr>
              <w:jc w:val="center"/>
              <w:ind w:right="1240"/>
              <w:spacing w:after="0"/>
              <w:rPr>
                <w:sz w:val="20"/>
                <w:szCs w:val="20"/>
                <w:color w:val="auto"/>
              </w:rPr>
            </w:pPr>
            <w:r>
              <w:rPr>
                <w:rFonts w:ascii="Arial" w:cs="Arial" w:eastAsia="Arial" w:hAnsi="Arial"/>
                <w:sz w:val="18"/>
                <w:szCs w:val="18"/>
                <w:color w:val="auto"/>
                <w:w w:val="92"/>
              </w:rPr>
              <w:t>File Number)</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9201 West Broadway Avenue, Suite 650</w:t>
            </w:r>
          </w:p>
        </w:tc>
        <w:tc>
          <w:tcPr>
            <w:tcW w:w="182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3"/>
              </w:rPr>
              <w:t>Minneapolis, MN 55445</w:t>
            </w:r>
          </w:p>
        </w:tc>
        <w:tc>
          <w:tcPr>
            <w:tcW w:w="182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1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 (Zip Code)</w:t>
            </w:r>
          </w:p>
        </w:tc>
        <w:tc>
          <w:tcPr>
            <w:tcW w:w="182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388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0"/>
              </w:rPr>
              <w:t>(763) 416-2840</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1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82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rPr>
              <w:t>N/A</w:t>
            </w:r>
          </w:p>
        </w:tc>
        <w:tc>
          <w:tcPr>
            <w:tcW w:w="182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1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Name of each exchange</w:t>
            </w:r>
          </w:p>
        </w:tc>
      </w:tr>
      <w:tr>
        <w:trPr>
          <w:trHeight w:val="230"/>
        </w:trPr>
        <w:tc>
          <w:tcPr>
            <w:tcW w:w="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2"/>
              </w:rPr>
              <w:t>Trading Symbol(s)</w:t>
            </w:r>
          </w:p>
        </w:tc>
        <w:tc>
          <w:tcPr>
            <w:tcW w:w="1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on which registered</w:t>
            </w:r>
          </w:p>
        </w:tc>
      </w:tr>
      <w:tr>
        <w:trPr>
          <w:trHeight w:val="237"/>
        </w:trPr>
        <w:tc>
          <w:tcPr>
            <w:tcW w:w="40" w:type="dxa"/>
            <w:vAlign w:val="bottom"/>
          </w:tcPr>
          <w:p>
            <w:pPr>
              <w:spacing w:after="0"/>
              <w:rPr>
                <w:sz w:val="20"/>
                <w:szCs w:val="20"/>
                <w:color w:val="auto"/>
              </w:rPr>
            </w:pPr>
          </w:p>
        </w:tc>
        <w:tc>
          <w:tcPr>
            <w:tcW w:w="45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2960" w:type="dxa"/>
            <w:vAlign w:val="bottom"/>
          </w:tcPr>
          <w:p>
            <w:pPr>
              <w:jc w:val="center"/>
              <w:ind w:right="710"/>
              <w:spacing w:after="0"/>
              <w:rPr>
                <w:sz w:val="20"/>
                <w:szCs w:val="20"/>
                <w:color w:val="auto"/>
              </w:rPr>
            </w:pPr>
            <w:r>
              <w:rPr>
                <w:rFonts w:ascii="Arial" w:cs="Arial" w:eastAsia="Arial" w:hAnsi="Arial"/>
                <w:sz w:val="18"/>
                <w:szCs w:val="18"/>
                <w:b w:val="1"/>
                <w:bCs w:val="1"/>
                <w:color w:val="auto"/>
              </w:rPr>
              <w:t>CVRX</w:t>
            </w:r>
          </w:p>
        </w:tc>
        <w:tc>
          <w:tcPr>
            <w:tcW w:w="1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22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October 31, 2022, CVRx, Inc. (the “Company”) entered into a Loan and Security Agreement (the “Loan Agreement”) with Innovatus Life Sciences Fund I, LP, as the collateral agent and a lender, and the other lenders from time to time party thereto, under which the Company may borrow, subject to the Company’s achievement of certain milestones, up to a total of $50.0 million in a series of three term loans. The term loans advanced pursuant to the Loan Agreement (collectively, the “Term Loans”) will bear interest at a floating rate per annum equal to the sum of (a) the greater of (i) the prime rate and</w:t>
      </w:r>
    </w:p>
    <w:p>
      <w:pPr>
        <w:spacing w:after="0" w:line="1" w:lineRule="exact"/>
        <w:rPr>
          <w:sz w:val="20"/>
          <w:szCs w:val="20"/>
          <w:color w:val="auto"/>
        </w:rPr>
      </w:pPr>
    </w:p>
    <w:p>
      <w:pPr>
        <w:ind w:right="20" w:firstLine="8"/>
        <w:spacing w:after="0" w:line="253"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5.50% plus (b) 2.65%. The interest only period is five years followed by a three-month repayment period. The Term Loans mature on January 31, 2028. The Loan Agreement includes certain other fees, such as a final fee of 4.5% of the funded loan amounts. The Loan Agreement contains customary representations and warranties and covenants, subject to customary carve outs, and includes financial covenants related to or based upon liquidity and trailing twelve months revenue. The Company is also restricted from paying dividends or making other distributions or payments on its capital stock, subject to limited exceptions.</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on October 31, 2022, the closing date, the Company borrowed the minimum amount of $7.5 million under the Loan Agreement. The Company has the option to draw down (i) the remaining $7.5 million of the first tranche from the filing date of the Company’s Form 10-K for the year ending December 31, 2022 until September 30, 2023, (ii) up to $30.0 million less the amount funded from the first tranche between September 1, 2023 and December 15, 2023 if the Company achieves trailing three months revenue of $5.75 million prior to June 30, 2023, and (iii) up to $20.0 million between September 1, 2024 and December 15, 2024 if the Company achieves trailing three months revenue of $9.0 million prior to June 30, 2024. A performance covenant takes effect at the earlier of September 30, 2025 or the third tranche funding requiring that the Company achieve 50% of the trailing twelve months revenue target set in the Board-approved revenue plan in effect for such period. The Term Loans are secured by substantially all of the Company’s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1, 2022, the Company issued a press release announcing its financial results for the quarter ended September 30, 2022. A copy of the press release is attached as Exhibit 99.1 and is incorporated herein by reference.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information contained in this Item 2.02, including Exhibit 99.1, is being furnished and shall not be deemed to be “filed” with the Securities and Exchange Commission for purposes of Section 18 of the Securities Exchange Act of 1934, as amended (the “Exchange Act”), or otherwise subject to the liabilities of that section and is not incorporated by reference into any filing under the Securities Act of 1933, as amended, or the Exchange Act, whether made before or after the date hereof, except as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of this Current Report on Form 8-K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3860" w:type="dxa"/>
            <w:vAlign w:val="bottom"/>
          </w:tcPr>
          <w:p>
            <w:pPr>
              <w:spacing w:after="0"/>
              <w:rPr>
                <w:sz w:val="20"/>
                <w:szCs w:val="20"/>
                <w:color w:val="auto"/>
              </w:rPr>
            </w:pPr>
          </w:p>
        </w:tc>
        <w:tc>
          <w:tcPr>
            <w:tcW w:w="6240" w:type="dxa"/>
            <w:vAlign w:val="bottom"/>
            <w:gridSpan w:val="3"/>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8"/>
                <w:szCs w:val="18"/>
                <w:color w:val="0000EE"/>
                <w:w w:val="90"/>
              </w:rPr>
              <w:t>Loan and Security Agreement, dated as of October 31, 2022, among CVRx, Inc., Innovatus Life Sciences Fund I, LP, as the collateral agent</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and a lender, and the other lenders from time to time party thereto</w:t>
            </w:r>
          </w:p>
        </w:tc>
        <w:tc>
          <w:tcPr>
            <w:tcW w:w="5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Press release of CVRx, Inc., dated November 1, 2022</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i w:val="1"/>
          <w:iCs w:val="1"/>
          <w:color w:val="auto"/>
        </w:rPr>
        <w:t>This Current Report on Form 8-K contains forward-looking statements, including, but not limited to, statements related to the availability and funding of the second and third tranches of the loan, the timing thereof and the satisfaction of the conditions thereto, including achievement of certain milestones. Actual results could differ materially from these forward-looking statements as a result of certain factors, including, without limitation: risks associated with the satisfaction of the conditions to the funding of the second and third tranches and the Company’s ability to maintain (and otherwise comply with the covenants in) the Loan Agreement. The Company disclaims any obligation or undertaking to update or revise any forward-looking statements contained in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20" w:type="dxa"/>
            <w:vAlign w:val="bottom"/>
            <w:gridSpan w:val="2"/>
          </w:tcPr>
          <w:p>
            <w:pPr>
              <w:ind w:left="2040"/>
              <w:spacing w:after="0"/>
              <w:rPr>
                <w:sz w:val="20"/>
                <w:szCs w:val="20"/>
                <w:color w:val="auto"/>
              </w:rPr>
            </w:pPr>
            <w:r>
              <w:rPr>
                <w:rFonts w:ascii="Arial" w:cs="Arial" w:eastAsia="Arial" w:hAnsi="Arial"/>
                <w:sz w:val="18"/>
                <w:szCs w:val="18"/>
                <w:b w:val="1"/>
                <w:bCs w:val="1"/>
                <w:color w:val="auto"/>
              </w:rPr>
              <w:t>CVRx, Inc.</w:t>
            </w: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November 1, 2022</w:t>
            </w:r>
          </w:p>
        </w:tc>
        <w:tc>
          <w:tcPr>
            <w:tcW w:w="7420" w:type="dxa"/>
            <w:vAlign w:val="bottom"/>
            <w:gridSpan w:val="2"/>
          </w:tcPr>
          <w:p>
            <w:pPr>
              <w:ind w:left="2040"/>
              <w:spacing w:after="0"/>
              <w:rPr>
                <w:sz w:val="20"/>
                <w:szCs w:val="20"/>
                <w:color w:val="auto"/>
              </w:rPr>
            </w:pPr>
            <w:r>
              <w:rPr>
                <w:rFonts w:ascii="Arial" w:cs="Arial" w:eastAsia="Arial" w:hAnsi="Arial"/>
                <w:sz w:val="18"/>
                <w:szCs w:val="18"/>
                <w:color w:val="auto"/>
              </w:rPr>
              <w:t>By: /s/ Nadim Yared</w:t>
            </w:r>
          </w:p>
        </w:tc>
      </w:tr>
      <w:tr>
        <w:trPr>
          <w:trHeight w:val="195"/>
        </w:trPr>
        <w:tc>
          <w:tcPr>
            <w:tcW w:w="3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Nadim Yared</w:t>
            </w:r>
          </w:p>
        </w:tc>
      </w:tr>
      <w:tr>
        <w:trPr>
          <w:trHeight w:val="230"/>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Its: President and Chief Executive Officer</w:t>
            </w:r>
          </w:p>
        </w:tc>
      </w:tr>
      <w:tr>
        <w:trPr>
          <w:trHeight w:val="675"/>
        </w:trPr>
        <w:tc>
          <w:tcPr>
            <w:tcW w:w="3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 time,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31, 2022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INNOVATUS LIFE SCIENCES LENDING FUND I, LP, a Delaware limited partnership,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and the Lenders listed on Schedule 1.1 hereof or otherwise a party hereto from time to time including INNOVATUS LIFE SCIENCES LENDING FUND I, LP in its capacity as a Lender, and CVRx,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 repay the Lenders. The parties agree as follows:</w:t>
      </w:r>
    </w:p>
    <w:p>
      <w:pPr>
        <w:spacing w:after="0" w:line="18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ACCOUNTING AND OTHER TERMS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1.1            </w:t>
      </w:r>
      <w:r>
        <w:rPr>
          <w:rFonts w:ascii="Arial" w:cs="Arial" w:eastAsia="Arial" w:hAnsi="Arial"/>
          <w:sz w:val="17"/>
          <w:szCs w:val="17"/>
          <w:color w:val="auto"/>
        </w:rPr>
        <w:t>Capitalized terms used herein shall have the meanings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defined therein. All other capitalized terms used</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Any section, subsection, schedule or exhibit references are to this Agreement unless otherwise specified.</w:t>
      </w:r>
    </w:p>
    <w:p>
      <w:pPr>
        <w:spacing w:after="0" w:line="16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each Lender the outstanding principal amount of the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to Borrower by such Lender and accrued and unpaid interest thereon and any other amounts due hereunder as and when due in accordance with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(i)             Subject to the terms and conditions of this Agreement, the Lenders agree, severally and not jointly, to make a term loan to Borrower on the Effective Date in an aggregate principal amount of up to Fifteen Million Dollars ($15,000,000.00) according to each Lender’s Term Loan Commitment as set forth on Schedule 1.1 hereto (provided, however, Borrower may draw such term loan in two tranches with the amount of each tranche being a whole number multiple of Five Hundred Thousand Dollars and the first tranche being in the amount of at least Seven Million Five Hundred Thousand Dollars ($7,500,000), with the first tranche to be available on the Effective Date and second to be available during the Term A Draw Period) (such term loans are hereinafter referred to singly and collectively, jointly and severally as the “</w:t>
      </w:r>
      <w:r>
        <w:rPr>
          <w:rFonts w:ascii="Arial" w:cs="Arial" w:eastAsia="Arial" w:hAnsi="Arial"/>
          <w:sz w:val="18"/>
          <w:szCs w:val="18"/>
          <w:b w:val="1"/>
          <w:bCs w:val="1"/>
          <w:color w:val="auto"/>
        </w:rPr>
        <w:t>Term A Loan</w:t>
      </w:r>
      <w:r>
        <w:rPr>
          <w:rFonts w:ascii="Arial" w:cs="Arial" w:eastAsia="Arial" w:hAnsi="Arial"/>
          <w:sz w:val="18"/>
          <w:szCs w:val="18"/>
          <w:color w:val="auto"/>
        </w:rPr>
        <w:t>”). After repayment, the Term A Loan may not be re-borrowed.</w:t>
      </w:r>
    </w:p>
    <w:p>
      <w:pPr>
        <w:spacing w:after="0" w:line="195"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(ii)            Subject to the terms and conditions of this Agreement, the Lenders agree, severally and not jointly, to make a term loan to Borrower during the Term B Draw Period in an aggregate principal amount of up to (A) Thirty Million Dollars ($30,000,000.00) minus (ii) the aggregate amount of Term A Loan funded prior to the funding of the Term B Loan, according to each Lender’s Term Loan Commitment as set forth on Schedule 1.1 hereto (the “</w:t>
      </w:r>
      <w:r>
        <w:rPr>
          <w:rFonts w:ascii="Arial" w:cs="Arial" w:eastAsia="Arial" w:hAnsi="Arial"/>
          <w:sz w:val="18"/>
          <w:szCs w:val="18"/>
          <w:b w:val="1"/>
          <w:bCs w:val="1"/>
          <w:color w:val="auto"/>
        </w:rPr>
        <w:t>Term B Loan</w:t>
      </w:r>
      <w:r>
        <w:rPr>
          <w:rFonts w:ascii="Arial" w:cs="Arial" w:eastAsia="Arial" w:hAnsi="Arial"/>
          <w:sz w:val="18"/>
          <w:szCs w:val="18"/>
          <w:color w:val="auto"/>
        </w:rPr>
        <w:t>”). After repayment, the Term B Loan may not be re-borrowed.</w:t>
      </w:r>
    </w:p>
    <w:p>
      <w:pPr>
        <w:spacing w:after="0" w:line="187"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(iii)           Subject to the terms and conditions of this Agreement, the Lenders agree, severally and not jointly, to make a term loan to Borrower during the Term C Draw Period in an aggregate principal amount of up to Twenty Million Dollars ($20,000,000.00) according to each Lender’s Term Loan Commitment as set forth on Schedule 1.1 hereto (the “</w:t>
      </w:r>
      <w:r>
        <w:rPr>
          <w:rFonts w:ascii="Arial" w:cs="Arial" w:eastAsia="Arial" w:hAnsi="Arial"/>
          <w:sz w:val="18"/>
          <w:szCs w:val="18"/>
          <w:b w:val="1"/>
          <w:bCs w:val="1"/>
          <w:color w:val="auto"/>
        </w:rPr>
        <w:t>Term C Loan;</w:t>
      </w:r>
      <w:r>
        <w:rPr>
          <w:rFonts w:ascii="Arial" w:cs="Arial" w:eastAsia="Arial" w:hAnsi="Arial"/>
          <w:sz w:val="18"/>
          <w:szCs w:val="18"/>
          <w:color w:val="auto"/>
        </w:rPr>
        <w:t>” each Term A Loan, Term B Loan and Term C Loan is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the Term A Loan, Term B Loan and Term C Loan are referred to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 After repayment, the Term C Loan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1296"/>
        <w:spacing w:after="0" w:line="289"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  Repayment</w:t>
      </w:r>
      <w:r>
        <w:rPr>
          <w:rFonts w:ascii="Arial" w:cs="Arial" w:eastAsia="Arial" w:hAnsi="Arial"/>
          <w:sz w:val="16"/>
          <w:szCs w:val="16"/>
          <w:color w:val="auto"/>
        </w:rPr>
        <w:t>. Borrower shall make monthly payments of interest only commencing on the first (1st) Payment Date following the Funding Date of any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make equal monthly payments of principal, together with applicable interest, in arrears, to Collateral Agent for the benefit of each Lender, as calculated by Collateral Agent (which calculations shall be deemed correct absent manifest error) based upon: (1) the outstanding principal amount of the Term Loan, (2) the effective rate of interest, as determined in Section 2.3(a), and (3) a repayment schedule equal to three (3) months. All unpaid principal and accrued and unpaid interest with respect to the Term Loan is due and payable in full on the Maturity Date. The Term Loan may only be prepaid in accordance with Sections 2.2(c) and 2.2(d).</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(c)          </w:t>
      </w:r>
      <w:r>
        <w:rPr>
          <w:rFonts w:ascii="Arial" w:cs="Arial" w:eastAsia="Arial" w:hAnsi="Arial"/>
          <w:sz w:val="16"/>
          <w:szCs w:val="16"/>
          <w:u w:val="single" w:color="auto"/>
          <w:color w:val="auto"/>
        </w:rPr>
        <w:t>  Mandatory Prepayments</w:t>
      </w:r>
      <w:r>
        <w:rPr>
          <w:rFonts w:ascii="Arial" w:cs="Arial" w:eastAsia="Arial" w:hAnsi="Arial"/>
          <w:sz w:val="16"/>
          <w:szCs w:val="16"/>
          <w:color w:val="auto"/>
        </w:rPr>
        <w:t>. If the Term Loan is accelerated following the occurrence of any Event of Default, Borrower shall immediately pay to Collateral Agent for the benefit of the Lenders, payable to each Lender in accordance with its respective Pro Rata Share, an amount equal to the sum of: (i) all outstanding principal of the Term Loan plus accrued and unpaid interest thereon through the prepayment date, (ii) the Final Fee,</w:t>
      </w:r>
    </w:p>
    <w:p>
      <w:pPr>
        <w:spacing w:after="0" w:line="2" w:lineRule="exact"/>
        <w:rPr>
          <w:sz w:val="20"/>
          <w:szCs w:val="20"/>
          <w:color w:val="auto"/>
        </w:rPr>
      </w:pPr>
    </w:p>
    <w:p>
      <w:pPr>
        <w:jc w:val="both"/>
        <w:ind w:firstLine="8"/>
        <w:spacing w:after="0" w:line="253" w:lineRule="auto"/>
        <w:tabs>
          <w:tab w:leader="none" w:pos="3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Prepayment Fee, plus (iv) all other Obligations that are due and payable, including, without limitation, Lenders’ Expenses and interest at the Default Rate with respect to any past due amounts. Notwithstanding (but without duplication with) the foregoing, on the Maturity Date, if the Final Fee had not previously been paid in full in connection with the prepayment of the Term Loan in full, Borrower shall pay to each Lender in accordance with its respective Pro Rata Share, the Final Fee in respect of the Term Loan.</w:t>
      </w:r>
    </w:p>
    <w:p>
      <w:pPr>
        <w:spacing w:after="0" w:line="193"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(d)          </w:t>
      </w:r>
      <w:r>
        <w:rPr>
          <w:rFonts w:ascii="Arial" w:cs="Arial" w:eastAsia="Arial" w:hAnsi="Arial"/>
          <w:sz w:val="17"/>
          <w:szCs w:val="17"/>
          <w:u w:val="single" w:color="auto"/>
          <w:color w:val="auto"/>
        </w:rPr>
        <w:t>  Permitted Prepayment of Term Loan</w:t>
      </w:r>
      <w:r>
        <w:rPr>
          <w:rFonts w:ascii="Arial" w:cs="Arial" w:eastAsia="Arial" w:hAnsi="Arial"/>
          <w:sz w:val="17"/>
          <w:szCs w:val="17"/>
          <w:color w:val="auto"/>
        </w:rPr>
        <w:t>. After the date that is the first anniversary of the Effective Date, the Borrower shall have the option to prepay all, but not less than all, of the Term Loan advanced by the Lenders under this Agreement, provided Borrower (i) provides written notice to Collateral Agent of its election to prepay the Term Loan at least seven (7) Business Days prior to such prepayment, and (ii) pays to Collateral Agent for the benefit of each Lenders on the date of such prepayment, payable to each Lender in accordance with its respective Pro Rata Share, an amount equal to the sum of (A) all outstanding principal of the Term Loan plus accrued and unpaid interest thereon through the prepayment date, (B) the Final Fee, (C) the Prepayment Fee, plus (D) all other outstanding Obligations that are due and payable, including, without limitation, Lenders’ Expenses and interest at the Default Rate with respect to any past due amounts.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2.3           Payment of Interest on the Term Loan</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Interest Rate</w:t>
      </w:r>
      <w:r>
        <w:rPr>
          <w:rFonts w:ascii="Arial" w:cs="Arial" w:eastAsia="Arial" w:hAnsi="Arial"/>
          <w:sz w:val="17"/>
          <w:szCs w:val="17"/>
          <w:color w:val="auto"/>
        </w:rPr>
        <w:t>. Subject to Section 2.3(b), the principal amount outstanding under the Term Loan shall accrue interest at a floating per annum rate equal to the Basic Rate, determined by Collateral Agent on the Funding Date of the Term Loan and monthly thereafter, which interest shall be payable monthly in arrears in accordance with Sections 2.2(b) and 2.3(e); provided that at the election of Borrower (which shall be considered elected on the Funding Date of the applicable Term Loan) with no less than five (5) Business Days’ written notice to Collateral Agent prior to the Effective Date, 2.15% of the Basic Rate may be payable in-kind by adding an amount equal to such 2.15% of the outstanding principal amount to the then outstanding principal balance on a monthly basis until the third anniversary of the Effective Date so as to increase the outstanding principal balance of the Term A Loan on each Payment Date and which amount shall be payable when the principal amount of the applicable Term A Loan is payable in accordance with Sections 2.2(b) and 2.3(e) and on which principal amount interest shall be owed pursuant to Section 2.3(a).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  Default Rate</w:t>
      </w:r>
      <w:r>
        <w:rPr>
          <w:rFonts w:ascii="Arial" w:cs="Arial" w:eastAsia="Arial" w:hAnsi="Arial"/>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w:t>
      </w:r>
      <w:r>
        <w:rPr>
          <w:rFonts w:ascii="Arial" w:cs="Arial" w:eastAsia="Arial" w:hAnsi="Arial"/>
          <w:sz w:val="16"/>
          <w:szCs w:val="16"/>
          <w:u w:val="single" w:color="auto"/>
          <w:color w:val="auto"/>
        </w:rPr>
        <w:t>  365 Day Year</w:t>
      </w:r>
      <w:r>
        <w:rPr>
          <w:rFonts w:ascii="Arial" w:cs="Arial" w:eastAsia="Arial" w:hAnsi="Arial"/>
          <w:sz w:val="16"/>
          <w:szCs w:val="16"/>
          <w:color w:val="auto"/>
        </w:rPr>
        <w:t>. Interest shall be computed on the basis of a three hundred sixty-five (365) day year and the actual number of days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elapsed.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1296"/>
        <w:spacing w:after="0" w:line="263"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  Debit of Accounts</w:t>
      </w:r>
      <w:r>
        <w:rPr>
          <w:rFonts w:ascii="Arial" w:cs="Arial" w:eastAsia="Arial" w:hAnsi="Arial"/>
          <w:sz w:val="18"/>
          <w:szCs w:val="18"/>
          <w:color w:val="auto"/>
        </w:rPr>
        <w:t>. Collateral Agent may debit (or ACH) any deposit accounts maintained by Borrower for principal and interest payments or any other amounts Borrower owes the Lenders under the Loan Documents when due. Any such debits (or ACH activity) shall not constitute a set off.</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  Payments</w:t>
      </w:r>
      <w:r>
        <w:rPr>
          <w:rFonts w:ascii="Arial" w:cs="Arial" w:eastAsia="Arial" w:hAnsi="Arial"/>
          <w:sz w:val="17"/>
          <w:szCs w:val="17"/>
          <w:color w:val="auto"/>
        </w:rPr>
        <w:t>. Except as otherwise expressly provided herein, all payments by Borrower under the Loan Documents shall be made to Collateral Agent at Collateral Agent’s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 off, recoupment or counterclaim, in lawful money of the United States and in immediately available funds.</w:t>
      </w:r>
    </w:p>
    <w:p>
      <w:pPr>
        <w:spacing w:after="0" w:line="17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(f)          </w:t>
      </w:r>
      <w:r>
        <w:rPr>
          <w:rFonts w:ascii="Arial" w:cs="Arial" w:eastAsia="Arial" w:hAnsi="Arial"/>
          <w:sz w:val="18"/>
          <w:szCs w:val="18"/>
          <w:u w:val="single" w:color="auto"/>
          <w:color w:val="auto"/>
        </w:rPr>
        <w:t>  Changes in Prime Rate</w:t>
      </w:r>
      <w:r>
        <w:rPr>
          <w:rFonts w:ascii="Arial" w:cs="Arial" w:eastAsia="Arial" w:hAnsi="Arial"/>
          <w:sz w:val="18"/>
          <w:szCs w:val="18"/>
          <w:color w:val="auto"/>
        </w:rPr>
        <w:t>. In the event the Prime Rate is changed from time to time hereafter and because of any such change the Basic Rate changes, the Basic Rate may be increased or decreased, effective as of the day of such change in the Prime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2.4            Fees</w:t>
      </w:r>
      <w:r>
        <w:rPr>
          <w:rFonts w:ascii="Arial" w:cs="Arial" w:eastAsia="Arial" w:hAnsi="Arial"/>
          <w:sz w:val="18"/>
          <w:szCs w:val="18"/>
          <w:color w:val="auto"/>
        </w:rPr>
        <w:t>. Borrower shall pay to Collateral Agent: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  Facility Fee</w:t>
      </w:r>
      <w:r>
        <w:rPr>
          <w:rFonts w:ascii="Arial" w:cs="Arial" w:eastAsia="Arial" w:hAnsi="Arial"/>
          <w:sz w:val="18"/>
          <w:szCs w:val="18"/>
          <w:color w:val="auto"/>
        </w:rPr>
        <w:t>. The Term Loan Facility Fee, which shall be due on the Funding Date of each Term Loan with respect to such Term Loan, to be shared among the Lenders in accordance with their respective Pro Rata Shares;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  Final Fee</w:t>
      </w:r>
      <w:r>
        <w:rPr>
          <w:rFonts w:ascii="Arial" w:cs="Arial" w:eastAsia="Arial" w:hAnsi="Arial"/>
          <w:sz w:val="16"/>
          <w:szCs w:val="16"/>
          <w:color w:val="auto"/>
        </w:rPr>
        <w:t>. The Final Fee, when due hereunder, to be shared among the Lenders in accordance with their respective Pro Rata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Prepayment Fee</w:t>
      </w:r>
      <w:r>
        <w:rPr>
          <w:rFonts w:ascii="Arial" w:cs="Arial" w:eastAsia="Arial" w:hAnsi="Arial"/>
          <w:sz w:val="18"/>
          <w:szCs w:val="18"/>
          <w:color w:val="auto"/>
        </w:rPr>
        <w:t>. The Prepayment Fee, when due hereunder, to be shared among the Lenders in accordance with their respective Pro Rata Shares; and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  Lenders’ Expenses</w:t>
      </w:r>
      <w:r>
        <w:rPr>
          <w:rFonts w:ascii="Arial" w:cs="Arial" w:eastAsia="Arial" w:hAnsi="Arial"/>
          <w:sz w:val="18"/>
          <w:szCs w:val="18"/>
          <w:color w:val="auto"/>
        </w:rPr>
        <w:t>. All Lenders’ Expenses (including reasonable attorneys’ fees and expenses for due diligence, investigation, documentation and negotiation of this Agreement) incurred through and after the Effective Date, when due.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2.5            Withholding</w:t>
      </w:r>
      <w:r>
        <w:rPr>
          <w:rFonts w:ascii="Arial" w:cs="Arial" w:eastAsia="Arial" w:hAnsi="Arial"/>
          <w:sz w:val="16"/>
          <w:szCs w:val="16"/>
          <w:color w:val="auto"/>
        </w:rPr>
        <w:t>. Payments received by Collateral Agent or the Lenders from Borrower hereunder will be made free and clear of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2.5 shall survive the termination of this Agreement.</w:t>
      </w:r>
    </w:p>
    <w:p>
      <w:pPr>
        <w:spacing w:after="0" w:line="1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2.6          Secured Promissory Notes</w:t>
      </w:r>
      <w:r>
        <w:rPr>
          <w:rFonts w:ascii="Arial" w:cs="Arial" w:eastAsia="Arial" w:hAnsi="Arial"/>
          <w:sz w:val="17"/>
          <w:szCs w:val="17"/>
          <w:color w:val="auto"/>
        </w:rPr>
        <w:t>. Each Term Loan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            Conditions Precedent to Initial Term Loan</w:t>
      </w:r>
      <w:r>
        <w:rPr>
          <w:rFonts w:ascii="Arial" w:cs="Arial" w:eastAsia="Arial" w:hAnsi="Arial"/>
          <w:sz w:val="18"/>
          <w:szCs w:val="18"/>
          <w:color w:val="auto"/>
        </w:rPr>
        <w:t>. Each Lender’s obligation to make the Term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shall consent to or shall have received, in form and substance satisfactory to Collateral Agent and each Lender, such documents, and completion of such other matters, as Collateral Agent and each Lender may reasonably deem necessary or appropriate, including, without limitation, the following:</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original Loan Documents, each duly executed by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 completed Perfection Certificate for Borrower and each of its Subsidiaries;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the Operating Documents and a good standing certificate of Borrower certified by the Secretary of State (or equivalent agency) of Borrower’s jurisdiction of organization or formation and the Secretary of State of the State of Minnesota, each as of a date no earlier than thirty (30) days prior to the Effective Date;</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(d)            a copy of resolutions of the governing body for Borrower evidencing approval of the Term Loan and other transactions evidenced by the Loan Documents;</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(e)            duly executed officer’s certificates for Borrower certifying as to (i) the incumbency of each Responsible Officer executing each Loan Document and (ii) the documents delivered pursuant to Section 3.1(d) and 3.1(e), in a form acceptable to Collateral Agent and the Lenders;</w:t>
      </w:r>
    </w:p>
    <w:p>
      <w:pPr>
        <w:spacing w:after="0" w:line="12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(f)            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            a duly executed legal opinion of counsel to Borrower dated as of the Effective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            evidence satisfactory to Collateral Agent and the Lenders that the insurance policies required by Section 6.5 hereof are in full force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effect;</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             evidence (reasonably acceptable to Collateral Agent) that the aggregate amount of the Term A Loan to be made on the Effective Date is less than or equal to fifteen percent (15.00%) of Borrower’s market capitalization (equal to the number of shares of Borrower’s issued and outstanding shares of common stock multiplied by the closing share price of Borrower’s common stock on The Nasdaq Global Select Market on the last trading day prior to the Effective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             payment of the Facility Fee and Lenders’ Expenses then due as specified in Section 2.4 hereof; and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(k)            a bailee waiver executed in favor of the Collateral Agent in respect of each third party bailee where Borrower maintains Collateral having a book value in excess of Two Hundred Fifty Thousand Dollars ($250,000.00).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right="20" w:firstLine="648"/>
        <w:spacing w:after="0" w:line="282" w:lineRule="auto"/>
        <w:rPr>
          <w:sz w:val="20"/>
          <w:szCs w:val="20"/>
          <w:color w:val="auto"/>
        </w:rPr>
      </w:pPr>
      <w:r>
        <w:rPr>
          <w:rFonts w:ascii="Arial" w:cs="Arial" w:eastAsia="Arial" w:hAnsi="Arial"/>
          <w:sz w:val="18"/>
          <w:szCs w:val="18"/>
          <w:b w:val="1"/>
          <w:bCs w:val="1"/>
          <w:color w:val="auto"/>
        </w:rPr>
        <w:t>3.2           Conditions Precedent to all Term Loans</w:t>
      </w:r>
      <w:r>
        <w:rPr>
          <w:rFonts w:ascii="Arial" w:cs="Arial" w:eastAsia="Arial" w:hAnsi="Arial"/>
          <w:sz w:val="18"/>
          <w:szCs w:val="18"/>
          <w:color w:val="auto"/>
        </w:rPr>
        <w:t>. The obligation of each Lender to extend each Term Loan, including the initial Term Loan,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(a)            receipt by Collateral Agent of (i) an executed Loan Payment Request Form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an executed Disbursement Letter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(b)            the representations and warranties in Section 5 hereof shall be true, accurate and complete in all material respects on the date of each Loan Payment Request Form and the date of each Disbursement Letter and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in such Lender’s reasonable discretion, there has not been any Material Adverse 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no Event of Default or an event that with the passage of time could result in an Event of Default, shall exist;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to the extent not delivered at the Effective Date, duly executed original Secured Promissory Notes, in number, form and content acceptable to each Lender, and in favor of each Lender according to its Commitment Percentage, with respect to each Term Loan made by such Lender after the Effective Date;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payment of the fees and Lenders’ Expenses then due as specified in Section 2.4 hereof.</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Collateral Agent and the Lenders each item required to be delivered to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or the Lenders under this Agreement as a condition precedent to any Term Loan. Borrower expressly agrees that the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 Subject to the prior satisfaction of all other applicable conditions to the making of the Term Loan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obtain the Term Loan (other than the Term Loan funded on the Effective Date), Borrower shall notify Collateral Agent (which notice shall be irrevocable) by electronic mail, facsimile, or telephone by 12:00 noon Eastern time ten (10) Business Days (or such shorter period as acceptable to the Lenders in their sole discretion) prior to the date the Term Loan is to be made. Together with any such electronic, facsimile or telephonic notification, Borrower shall deliver to Collateral Agent by electronic mail or facsimile a completed Disbursement Letter and Loan Payment Request Form executed by a Responsible Officer or his or her designee. The Collateral Agent may rely on any telephone notice given by a person whom Collateral Agent reasonably believes is a Responsible Officer or designee.</w:t>
      </w:r>
    </w:p>
    <w:p>
      <w:pPr>
        <w:spacing w:after="0" w:line="18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4.1           Grant of Security Interest</w:t>
      </w:r>
      <w:r>
        <w:rPr>
          <w:rFonts w:ascii="Arial" w:cs="Arial" w:eastAsia="Arial" w:hAnsi="Arial"/>
          <w:sz w:val="16"/>
          <w:szCs w:val="16"/>
          <w:color w:val="auto"/>
        </w:rPr>
        <w:t>. Borrower hereby grants Collateral Agent, for the ratable benefit of the Lenders, to secure the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 Collateral Agent shall, at Borrower’s sole cost and expense, execute such further documents and take such further actions as may be reasonably necessary to make effective the release contemplated by this Section 4.1, including duly authorizing and delivering termination statements for filing in all relevant jurisdictions under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6" w:lineRule="auto"/>
        <w:rPr>
          <w:sz w:val="20"/>
          <w:szCs w:val="20"/>
          <w:color w:val="auto"/>
        </w:rPr>
      </w:pPr>
      <w:r>
        <w:rPr>
          <w:rFonts w:ascii="Arial" w:cs="Arial" w:eastAsia="Arial" w:hAnsi="Arial"/>
          <w:sz w:val="18"/>
          <w:szCs w:val="18"/>
          <w:b w:val="1"/>
          <w:bCs w:val="1"/>
          <w:color w:val="auto"/>
        </w:rPr>
        <w:t>4.2          Authorization to File Financing Statements</w:t>
      </w:r>
      <w:r>
        <w:rPr>
          <w:rFonts w:ascii="Arial" w:cs="Arial" w:eastAsia="Arial" w:hAnsi="Arial"/>
          <w:sz w:val="18"/>
          <w:szCs w:val="18"/>
          <w:color w:val="auto"/>
        </w:rPr>
        <w:t>. Borrower hereby authorizes Collateral Agent to file financing statements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take such other actions as may be required to perfect Collateral Agent’s security interests in the Collateral, without notice to Borrower, with all appropriate jurisdictions to perfect or protect Collateral Agent’s interest or rights under the Loan Documents.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4.3          Pledge of Collateral. </w:t>
      </w:r>
      <w:r>
        <w:rPr>
          <w:rFonts w:ascii="Arial" w:cs="Arial" w:eastAsia="Arial" w:hAnsi="Arial"/>
          <w:sz w:val="16"/>
          <w:szCs w:val="16"/>
          <w:color w:val="auto"/>
        </w:rPr>
        <w:t>Borrower hereby pledges, assigns and grants to Collateral Agent, for the ratable benefit of the Lenders, a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constitute or create any violation of any of the terms of this Agreement. All such rights to vote and give consents, waivers and ratifications shall terminate upon the occurrence and continuance of an Event of Default.</w:t>
      </w:r>
    </w:p>
    <w:p>
      <w:pPr>
        <w:spacing w:after="0" w:line="17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and each of its Subsidiaries is duly existing and in good standing as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or before the Effective Date (as may be further updated or supplemented pursuant to Section 6.2(b), each a “</w:t>
      </w:r>
      <w:r>
        <w:rPr>
          <w:rFonts w:ascii="Arial" w:cs="Arial" w:eastAsia="Arial" w:hAnsi="Arial"/>
          <w:sz w:val="16"/>
          <w:szCs w:val="16"/>
          <w:b w:val="1"/>
          <w:bCs w:val="1"/>
          <w:color w:val="auto"/>
        </w:rPr>
        <w:t>Perfection Certificate</w:t>
      </w:r>
      <w:r>
        <w:rPr>
          <w:rFonts w:ascii="Arial" w:cs="Arial" w:eastAsia="Arial" w:hAnsi="Arial"/>
          <w:sz w:val="16"/>
          <w:szCs w:val="16"/>
          <w:color w:val="auto"/>
        </w:rPr>
        <w:t>” and collectively, the “</w:t>
      </w:r>
      <w:r>
        <w:rPr>
          <w:rFonts w:ascii="Arial" w:cs="Arial" w:eastAsia="Arial" w:hAnsi="Arial"/>
          <w:sz w:val="16"/>
          <w:szCs w:val="16"/>
          <w:b w:val="1"/>
          <w:bCs w:val="1"/>
          <w:color w:val="auto"/>
        </w:rPr>
        <w:t>Perfection Certificates</w:t>
      </w:r>
      <w:r>
        <w:rPr>
          <w:rFonts w:ascii="Arial" w:cs="Arial" w:eastAsia="Arial" w:hAnsi="Arial"/>
          <w:sz w:val="16"/>
          <w:szCs w:val="16"/>
          <w:color w:val="auto"/>
        </w:rPr>
        <w:t>”). Borrower represents and warrants that all the information set forth on the most recent Perfection Certificate delivered pursuant to Section 6.2(b) pertaining to Borrower and each of its Subsidiaries is accurate and complete as of the date set forth therein.</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jc w:val="both"/>
        <w:ind w:firstLine="8"/>
        <w:spacing w:after="0" w:line="288" w:lineRule="auto"/>
        <w:tabs>
          <w:tab w:leader="none" w:pos="273"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            Borrower has good title to, has rights in, and the power to transfer each item of the Collateral upon which it purports to grant a Lien under the Loan Documents, free and clear of any and all Liens except Permitted Liens, and Borrower does not have any Deposit Accounts, Securities Accounts, Commodity Accounts or other investment accounts other than the Collateral Accounts or the other investment accounts, if any, described in the Perfection Certificate delivered to Collateral Agent in connection herewith with respect of which Borrower has given Collateral Agent notice and taken such actions as are necessary to give Collateral Agent a perfected security interest therein (to the extent required hereby). The Accounts are bona fide, existing obligations of the Account Debtors.</w:t>
      </w:r>
    </w:p>
    <w:p>
      <w:pPr>
        <w:spacing w:after="0" w:line="19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(b)            The provisions of this Agreement are sufficient to create a legal and valid security interest in the Collateral in favor of Collateral Agent, and, assuming the proper filing of one or more financing statement(s) identifying the Collateral (as proposed to be filed by Collateral Agent) with the Secretary of State of Delaware, the security interest in the Collateral granted to Collateral Agent pursuant to this Agreement will be perfected in that portion of such Collateral in which a security interest may be perfected by the filing of a financing statement under the Code (excluding commercial tort claims and timber to be cut) and to the extent perfected in accordance with the foregoing, such security interests will constitute first priority security interests, subject only to Permitted Liens that are permitted by the terms of this Agreement to have priority to Collateral Agent’s Lien.</w:t>
      </w:r>
    </w:p>
    <w:p>
      <w:pPr>
        <w:spacing w:after="0" w:line="16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(c)            On the Effective Date, and except as disclosed on the Perfection Certificate (i) the Collateral is not in the possession of any third party bailee, and (ii) no such third party bailee possesses components of the Collateral in excess of Two Hundred Fifty Thousand Dollars ($250,000.00).</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All Inventory and Equipment is in all material respects of good and marketable quality, free from material defects.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Except as disclosed on the Perfection Certificate, there are no actions, suits, investigations, or proceedings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Responsible Officers, threatened in writing by or against Borrower or any of its Subsidiaries involving more than Two Hundred Fifty Thousand Dollars ($250,000.00) or a claim for infringement of any intellectual property. Except as disclosed on the Perfection Certificate, there are no actions, suits, investigations or proceedings pending or, to the Knowledge of the Responsible Officers, threatened in writing by or against Borrower or any Subsidiaries involving challenges to the validity of the Intellectual Property.</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5.4           No Material Adverse Change; Financial Statements</w:t>
      </w:r>
      <w:r>
        <w:rPr>
          <w:rFonts w:ascii="Arial" w:cs="Arial" w:eastAsia="Arial" w:hAnsi="Arial"/>
          <w:sz w:val="18"/>
          <w:szCs w:val="18"/>
          <w:color w:val="auto"/>
        </w:rPr>
        <w:t>. All consolidated financial statements for Borrower and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fairly present, in conformity with GAAP, in all material respects the consolidated financial condition of Borrower and its Subsidiaries, and the consolidated results of operations of Borrower and its Subsidiaries. Since the date of the most recent financial statements submitted to Collateral Agent, there has not been a Material Adverse Change.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Borrower and each of its Subsidiaries, when taken as a whole, is Solvent.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88" w:lineRule="auto"/>
        <w:rPr>
          <w:sz w:val="20"/>
          <w:szCs w:val="20"/>
          <w:color w:val="auto"/>
        </w:rPr>
      </w:pPr>
      <w:r>
        <w:rPr>
          <w:rFonts w:ascii="Arial" w:cs="Arial" w:eastAsia="Arial" w:hAnsi="Arial"/>
          <w:sz w:val="16"/>
          <w:szCs w:val="16"/>
          <w:b w:val="1"/>
          <w:bCs w:val="1"/>
          <w:color w:val="auto"/>
        </w:rPr>
        <w:t>5.6          Regulatory Compliance</w:t>
      </w:r>
      <w:r>
        <w:rPr>
          <w:rFonts w:ascii="Arial" w:cs="Arial" w:eastAsia="Arial" w:hAnsi="Arial"/>
          <w:sz w:val="16"/>
          <w:szCs w:val="16"/>
          <w:color w:val="auto"/>
        </w:rPr>
        <w:t>. Neither Borrower nor any of its Subsidiaries is an “investment company” or a company “controlled”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 except where the failure to do so could not reasonably be expected to have a Material Adverse Change.</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None of Borrower, any of its Subsidiaries, or to the Knowledge of Borrower, any of Borrower’s or its Subsidiaries’ Affiliates or any of their respective agents acting or benefiting in any capacity in connection with the transactions contemplated by this Agreement is (i) in violation of any Anti Terrorism Law, (ii) engaging in or conspiring to engage in any transaction that evades or avoids, or has the purpose of evading or avoiding or attempts to violate, any of the prohibitions set forth in any Anti Terrorism Law, or (iii) is a Blocked Person. None of Borrower, any of its Subsidiaries, or to the Knowledge of Borrower, any of their Affiliates or agents, acting or benefiting in any capacity in connection with the transactions contemplated by this Agreement,</w:t>
      </w:r>
    </w:p>
    <w:p>
      <w:pPr>
        <w:spacing w:after="0" w:line="2"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conducts any business or engages in making or receiving any contribution of funds, goods or services to or for the benefit of any Blocked Person, or</w:t>
      </w:r>
    </w:p>
    <w:p>
      <w:pPr>
        <w:spacing w:after="0" w:line="32" w:lineRule="exact"/>
        <w:rPr>
          <w:rFonts w:ascii="Arial" w:cs="Arial" w:eastAsia="Arial" w:hAnsi="Arial"/>
          <w:sz w:val="16"/>
          <w:szCs w:val="16"/>
          <w:color w:val="auto"/>
        </w:rPr>
      </w:pPr>
    </w:p>
    <w:p>
      <w:pPr>
        <w:ind w:firstLine="8"/>
        <w:spacing w:after="0" w:line="260"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deals in, or otherwise engages in any transaction relating to, any property or interest in property blocked pursuant to Executive Order No. 13224, any similar executive order or other Anti Terrorism Law.</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5.7          Investments</w:t>
      </w:r>
      <w:r>
        <w:rPr>
          <w:rFonts w:ascii="Arial" w:cs="Arial" w:eastAsia="Arial" w:hAnsi="Arial"/>
          <w:sz w:val="18"/>
          <w:szCs w:val="18"/>
          <w:color w:val="auto"/>
        </w:rPr>
        <w:t>. 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and each of its Subsidiaries has timely filed all required tax returns and</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and Borrower and each of its Subsidiaries, has timely paid all foreign, federal, state, and local taxes, assessments, deposits and contributions owed by Borrower and such Subsidiaries in an amount greater than One Hundred Thousand Dollars ($100,000.00),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in good faith contests its obligation to pay the taxes by appropriate proceedings promptly and diligently instituted and conducted. Neither Borrower nor any of its Subsidiaries is aware of any claims or adjustments proposed for any of Borrower’s or such Subsidiaries’ prior tax years which could result in additional material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Term Loan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 this Agreement, and not for personal, family, household or agricultural purposes.</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5.10        Full Disclosure</w:t>
      </w:r>
      <w:r>
        <w:rPr>
          <w:rFonts w:ascii="Arial" w:cs="Arial" w:eastAsia="Arial" w:hAnsi="Arial"/>
          <w:sz w:val="16"/>
          <w:szCs w:val="16"/>
          <w:color w:val="auto"/>
        </w:rPr>
        <w:t>. No written representation, warranty or other statement of Borrower or any of its Subsidiaries in any certificate 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given to Collateral Agent or any Lender in connection with the transactions contemplated hereby,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6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and shall cause each of its Subsidiaries to, do all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6.2           Financial Statements, Reports, Certificates; Notices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Deliver to Collateral Agent:</w:t>
      </w:r>
    </w:p>
    <w:p>
      <w:pPr>
        <w:spacing w:after="0" w:line="22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(i)             as soon as available, but no later than thirty (30) days after the last day of each fiscal month (other than the last fiscal month of any fiscal quarter) of Borrower, a company prepared summary financial statement covering the consolidated operations of Borrower and its Subsidiaries for such fiscal month in a form reasonably acceptable to Collateral Agent;</w:t>
      </w:r>
    </w:p>
    <w:p>
      <w:pPr>
        <w:spacing w:after="0" w:line="184" w:lineRule="exact"/>
        <w:rPr>
          <w:sz w:val="20"/>
          <w:szCs w:val="20"/>
          <w:color w:val="auto"/>
        </w:rPr>
      </w:pPr>
    </w:p>
    <w:p>
      <w:pPr>
        <w:jc w:val="both"/>
        <w:ind w:firstLine="1944"/>
        <w:spacing w:after="0" w:line="301" w:lineRule="auto"/>
        <w:rPr>
          <w:sz w:val="20"/>
          <w:szCs w:val="20"/>
          <w:color w:val="auto"/>
        </w:rPr>
      </w:pPr>
      <w:r>
        <w:rPr>
          <w:rFonts w:ascii="Arial" w:cs="Arial" w:eastAsia="Arial" w:hAnsi="Arial"/>
          <w:sz w:val="16"/>
          <w:szCs w:val="16"/>
          <w:color w:val="auto"/>
        </w:rPr>
        <w:t>(ii)            as soon as available and in any event no later than forty-five (45) days after the last day of each fiscal quarter of each fiscal year of Borrower, a company prepared consolidated balance sheet, income statement and cash flow statement covering the consolidated operations of Borrower and its Subsidiaries for such quarter in reasonable detail and certified by a Responsible Officer as fairly presenting, in all respects, the financial position of Borrower and its Subsidiaries as at the end of such quarter, and in a form reasonably acceptable to Collateral Agent;</w:t>
      </w:r>
    </w:p>
    <w:p>
      <w:pPr>
        <w:spacing w:after="0" w:line="157"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(iii)           as soon as available, but no later than ninety (90) days after the last day of Borrower’s fiscal year or within five (5) days of filing with the Securities and Exchange Commission, audited consolidated financial statements prepared under GAAP, consistently applied, together with an opinion from an independent certified public accounting firm acceptable to Collateral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audited consolidated financial statements shall include an unqualified opinion of Borrower’s independent certified public accounting firm on such financial statements (except with respect to a going concern qualification);</w:t>
      </w:r>
    </w:p>
    <w:p>
      <w:pPr>
        <w:spacing w:after="0" w:line="188" w:lineRule="exact"/>
        <w:rPr>
          <w:sz w:val="20"/>
          <w:szCs w:val="20"/>
          <w:color w:val="auto"/>
        </w:rPr>
      </w:pPr>
    </w:p>
    <w:p>
      <w:pPr>
        <w:jc w:val="both"/>
        <w:ind w:firstLine="1944"/>
        <w:spacing w:after="0" w:line="279" w:lineRule="auto"/>
        <w:rPr>
          <w:sz w:val="20"/>
          <w:szCs w:val="20"/>
          <w:color w:val="auto"/>
        </w:rPr>
      </w:pPr>
      <w:r>
        <w:rPr>
          <w:rFonts w:ascii="Arial" w:cs="Arial" w:eastAsia="Arial" w:hAnsi="Arial"/>
          <w:sz w:val="17"/>
          <w:szCs w:val="17"/>
          <w:color w:val="auto"/>
        </w:rPr>
        <w:t>(iv)          as soon as available after approval thereof by Borrower’s board of directors, but no later than the earlier of ten (10) days after such approval and forty-five (45) days after the last day of Borrower’s fiscal year, Borrower’s annual (A) financial projections and (B) budget, in each case, for the entire current fiscal year as approved by Borrower’s board of directors; provided that, any revisions to such projections and/or budget approved by Borrower’s board of directors shall be delivered to Collateral Agent no later than seven (7) days after such approval);</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(v)           within five (5) days of filing, all reports on Form 10 K, 10 Q and 8 K filed with the Securities and Exchange Commission;</w:t>
      </w:r>
    </w:p>
    <w:p>
      <w:pPr>
        <w:spacing w:after="0" w:line="24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(vi)          within five (5) days of delivery, copies of all non-ministerial statements, reports and notices made available to Borrower’s board of directors, security holders or holders of Subordinated Debt, except any information that: (A) Borrower determines in good faith upon advice of its counsel that the receipt of such information by Collateral Agent would jeopardize the attorney-client privilege between Borrower and its counsel, or any Subsidiary and its counsel, (B is highly confidential proprietary information of Borrower or any Subsidiary or (iii) relates to Borrower’s or any Subsidiaries’ strategy or negotiating position with respect to Collateral Agent or any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944"/>
        <w:spacing w:after="0" w:line="277" w:lineRule="auto"/>
        <w:rPr>
          <w:sz w:val="20"/>
          <w:szCs w:val="20"/>
          <w:color w:val="auto"/>
        </w:rPr>
      </w:pPr>
      <w:r>
        <w:rPr>
          <w:rFonts w:ascii="Arial" w:cs="Arial" w:eastAsia="Arial" w:hAnsi="Arial"/>
          <w:sz w:val="18"/>
          <w:szCs w:val="18"/>
          <w:color w:val="auto"/>
        </w:rPr>
        <w:t>(vii)         prompt notice of any amendments of or other changes to the Operating Documents of Borrower, together with any copies reflecting such amendments or changes with respect thereto;</w:t>
      </w:r>
    </w:p>
    <w:p>
      <w:pPr>
        <w:spacing w:after="0" w:line="170"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(viii)        no later than thirty (30) days after the last day of each month, copies of the month end account statements for each Collateral Account maintained by Borrower and each Subsidiary of Borrower, which statements may be provided to Collateral Agent by Borrower or directly from the applicable institution(s);</w:t>
      </w:r>
    </w:p>
    <w:p>
      <w:pPr>
        <w:spacing w:after="0" w:line="184" w:lineRule="exact"/>
        <w:rPr>
          <w:sz w:val="20"/>
          <w:szCs w:val="20"/>
          <w:color w:val="auto"/>
        </w:rPr>
      </w:pPr>
    </w:p>
    <w:p>
      <w:pPr>
        <w:jc w:val="both"/>
        <w:ind w:firstLine="1944"/>
        <w:spacing w:after="0" w:line="311" w:lineRule="auto"/>
        <w:rPr>
          <w:sz w:val="20"/>
          <w:szCs w:val="20"/>
          <w:color w:val="auto"/>
        </w:rPr>
      </w:pPr>
      <w:r>
        <w:rPr>
          <w:rFonts w:ascii="Arial" w:cs="Arial" w:eastAsia="Arial" w:hAnsi="Arial"/>
          <w:sz w:val="16"/>
          <w:szCs w:val="16"/>
          <w:color w:val="auto"/>
        </w:rPr>
        <w:t>(ix)           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49"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(x)            prompt notice of any event that (A) could reasonably be expected to materially and adversely affect the Borrower’s Intellectual Property, and (B) could reasonably be expected to result in a Material Adverse Change;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(xi)           written notice at least ten (10) days’ prior to Borrower’s creation of a New Subsidiary in accordance with the terms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6.10;</w:t>
      </w:r>
    </w:p>
    <w:p>
      <w:pPr>
        <w:spacing w:after="0" w:line="211"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(xii)          written notice at least thirty (30) days’ prior to Borrower’s (A) adding any new offices or business locations, including warehouses (unless such new offices or business locations contain less than Two Hundred Fifty Thousand Dollars ($250,000.00) in assets or property of Borrower), (B) changing its jurisdiction of organization, (C) changing its organizational structure or type, (D) changing its legal name, or (E) changing any organizational number (if any) assigned by its jurisdiction of organization;</w:t>
      </w:r>
    </w:p>
    <w:p>
      <w:pPr>
        <w:spacing w:after="0" w:line="187"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(xiii)         concurrently with the delivery of monthly financial statements pursuant to Section 6.2(a)(i) above, an updated Intellectual Property report reflecting any registrations or filings of any Intellectual Property</w:t>
      </w:r>
    </w:p>
    <w:p>
      <w:pPr>
        <w:spacing w:after="0" w:line="170"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(xiv)         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($250,000.00) or more or which could reasonably be expected to have a Material Adverse Change;</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(xv)          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(xvi)         immediate notice if Borrower or such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(xvii)        notice of any commercial tort claim of Borrower and of the general details thereof;</w:t>
      </w:r>
    </w:p>
    <w:p>
      <w:pPr>
        <w:spacing w:after="0" w:line="225" w:lineRule="exact"/>
        <w:rPr>
          <w:sz w:val="20"/>
          <w:szCs w:val="20"/>
          <w:color w:val="auto"/>
        </w:rPr>
      </w:pPr>
    </w:p>
    <w:p>
      <w:pPr>
        <w:jc w:val="both"/>
        <w:ind w:right="20" w:firstLine="1944"/>
        <w:spacing w:after="0" w:line="342" w:lineRule="auto"/>
        <w:rPr>
          <w:sz w:val="20"/>
          <w:szCs w:val="20"/>
          <w:color w:val="auto"/>
        </w:rPr>
      </w:pPr>
      <w:r>
        <w:rPr>
          <w:rFonts w:ascii="Arial" w:cs="Arial" w:eastAsia="Arial" w:hAnsi="Arial"/>
          <w:sz w:val="16"/>
          <w:szCs w:val="16"/>
          <w:color w:val="auto"/>
        </w:rPr>
        <w:t>(xviii)       if any Subsidiary of Borrower becomes a Registered Organization, written notice of such occurrence and information regarding such Person’s organizational identification number within seven (7) Business Days of receiving such organizational identification number; and</w:t>
      </w:r>
    </w:p>
    <w:p>
      <w:pPr>
        <w:spacing w:after="0" w:line="1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(xix)         other information as reasonably requested by Collateral Agent or any Lender.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1300"/>
        <w:spacing w:after="0"/>
        <w:rPr>
          <w:sz w:val="20"/>
          <w:szCs w:val="20"/>
          <w:color w:val="auto"/>
        </w:rPr>
      </w:pPr>
      <w:r>
        <w:rPr>
          <w:rFonts w:ascii="Arial" w:cs="Arial" w:eastAsia="Arial" w:hAnsi="Arial"/>
          <w:sz w:val="17"/>
          <w:szCs w:val="17"/>
          <w:color w:val="auto"/>
        </w:rPr>
        <w:t>(b)           Concurrently with the delivery of the financial statements specified in Section 6.2(a)(ii) above, deliver to Collateral Agent:</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a duly completed Compliance Certificate signed by a Responsible Officer;</w:t>
      </w:r>
    </w:p>
    <w:p>
      <w:pPr>
        <w:spacing w:after="0" w:line="225"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(ii)            an updated Perfection Certificate to reflect any amendments, modifications and updates to certain information in the Perfection Certificate after the Effective Date to the extent such amendments, modifications and updates are permitted by one or more specific provisions in this Agreement; any amendments, modifications and updates not permitted by one or more specific provisions in this Agreement are subject to the review and approval of Collateral Agent;</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copies of any material Governmental Approvals obtained by Borrower or any of its Subsidiaries;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(iv)          written notice of the commencement of, and any material development in, the proceedings contemplated by Section 5.8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 (if any); and</w:t>
      </w:r>
    </w:p>
    <w:p>
      <w:pPr>
        <w:spacing w:after="0" w:line="211" w:lineRule="exact"/>
        <w:rPr>
          <w:sz w:val="20"/>
          <w:szCs w:val="20"/>
          <w:color w:val="auto"/>
        </w:rPr>
      </w:pPr>
    </w:p>
    <w:p>
      <w:pPr>
        <w:jc w:val="both"/>
        <w:ind w:right="20" w:firstLine="1944"/>
        <w:spacing w:after="0" w:line="277" w:lineRule="auto"/>
        <w:rPr>
          <w:sz w:val="20"/>
          <w:szCs w:val="20"/>
          <w:color w:val="auto"/>
        </w:rPr>
      </w:pPr>
      <w:r>
        <w:rPr>
          <w:rFonts w:ascii="Arial" w:cs="Arial" w:eastAsia="Arial" w:hAnsi="Arial"/>
          <w:sz w:val="18"/>
          <w:szCs w:val="18"/>
          <w:color w:val="auto"/>
        </w:rPr>
        <w:t>(v)           written notice of all returns, recoveries, disputes and claims regarding Inventory that involve more than One Hundred Thousand Dollars ($100,000.00) individually or in the aggregate in any calendar year.</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(c)            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 Notwithstanding the foregoing, upon request of Collateral Agent, Borrower agrees to permit Collateral Agent to communicate with Borrower’s accounting firm (in the presence of a representative of Borrower) with respect to the consolidated financial statements delivered pursuant to this Section 6.2.</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(ordinary wear and tear excepted).</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and allowances between Borrower, or any of its Subsidiaries, and their respective Account Debtors shall follow Borrower’s, or such Subsidiary’s, customary practices as they exist at the Effective Date.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of its Subsidiaries to timely pay, all foreign, federal, state, and local taxes, assessments, deposits and contributions owed by Borrower or its Subsidiaries, except as otherwise permitted pursuant to the terms of Section 5.8 hereof, and shall deliver to Collateral Agent, on demand, appropriate certificates attesting to such payments, and pay all amounts necessary to fund all present pension, profit sharing and deferred compensation plans in accordance with the terms of such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84"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including, but not limited to, D&amp;O insurance reasonably satisfactory to Collateral Agent. Insurance policies shall be in a form, with companies, and in amounts that are reasonably satisfactory to Collateral Agent and Lenders (it being understood that the form, companies, amounts and types of coverages provided to Collateral Agent as of the date hereof are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within 90 days of receipt thereof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39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6.6          Operating Accounts</w:t>
      </w:r>
      <w:r>
        <w:rPr>
          <w:rFonts w:ascii="Arial" w:cs="Arial" w:eastAsia="Arial" w:hAnsi="Arial"/>
          <w:sz w:val="16"/>
          <w:szCs w:val="16"/>
          <w:color w:val="auto"/>
        </w:rPr>
        <w:t>. Borrower shall provide Collateral Agent ten (10) days’ prior written notice before Borrower or any of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establishes any Collateral Account. In addition, for each Collateral Account that Borrower at any time maintains, Borrower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(except pursuant to the terms of any such Control Agreement). The provisions of the previous sentence shall not apply to deposit accounts (i) exclusively used for payroll, payroll taxes and other employee wage and benefit payments to or for the benefit of Borrower’s, or any of its Subsidiaries’, employees or (ii) with financial institutions outside of the United States, provided that the aggregate amount on deposit in all such deposit or securities accounts shall not exceed $350,000 and in each case, identified to Collateral Agent by Borrower as such in the Perfection Certificate.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6.7          Protection of Intellectual Property Rights</w:t>
      </w:r>
      <w:r>
        <w:rPr>
          <w:rFonts w:ascii="Arial" w:cs="Arial" w:eastAsia="Arial" w:hAnsi="Arial"/>
          <w:sz w:val="16"/>
          <w:szCs w:val="16"/>
          <w:color w:val="auto"/>
        </w:rPr>
        <w:t>. Borrower and each of its Subsidiaries shall: (a) protect, defend and maintain the validity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enforceability of its Intellectual Property that is material to its business; (b) promptly advise Collateral Agent in writing of a challenge to the validity, or material infringement by a third party of its Intellectual Property; and (c) not allow any Intellectual Property material to its business to be abandoned, forfeited or dedicated to the public without Collateral Agent’s prior written consent. If Borrower or any of its Subsidiaries (i) obtains any patent, registered trademark or servicemark, registered copyright, registered mask work, or any pending application for any of the foregoing, whether as owner, licensee or otherwise, or (ii) applies for any patent or the registration of any trademark or servicemark, then Borrower or such Subsidiary shall substantially contemporaneously provide written notice thereof to Collateral Agent and Borrower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such property of Borrower. If Borrower or any of its Subsidiaries decides to register any copyrights or mask works in the United States Copyright Office, Borrower or such Subsidiary shall: (x) provide Collateral Agent with at least ten (10) days prior written notice of Borrower’s or such Subsidiary’s intent to register such copyrights or mask works together with a copy of the application it intends to file with the United States Copyright Office (excluding exhibits thereto); (y) Borrower shall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by Borrower; and (z) record such intellectual property security agreement with the United States Copyright Office contemporaneously with filing the copyright or mask work application(s) with the United States Copyright Office. Borrower shall promptly provide to Collateral Agent with evidence of the recording of the intellectual property security agreement necessary for Collateral Agent to perfect and maintain a first priority perfected security interest in such property, subject to Permitted Liens.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303"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Commencing on the Effective Date and continuing through the termination of this Agreement,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 party suit or proceeding instituted by or against Collateral Agent or any Lender with respect to any Collateral or relating to Borrower.</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6.9          Landlord Waivers; Bailee Waivers</w:t>
      </w:r>
      <w:r>
        <w:rPr>
          <w:rFonts w:ascii="Arial" w:cs="Arial" w:eastAsia="Arial" w:hAnsi="Arial"/>
          <w:sz w:val="17"/>
          <w:szCs w:val="17"/>
          <w:color w:val="auto"/>
        </w:rPr>
        <w:t>. In the event that Borrower, after the Effective Date, intends to add any new offices or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locations, including warehouses, or otherwise store any portion of the Collateral with, or deliver any portion of the Collateral to, a bailee (unless such new offices or business locations contain less than Two Hundred Fifty Thousand Dollars ($250,000.00) in assets or property of Borrower), then Borrower will first provide written notice to Collateral Agent and, in the event that the Collateral at any new location is valued in excess of Two Hundred Fifty Thousand Dollars ($250,000.00) in the aggregate, at Collateral Agent’s election, such bailee or landlord, as applicable, must execute and deliver a bailee waiver or landlord waiver, as applicable, in form and substance reasonably satisfactory to Collateral Agent promptly following the addition of any new offices or business locations, or any such storage with or delivery to any such bailee, as the case may be.</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6.10        Creation/Acquisition of Subsidiaries</w:t>
      </w:r>
      <w:r>
        <w:rPr>
          <w:rFonts w:ascii="Arial" w:cs="Arial" w:eastAsia="Arial" w:hAnsi="Arial"/>
          <w:sz w:val="18"/>
          <w:szCs w:val="18"/>
          <w:color w:val="auto"/>
        </w:rPr>
        <w:t>. In the event any Borrower or any Subsidiary of any Borrower creates or acquires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Effective Date, Borrower or such Subsidiary shall promptly notify Collateral Agent of such creation or acquisition, and Borrower or such Subsidiary shall take all actions reasonably requested by Collateral Agent to achieve any of the following with respect to such “</w:t>
      </w:r>
      <w:r>
        <w:rPr>
          <w:rFonts w:ascii="Arial" w:cs="Arial" w:eastAsia="Arial" w:hAnsi="Arial"/>
          <w:sz w:val="18"/>
          <w:szCs w:val="18"/>
          <w:b w:val="1"/>
          <w:bCs w:val="1"/>
          <w:color w:val="auto"/>
        </w:rPr>
        <w:t>New Subsidiary</w:t>
      </w:r>
      <w:r>
        <w:rPr>
          <w:rFonts w:ascii="Arial" w:cs="Arial" w:eastAsia="Arial" w:hAnsi="Arial"/>
          <w:sz w:val="18"/>
          <w:szCs w:val="18"/>
          <w:color w:val="auto"/>
        </w:rPr>
        <w:t>” (defined as a Subsidiary formed after the date hereof during the term of this Agreement): (i) to cause such New Subsidiary to become either a co-Borrower hereunder if such New Subsidiary is organized under the laws of the United States or a secured guarantor with respect to the Obligations; and (ii) to grant and pledge to Collateral Agent a perfected security interest in the Shares of such New Subsidiary; provided, however, that solely in the circumstance in which Borrower or any Subsidiary creates or acquires a Foreign Subsidiary in an acquisition permitted by this Agreement, such Foreign Subsidiary shall not be required to guarantee the Obligations of Borrower under the Loan Documents or grant a continuing pledge and security interest in and to the assets of such Foreign Subsidiary.</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6.11        Further Assurances</w:t>
      </w:r>
      <w:r>
        <w:rPr>
          <w:rFonts w:ascii="Arial" w:cs="Arial" w:eastAsia="Arial" w:hAnsi="Arial"/>
          <w:sz w:val="17"/>
          <w:szCs w:val="17"/>
          <w:color w:val="auto"/>
        </w:rPr>
        <w:t>. Execute any further instruments and take further action as Collateral Agent or any Lender reasonably requests to</w:t>
      </w:r>
      <w:r>
        <w:rPr>
          <w:rFonts w:ascii="Arial" w:cs="Arial" w:eastAsia="Arial" w:hAnsi="Arial"/>
          <w:sz w:val="17"/>
          <w:szCs w:val="17"/>
          <w:b w:val="1"/>
          <w:bCs w:val="1"/>
          <w:color w:val="auto"/>
        </w:rPr>
        <w:t xml:space="preserve"> </w:t>
      </w:r>
      <w:r>
        <w:rPr>
          <w:rFonts w:ascii="Arial" w:cs="Arial" w:eastAsia="Arial" w:hAnsi="Arial"/>
          <w:sz w:val="17"/>
          <w:szCs w:val="17"/>
          <w:color w:val="auto"/>
        </w:rPr>
        <w:t>perfect or continue Collateral Agent’s Lien in the Collateral or to effect the purposes of this Agreement, including without limitation, permit Collateral Agent to discuss Borrower’s financial condition with Borrower’s accountants (in the presence of a representative of Borrower).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6.12        Financial Covenant.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Borrower shall deliver to Collateral Agent the Management Plan prior to the earlier of (i) September 30, 2025 or (ii) Funding Date of the Term C Loan, which Management Plan shall cover all applicable periods commencing on the third anniversary of the Effective Date through the Maturity Date.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Borrower shall achieve the following TTM Revenue, as determined by Collateral Agent: As tested on the last day of each quarter beginning with the quarter ending on the earlier of (i) September 30, 2025 or (ii) the last day of the quarter in which the Term C Loan is made, actual TTM Revenue for the 12-month period then ended in an amount not less than fifty percent (50.00%) of the projections for the same 12-month period as then ended as set forth in the Management Plan.</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Notwithstanding anything herein to the contrary, Borrower shall not be obligated to comply with Section 6.12(b) for any quarter if the TTM Revenue for the 12-month period ended on the last date of immediately preceding quarter was greater than One Hundred Million Dollars ($100,000,000.00).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81" w:lineRule="auto"/>
        <w:rPr>
          <w:sz w:val="20"/>
          <w:szCs w:val="20"/>
          <w:color w:val="auto"/>
        </w:rPr>
      </w:pPr>
      <w:r>
        <w:rPr>
          <w:rFonts w:ascii="Arial" w:cs="Arial" w:eastAsia="Arial" w:hAnsi="Arial"/>
          <w:sz w:val="17"/>
          <w:szCs w:val="17"/>
          <w:b w:val="1"/>
          <w:bCs w:val="1"/>
          <w:color w:val="auto"/>
        </w:rPr>
        <w:t>6.13        Liquidity Covenant</w:t>
      </w:r>
      <w:r>
        <w:rPr>
          <w:rFonts w:ascii="Arial" w:cs="Arial" w:eastAsia="Arial" w:hAnsi="Arial"/>
          <w:sz w:val="17"/>
          <w:szCs w:val="17"/>
          <w:color w:val="auto"/>
        </w:rPr>
        <w:t>. Borrower shall at all times maintain in one or more Collateral Accounts maintained in the United Stated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Control Agreement(s) in favor of Collateral Agent a cash balance of not less than five percent (5.00%) of the aggregate principal amount of Term Loans outstanding under this Agreement. The minimum liquidity is subject to appropriate increase upon written notice to Borrower from Collateral Agent in the event of Borrower’s ongoing or recurring delinquency in payment of its rent or accounts payable to critical vendors.</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6.14        Material Agreements. </w:t>
      </w:r>
      <w:r>
        <w:rPr>
          <w:rFonts w:ascii="Arial" w:cs="Arial" w:eastAsia="Arial" w:hAnsi="Arial"/>
          <w:sz w:val="17"/>
          <w:szCs w:val="17"/>
          <w:color w:val="auto"/>
        </w:rPr>
        <w:t>Concurrently with the delivery of monthly financial statements pursuant to Section 6.2(a)(i), Borrower shall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notice of the termination of any Material Agreement that occurred since the last delivery of monthly financial statements.</w:t>
      </w:r>
    </w:p>
    <w:p>
      <w:pPr>
        <w:spacing w:after="0" w:line="14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Borrower shall not, and shall not permit any of its Subsidiaries to, do any of the following without the prior written consent of the Required Lenders:</w:t>
      </w:r>
    </w:p>
    <w:p>
      <w:pPr>
        <w:spacing w:after="0" w:line="23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assign,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its business or property valued in excess of One Hundred Thousand Dollars ($100,000.00) (including Intellectual Property), except for Transfers</w:t>
      </w:r>
    </w:p>
    <w:p>
      <w:pPr>
        <w:spacing w:after="0" w:line="1" w:lineRule="exact"/>
        <w:rPr>
          <w:sz w:val="20"/>
          <w:szCs w:val="20"/>
          <w:color w:val="auto"/>
        </w:rPr>
      </w:pPr>
    </w:p>
    <w:p>
      <w:pPr>
        <w:ind w:firstLine="8"/>
        <w:spacing w:after="0" w:line="323" w:lineRule="auto"/>
        <w:tabs>
          <w:tab w:leader="none" w:pos="2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Inventory in the ordinary course of business; (b) of worn out or obsolete Equipment; (c) in connection with Permitted Liens, Permitted Investments and Permitted Licenses; and (d) having a fair market value not in excess of $250,000 during any fiscal year but not including Intellectual Property.</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7.2          Changes in Business, Management, Ownership, or Business Locations</w:t>
      </w:r>
      <w:r>
        <w:rPr>
          <w:rFonts w:ascii="Arial" w:cs="Arial" w:eastAsia="Arial" w:hAnsi="Arial"/>
          <w:sz w:val="16"/>
          <w:szCs w:val="16"/>
          <w:color w:val="auto"/>
        </w:rPr>
        <w:t>. (a)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or such Subsidiary, as applicable, as of the Effective Date or reasonably related thereto or such other businesses disclosed to Collateral Agent in writing prior to the Effective Date; (b) liquidate or dissolve; (c) any Key Person shall cease to be actively engaged in the management of Borrower unless written notice thereof is provided to Collateral Agent and each Lender within ten (10) days of such; or</w:t>
      </w:r>
    </w:p>
    <w:p>
      <w:pPr>
        <w:spacing w:after="0" w:line="2" w:lineRule="exact"/>
        <w:rPr>
          <w:sz w:val="20"/>
          <w:szCs w:val="20"/>
          <w:color w:val="auto"/>
        </w:rPr>
      </w:pPr>
    </w:p>
    <w:p>
      <w:pPr>
        <w:jc w:val="both"/>
        <w:ind w:firstLine="8"/>
        <w:spacing w:after="0" w:line="288"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 into any transaction or series of related transactions that results in (i)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49% of the issued and outstanding voting stock of Borrower or (ii) Borrower ceasing to own 100% of the ownership interests of a Subsidiary of Borrower. Borrower shall not, without at least thirty (30) days’ prior written notice to Collateral Agent: (A) add any new offices or business locations, including warehouses (unless such new officers or business locations contain less than Two Hundred Fifty Thousand Dollars ($250,000.00) in assets or property of Borrower), (B) change its jurisdiction of organization, (C) change its organizational structure or type, (D) change its legal name, or (E) change any organizational number (if any) assigned by its jurisdiction of organization.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any other Person, or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or permit any of its Subsidiaries to acquire, all or substantially all of the capital stock, shares or property of another Person. A Subsidiary may merge or consolidate into another Subsidiary (provided such surviving Subsidiary is a “co Borrower” hereunder or has provided a secured Guaranty of Borrower’s Obligations hereunder to the extent required pursuant to Section 6.10 hereof) or with (or into) Borrower provided Borrower is the surviving legal entity, and as long as no Event of Default is occurring prior thereto or arises as a result therefrom.</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7.4          Indebtedness</w:t>
      </w:r>
      <w:r>
        <w:rPr>
          <w:rFonts w:ascii="Arial" w:cs="Arial" w:eastAsia="Arial" w:hAnsi="Arial"/>
          <w:sz w:val="18"/>
          <w:szCs w:val="18"/>
          <w:color w:val="auto"/>
        </w:rPr>
        <w:t>. 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7.5          Encumbrance</w:t>
      </w:r>
      <w:r>
        <w:rPr>
          <w:rFonts w:ascii="Arial" w:cs="Arial" w:eastAsia="Arial" w:hAnsi="Arial"/>
          <w:sz w:val="16"/>
          <w:szCs w:val="16"/>
          <w:color w:val="auto"/>
        </w:rPr>
        <w:t>. Create, incur, allow, or suffer any Lien on any of its property, or assign or convey any right to receive income,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6"/>
          <w:szCs w:val="16"/>
          <w:b w:val="1"/>
          <w:bCs w:val="1"/>
          <w:color w:val="auto"/>
        </w:rPr>
        <w:t>Permitted Liens</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7.7          Restricted Payments</w:t>
      </w:r>
      <w:r>
        <w:rPr>
          <w:rFonts w:ascii="Arial" w:cs="Arial" w:eastAsia="Arial" w:hAnsi="Arial"/>
          <w:sz w:val="18"/>
          <w:szCs w:val="18"/>
          <w:color w:val="auto"/>
        </w:rPr>
        <w:t>. Pay any dividends (other than dividends payable solely in capital stock) or make any distribution or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7.8           Investments</w:t>
      </w:r>
      <w:r>
        <w:rPr>
          <w:rFonts w:ascii="Arial" w:cs="Arial" w:eastAsia="Arial" w:hAnsi="Arial"/>
          <w:sz w:val="17"/>
          <w:szCs w:val="17"/>
          <w:color w:val="auto"/>
        </w:rPr>
        <w:t>. Directly or indirectly make any Investment other than Permitted Investments, or permit any of its Subsidiaries to do so.</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7.9          Transactions with Affiliates</w:t>
      </w:r>
      <w:r>
        <w:rPr>
          <w:rFonts w:ascii="Arial" w:cs="Arial" w:eastAsia="Arial" w:hAnsi="Arial"/>
          <w:sz w:val="16"/>
          <w:szCs w:val="16"/>
          <w:color w:val="auto"/>
        </w:rPr>
        <w:t>. Directly or indirectly enter into or permit to exist any material transaction with any Affiliate of Borrower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except for (a) transactions that are in the ordinary course of Borrower’s or such Subsidiary’s business, upon fair and reasonable terms that are no less favorable to Borrower or such Subsidiary than would be obtained in an arm’s length transaction with a non affiliated Person,</w:t>
      </w:r>
    </w:p>
    <w:p>
      <w:pPr>
        <w:spacing w:after="0" w:line="2" w:lineRule="exact"/>
        <w:rPr>
          <w:sz w:val="20"/>
          <w:szCs w:val="20"/>
          <w:color w:val="auto"/>
        </w:rPr>
      </w:pPr>
    </w:p>
    <w:p>
      <w:pPr>
        <w:ind w:firstLine="8"/>
        <w:spacing w:after="0" w:line="260" w:lineRule="auto"/>
        <w:tabs>
          <w:tab w:leader="none" w:pos="2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Subordinated Debt or equity investments by Borrower’s investors in Borrower or its Subsidiaries and (c) transactions expressly permitted by any other section of this Agreement to be carried out between Borrower and its Subsidiaries or Affiliates.</w:t>
      </w:r>
    </w:p>
    <w:p>
      <w:pPr>
        <w:spacing w:after="0" w:line="18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7.10        Subordinated Debt</w:t>
      </w:r>
      <w:r>
        <w:rPr>
          <w:rFonts w:ascii="Arial" w:cs="Arial" w:eastAsia="Arial" w:hAnsi="Arial"/>
          <w:sz w:val="17"/>
          <w:szCs w:val="17"/>
          <w:color w:val="auto"/>
        </w:rPr>
        <w:t>. (a) Make or permit any payment on any Subordinated Debt, except under the terms of the subordination, intercreditor,</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7.11        Compliance</w:t>
      </w:r>
      <w:r>
        <w:rPr>
          <w:rFonts w:ascii="Arial" w:cs="Arial" w:eastAsia="Arial" w:hAnsi="Arial"/>
          <w:sz w:val="17"/>
          <w:szCs w:val="17"/>
          <w:color w:val="auto"/>
        </w:rPr>
        <w:t>. 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fail to comply with the Federal Fair Labor Standards Act or violate any other law or regulation, if the failure to comply or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material liability to the Pension Benefit Guaranty Corporation or its successors or any other Governmental Authority.</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7.12        Compliance with Anti Terrorism Laws</w:t>
      </w:r>
      <w:r>
        <w:rPr>
          <w:rFonts w:ascii="Arial" w:cs="Arial" w:eastAsia="Arial" w:hAnsi="Arial"/>
          <w:sz w:val="16"/>
          <w:szCs w:val="16"/>
          <w:color w:val="auto"/>
        </w:rPr>
        <w:t>. Neither Borrower nor any of its Subsidiaries shall, nor shall Borrower or any of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w:t>
      </w:r>
    </w:p>
    <w:p>
      <w:pPr>
        <w:spacing w:after="0" w:line="2" w:lineRule="exact"/>
        <w:rPr>
          <w:sz w:val="20"/>
          <w:szCs w:val="20"/>
          <w:color w:val="auto"/>
        </w:rPr>
      </w:pPr>
    </w:p>
    <w:p>
      <w:pPr>
        <w:jc w:val="both"/>
        <w:ind w:firstLine="8"/>
        <w:spacing w:after="0" w:line="253" w:lineRule="auto"/>
        <w:tabs>
          <w:tab w:leader="none" w:pos="2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 Terrorism Law, or (iii) engage in or conspire to engage in any transaction that evades or avoids, or has the purpose of evading or avoiding, or attempts to violate, any of the prohibitions set forth in Executive Order No. 13224 or other Anti Terrorism Law.</w:t>
      </w:r>
    </w:p>
    <w:p>
      <w:pPr>
        <w:spacing w:after="0" w:line="18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Term Loan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or acceleration pursuant to Section 9.1 (a)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(a)            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6.12 (Financial Covenant) or 6.13 (Liquidity Covenant) or Borrower violates any provision in Section 7; provided, however, in the event that the Borrower fails to comply with the requirements of the financial covenant set forth in Section 6.12(b), Borrower may cure such breach by means of submitting a new financial plan to Collateral Agent (which financial plan must be acceptable to Collateral Agent) no later than thirty (30) days after Borrower’s knowledge of the occurrence of such breach and raising, no later than sixty (60) days after the submission of such financial plan to Collateral Agent, such amount of capital from the sale and issuance of its equity securities as required per the new financial plan; provided, that upon such cure the parties shall amend the covenant in Section 6.12(b) in accordance with the new financial plan which amendment must be acceptable to Collateral Agent and shall, among other things, require Borrower to achieve 100% of the revenue projections set forth in the new financial plan; or</w:t>
      </w:r>
    </w:p>
    <w:p>
      <w:pPr>
        <w:spacing w:after="0" w:line="19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(b)            Borrower, or any of its Subsidiaries, fails or neglects to perform, keep, or observe any other term, provision, condition, covenant or agreement contained in this Agreement or any Loan Documents, and as to any default (other than those defaults otherwise specified in this Section 8) under such other term, provision, condition, covenant or agreement that can be cured, has failed to cure the default within ten (10) Business Days after the occurrence thereof; provided, however, that if the default cannot by its nature be cured within the ten (10) Business Day period or cannot after diligent attempts by Borrower be cured within such ten (10) Business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 shall be made during such cure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In Collateral Agent’s reasonable discretion, a Material Adverse Change has occurred;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            (i) The service of process seeking to attach, by trustee or similar process, any funds of Borrower or any of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and</w:t>
      </w:r>
    </w:p>
    <w:p>
      <w:pPr>
        <w:spacing w:after="0" w:line="171"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(b)            (i)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2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8.5          Insolvency</w:t>
      </w:r>
      <w:r>
        <w:rPr>
          <w:rFonts w:ascii="Arial" w:cs="Arial" w:eastAsia="Arial" w:hAnsi="Arial"/>
          <w:sz w:val="16"/>
          <w:szCs w:val="16"/>
          <w:color w:val="auto"/>
        </w:rPr>
        <w:t>. (a) Borrower or any of its Subsidiaries is or becomes Insolvent; (b) Borrower or any of its Subsidiaries begins an 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or (c) an Insolvency Proceeding is begun against Borrower or any of its Subsidiaries and not dismissed or stayed within forty-five (45) days (but no Term Loan shall be extended while Borrower or any Subsidiary is Insolvent and/or until any Insolvency Proceeding is dismissed);</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81" w:lineRule="auto"/>
        <w:rPr>
          <w:sz w:val="20"/>
          <w:szCs w:val="20"/>
          <w:color w:val="auto"/>
        </w:rPr>
      </w:pPr>
      <w:r>
        <w:rPr>
          <w:rFonts w:ascii="Arial" w:cs="Arial" w:eastAsia="Arial" w:hAnsi="Arial"/>
          <w:sz w:val="17"/>
          <w:szCs w:val="17"/>
          <w:b w:val="1"/>
          <w:bCs w:val="1"/>
          <w:color w:val="auto"/>
        </w:rPr>
        <w:t>8.7          Judgments</w:t>
      </w:r>
      <w:r>
        <w:rPr>
          <w:rFonts w:ascii="Arial" w:cs="Arial" w:eastAsia="Arial" w:hAnsi="Arial"/>
          <w:sz w:val="17"/>
          <w:szCs w:val="17"/>
          <w:color w:val="auto"/>
        </w:rPr>
        <w:t>. (a) One or more judgments, orders, or decrees for the payment of money in an amount, individually or in the aggregate, of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Two Hundred Fifty Thousand Dollars ($250,000.00) (not covered by independent third party insurance) shall be rendered against Borrower or any of its Subsidiaries and shall remain unsatisfied, unvacated, or unstayed for a period of ten (10) days after the entry thereof or (b) any judgments, orders or decrees rendered against Borrower that could reasonably be expected to result in a Material Adverse Change;</w:t>
      </w:r>
    </w:p>
    <w:p>
      <w:pPr>
        <w:spacing w:after="0" w:line="16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of its Subsidiaries or any officer or director of Borrower acting for Borrower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makes any representation, warranty, or other statement now or later in this Agreement, any Loan Document or in any writing delivered to Collateral Agent and/or Lenders in connection with this Agreement or to induce Collateral Agent and/or the Lenders to enter this Agreement or any Loan Document, and such representation, warranty, or other statement, when taken as a whole, is incorrect in any material respect when made;</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or any of its Subsidiaries and any creditor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8.10        Guaranty</w:t>
      </w:r>
      <w:r>
        <w:rPr>
          <w:rFonts w:ascii="Arial" w:cs="Arial" w:eastAsia="Arial" w:hAnsi="Arial"/>
          <w:sz w:val="17"/>
          <w:szCs w:val="17"/>
          <w:color w:val="auto"/>
        </w:rPr>
        <w:t>. (a) Any Guaranty terminates or ceases for any reason to be in full force and effect; (b) any Guarantor does not perform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or covenant under any Guaranty; or (c) any circumstance described in Section 8 occurs with respect to any Guarantor;</w:t>
      </w:r>
    </w:p>
    <w:p>
      <w:pPr>
        <w:spacing w:after="0" w:line="1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8.11        Governmental Approvals; FDA Action</w:t>
      </w:r>
      <w:r>
        <w:rPr>
          <w:rFonts w:ascii="Arial" w:cs="Arial" w:eastAsia="Arial" w:hAnsi="Arial"/>
          <w:sz w:val="16"/>
          <w:szCs w:val="16"/>
          <w:color w:val="auto"/>
        </w:rPr>
        <w:t>. (a) Any Governmental Approval shall have been revoked, rescinded, suspended, modified in an</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manner, or not renewed in the ordinary course for a full term and such revocation, rescission, suspension, modification or non renewal has resulted in or could reasonably be expected to result in a Material Adverse Change;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material portion of its products, even if such action is based on previously disclosed conduct; (ii) the FDA issues a warning letter or Regulatory Action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Two Hundred Fifty Thousand Dollars ($250,000.00) or more; (iv) Borrower or any of its Subsidiaries enters into a settlement agreement with the FDA, DOJ, or other Governmental Authority that results in aggregate liability as to any single or related series of transactions, incidents or conditions, of Two Hundred Fifty Thousand Dollars ($250,000.00) or more, or that could reasonably be expected to result in a Material Adverse Change even if such settlement agreement is based on previously disclosed conduct; (v) Borrower or any of its Subsidiaries fails to remediate observations identified in an FDA Form 483 notice of inspection observation to Collateral Agent’s reasonable satisfaction within six months of receipt (or, if remediation cannot be completed within six months, Borrower shall have an additional period as set forth in the applicable plan of remediation between Borrower and FDA and delivered to Collateral Agent); or (vi) the FDA revokes any authorization or permission granted under any Registration, or Borrower or any of its Subsidiaries withdraws any Registration, that could reasonably be expected to result in a Material Adverse Change.</w:t>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8.12        Lien Priority; Intellectual Property</w:t>
      </w:r>
      <w:r>
        <w:rPr>
          <w:rFonts w:ascii="Arial" w:cs="Arial" w:eastAsia="Arial" w:hAnsi="Arial"/>
          <w:sz w:val="18"/>
          <w:szCs w:val="18"/>
          <w:color w:val="auto"/>
        </w:rPr>
        <w:t>. Any Lien created hereunder or by any other Loan Document shall at any time fail to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valid and perfected Lien on any of the Collateral purported to be secured thereby, subject to no prior or equal Lien, other than Permitted Liens arising as a matter of applicable law. Any Intellectual Property material to Borrower’s business shall cease to be validly owned or licensed by Borrower free and clear of any Liens other than Permitted Liens.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right="8440" w:hanging="652"/>
        <w:spacing w:after="0" w:line="603" w:lineRule="auto"/>
        <w:tabs>
          <w:tab w:leader="none" w:pos="66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RIGHTS AND REMEDIES </w:t>
      </w:r>
      <w:r>
        <w:rPr>
          <w:rFonts w:ascii="Arial" w:cs="Arial" w:eastAsia="Arial" w:hAnsi="Arial"/>
          <w:sz w:val="15"/>
          <w:szCs w:val="15"/>
          <w:b w:val="1"/>
          <w:bCs w:val="1"/>
          <w:color w:val="auto"/>
        </w:rPr>
        <w:t>9.1           Rights and Remedies</w:t>
      </w:r>
      <w:r>
        <w:rPr>
          <w:rFonts w:ascii="Arial" w:cs="Arial" w:eastAsia="Arial" w:hAnsi="Arial"/>
          <w:sz w:val="15"/>
          <w:szCs w:val="15"/>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Upon the occurrence and during the continuance of an Event of Default, Collateral Agent may do any or all of the following:</w:t>
      </w:r>
    </w:p>
    <w:p>
      <w:pPr>
        <w:spacing w:after="0" w:line="35" w:lineRule="exact"/>
        <w:rPr>
          <w:sz w:val="20"/>
          <w:szCs w:val="20"/>
          <w:color w:val="auto"/>
        </w:rPr>
      </w:pPr>
    </w:p>
    <w:p>
      <w:pPr>
        <w:jc w:val="both"/>
        <w:ind w:firstLine="8"/>
        <w:spacing w:after="0" w:line="281" w:lineRule="auto"/>
        <w:tabs>
          <w:tab w:leader="none" w:pos="2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w:t>
      </w:r>
    </w:p>
    <w:p>
      <w:pPr>
        <w:spacing w:after="0" w:line="1" w:lineRule="exact"/>
        <w:rPr>
          <w:rFonts w:ascii="Arial" w:cs="Arial" w:eastAsia="Arial" w:hAnsi="Arial"/>
          <w:sz w:val="16"/>
          <w:szCs w:val="16"/>
          <w:color w:val="auto"/>
        </w:rPr>
      </w:pPr>
    </w:p>
    <w:p>
      <w:pPr>
        <w:jc w:val="both"/>
        <w:ind w:firstLine="8"/>
        <w:spacing w:after="0" w:line="295" w:lineRule="auto"/>
        <w:tabs>
          <w:tab w:leader="none" w:pos="31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6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(b)            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foreclose upon and/or sell or otherwise liquidate, the Collateral;</w:t>
      </w:r>
    </w:p>
    <w:p>
      <w:pPr>
        <w:spacing w:after="0" w:line="225" w:lineRule="exact"/>
        <w:rPr>
          <w:sz w:val="20"/>
          <w:szCs w:val="20"/>
          <w:color w:val="auto"/>
        </w:rPr>
      </w:pPr>
    </w:p>
    <w:p>
      <w:pPr>
        <w:jc w:val="both"/>
        <w:ind w:firstLine="1944"/>
        <w:spacing w:after="0" w:line="308" w:lineRule="auto"/>
        <w:rPr>
          <w:sz w:val="20"/>
          <w:szCs w:val="20"/>
          <w:color w:val="auto"/>
        </w:rPr>
      </w:pPr>
      <w:r>
        <w:rPr>
          <w:rFonts w:ascii="Arial" w:cs="Arial" w:eastAsia="Arial" w:hAnsi="Arial"/>
          <w:sz w:val="17"/>
          <w:szCs w:val="17"/>
          <w:color w:val="auto"/>
        </w:rPr>
        <w:t>(ii)            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(iii)           commence and prosecute an Insolvency Proceeding or consent to Borrower commencing any Insolvency Proceeding.</w:t>
      </w:r>
    </w:p>
    <w:p>
      <w:pPr>
        <w:spacing w:after="0" w:line="248"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(c)            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2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(i)            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84"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(ii)            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(iii)           ship, reclaim, recover, store, finish, maintain, repair, prepare for sale, and/or advertise for sale, the Collateral. Collateral Agent is hereby granted a non exclusive, royalty 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(iv)           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           demand and receive possession of Borrower’s Books;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944"/>
        <w:spacing w:after="0" w:line="263" w:lineRule="auto"/>
        <w:rPr>
          <w:sz w:val="20"/>
          <w:szCs w:val="20"/>
          <w:color w:val="auto"/>
        </w:rPr>
      </w:pPr>
      <w:r>
        <w:rPr>
          <w:rFonts w:ascii="Arial" w:cs="Arial" w:eastAsia="Arial" w:hAnsi="Arial"/>
          <w:sz w:val="18"/>
          <w:szCs w:val="18"/>
          <w:color w:val="auto"/>
        </w:rPr>
        <w:t>(vi)           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4" w:lineRule="exact"/>
        <w:rPr>
          <w:sz w:val="20"/>
          <w:szCs w:val="20"/>
          <w:color w:val="auto"/>
        </w:rPr>
      </w:pPr>
    </w:p>
    <w:p>
      <w:pPr>
        <w:jc w:val="both"/>
        <w:ind w:firstLine="1944"/>
        <w:spacing w:after="0" w:line="342" w:lineRule="auto"/>
        <w:rPr>
          <w:sz w:val="20"/>
          <w:szCs w:val="20"/>
          <w:color w:val="auto"/>
        </w:rPr>
      </w:pPr>
      <w:r>
        <w:rPr>
          <w:rFonts w:ascii="Arial" w:cs="Arial" w:eastAsia="Arial" w:hAnsi="Arial"/>
          <w:sz w:val="16"/>
          <w:szCs w:val="16"/>
          <w:color w:val="auto"/>
        </w:rPr>
        <w:t>(vii)         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Collateral Agent as its lawful attorney in fact, exercisable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w:t>
      </w:r>
    </w:p>
    <w:p>
      <w:pPr>
        <w:spacing w:after="0" w:line="2" w:lineRule="exact"/>
        <w:rPr>
          <w:sz w:val="20"/>
          <w:szCs w:val="20"/>
          <w:color w:val="auto"/>
        </w:rPr>
      </w:pPr>
    </w:p>
    <w:p>
      <w:pPr>
        <w:jc w:val="both"/>
        <w:ind w:firstLine="8"/>
        <w:spacing w:after="0" w:line="268" w:lineRule="auto"/>
        <w:tabs>
          <w:tab w:leader="none" w:pos="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 in fact to sign Borrower’s or any of its Subsidiaries’ name on any documents necessary to perfect or continue the perfection of Collateral Agent’s security interest in the Collateral during the continuance of an Event of Default until all Obligations (other than inchoate indemnity obligations)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the Term Loan terminates.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 If Borrower or any of its Subsidiaries fail to obtain the insurance called for by Section 6.5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9.4          Application of Payments and Proceeds</w:t>
      </w:r>
      <w:r>
        <w:rPr>
          <w:rFonts w:ascii="Arial" w:cs="Arial" w:eastAsia="Arial" w:hAnsi="Arial"/>
          <w:sz w:val="16"/>
          <w:szCs w:val="16"/>
          <w:color w:val="auto"/>
        </w:rPr>
        <w:t>. Notwithstanding anything to the contrary contained in this Agreement,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w:t>
      </w:r>
    </w:p>
    <w:p>
      <w:pPr>
        <w:spacing w:after="0" w:line="1" w:lineRule="exact"/>
        <w:rPr>
          <w:sz w:val="20"/>
          <w:szCs w:val="20"/>
          <w:color w:val="auto"/>
        </w:rPr>
      </w:pPr>
    </w:p>
    <w:p>
      <w:pPr>
        <w:jc w:val="both"/>
        <w:ind w:firstLine="8"/>
        <w:spacing w:after="0" w:line="284" w:lineRule="auto"/>
        <w:tabs>
          <w:tab w:leader="none" w:pos="25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303" w:lineRule="auto"/>
        <w:rPr>
          <w:sz w:val="20"/>
          <w:szCs w:val="20"/>
          <w:color w:val="auto"/>
        </w:rPr>
      </w:pPr>
      <w:r>
        <w:rPr>
          <w:rFonts w:ascii="Arial" w:cs="Arial" w:eastAsia="Arial" w:hAnsi="Arial"/>
          <w:sz w:val="16"/>
          <w:szCs w:val="16"/>
          <w:b w:val="1"/>
          <w:bCs w:val="1"/>
          <w:color w:val="auto"/>
        </w:rPr>
        <w:t>9.5           Liability for Collateral</w:t>
      </w:r>
      <w:r>
        <w:rPr>
          <w:rFonts w:ascii="Arial" w:cs="Arial" w:eastAsia="Arial" w:hAnsi="Arial"/>
          <w:sz w:val="16"/>
          <w:szCs w:val="16"/>
          <w:color w:val="auto"/>
        </w:rPr>
        <w:t>. So long as Collateral Agent and the Lenders comply with reasonable banking practices regarding the safekeeping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Failure by Collateral Agent or any Lender, at any time or times, to require strict performance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9.7          Demand Waiver</w:t>
      </w:r>
      <w:r>
        <w:rPr>
          <w:rFonts w:ascii="Arial" w:cs="Arial" w:eastAsia="Arial" w:hAnsi="Arial"/>
          <w:sz w:val="17"/>
          <w:szCs w:val="17"/>
          <w:color w:val="auto"/>
        </w:rPr>
        <w:t>. Borrower waives, to the fullest extent permitted by law,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5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notices, consents, requests, approvals, demands, or other communication (collectively, “Communication”) by any party to this Agreement or any other Loan Document must be in writing and shall be deemed to have been validly served, given, or delivered: (a) upon the earlier of actual receipt and three</w:t>
      </w:r>
    </w:p>
    <w:p>
      <w:pPr>
        <w:jc w:val="both"/>
        <w:ind w:firstLine="8"/>
        <w:spacing w:after="0" w:line="253"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email; (c) one (1) Business Day after deposit with a reputable overnight courier with all charges prepaid; or (d) when delivered, if hand delivered by messenger, all of which shall be addressed to the party to be notified and sent to the address, or email address indicated below. Any of Collateral Agent, Lender or Borrower may change its mailing address or facsimile number by giving the other party written notice thereof in accordance with the terms of this Section 10.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tbl>
      <w:tblPr>
        <w:tblLayout w:type="fixed"/>
        <w:tblInd w:w="126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If to Borrower:</w:t>
            </w: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CVRx, INC.</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9201 West Broadway Avenue</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Suite 650</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Minneapolis, MN 55445</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w w:val="91"/>
              </w:rPr>
              <w:t>Attn: Jared Oasheim, Chief Financial Officer</w:t>
            </w:r>
          </w:p>
        </w:tc>
      </w:tr>
      <w:tr>
        <w:trPr>
          <w:trHeight w:val="230"/>
        </w:trPr>
        <w:tc>
          <w:tcPr>
            <w:tcW w:w="2960" w:type="dxa"/>
            <w:vAlign w:val="bottom"/>
          </w:tcPr>
          <w:p>
            <w:pPr>
              <w:spacing w:after="0"/>
              <w:rPr>
                <w:sz w:val="20"/>
                <w:szCs w:val="20"/>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Email: [Omitted]</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w w:val="97"/>
              </w:rPr>
              <w:t>with a copy (which shall not constitute</w:t>
            </w: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notice) to:</w:t>
            </w: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Faegre Drinker Biddle &amp; Reath LLP</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2200 Wells Fargo Center</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90 S. Seventh Street</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Minneapolis, MN 55412</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Attn: Amy Seidel</w:t>
            </w:r>
          </w:p>
        </w:tc>
      </w:tr>
      <w:tr>
        <w:trPr>
          <w:trHeight w:val="230"/>
        </w:trPr>
        <w:tc>
          <w:tcPr>
            <w:tcW w:w="2960" w:type="dxa"/>
            <w:vAlign w:val="bottom"/>
          </w:tcPr>
          <w:p>
            <w:pPr>
              <w:spacing w:after="0"/>
              <w:rPr>
                <w:sz w:val="20"/>
                <w:szCs w:val="20"/>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Email: amy.seidel@faegredrinker.com</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If to Collateral Agent:</w:t>
            </w: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INNOVATUS LIFE SCIENCES</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LENDING FUND I, LP</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777 Third Avenue, 25th Floor</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New York, NY 10017</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Attn: Claes Ekstrom</w:t>
            </w:r>
          </w:p>
        </w:tc>
      </w:tr>
      <w:tr>
        <w:trPr>
          <w:trHeight w:val="230"/>
        </w:trPr>
        <w:tc>
          <w:tcPr>
            <w:tcW w:w="2960" w:type="dxa"/>
            <w:vAlign w:val="bottom"/>
          </w:tcPr>
          <w:p>
            <w:pPr>
              <w:spacing w:after="0"/>
              <w:rPr>
                <w:sz w:val="20"/>
                <w:szCs w:val="20"/>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Email: [Omitted]</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w w:val="97"/>
              </w:rPr>
              <w:t>with a copy (which shall not constitute</w:t>
            </w: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notice) to:</w:t>
            </w: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Greenberg Traurig, LLP</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One International Place</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Boston, MA 02110</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Attn: Abdullah Malik</w:t>
            </w:r>
          </w:p>
        </w:tc>
      </w:tr>
      <w:tr>
        <w:trPr>
          <w:trHeight w:val="216"/>
        </w:trPr>
        <w:tc>
          <w:tcPr>
            <w:tcW w:w="2960" w:type="dxa"/>
            <w:vAlign w:val="bottom"/>
          </w:tcPr>
          <w:p>
            <w:pPr>
              <w:spacing w:after="0"/>
              <w:rPr>
                <w:sz w:val="18"/>
                <w:szCs w:val="18"/>
                <w:color w:val="auto"/>
              </w:rPr>
            </w:pPr>
          </w:p>
        </w:tc>
        <w:tc>
          <w:tcPr>
            <w:tcW w:w="3420" w:type="dxa"/>
            <w:vAlign w:val="bottom"/>
            <w:gridSpan w:val="3"/>
          </w:tcPr>
          <w:p>
            <w:pPr>
              <w:ind w:left="180"/>
              <w:spacing w:after="0"/>
              <w:rPr>
                <w:sz w:val="20"/>
                <w:szCs w:val="20"/>
                <w:color w:val="auto"/>
              </w:rPr>
            </w:pPr>
            <w:r>
              <w:rPr>
                <w:rFonts w:ascii="Arial" w:cs="Arial" w:eastAsia="Arial" w:hAnsi="Arial"/>
                <w:sz w:val="18"/>
                <w:szCs w:val="18"/>
                <w:color w:val="auto"/>
              </w:rPr>
              <w:t>Fax: [Omitted]</w:t>
            </w:r>
          </w:p>
        </w:tc>
      </w:tr>
      <w:tr>
        <w:trPr>
          <w:trHeight w:val="190"/>
        </w:trPr>
        <w:tc>
          <w:tcPr>
            <w:tcW w:w="2960" w:type="dxa"/>
            <w:vAlign w:val="bottom"/>
          </w:tcPr>
          <w:p>
            <w:pPr>
              <w:spacing w:after="0"/>
              <w:rPr>
                <w:sz w:val="16"/>
                <w:szCs w:val="16"/>
                <w:color w:val="auto"/>
              </w:rPr>
            </w:pPr>
          </w:p>
        </w:tc>
        <w:tc>
          <w:tcPr>
            <w:tcW w:w="3420" w:type="dxa"/>
            <w:vAlign w:val="bottom"/>
            <w:gridSpan w:val="3"/>
          </w:tcPr>
          <w:p>
            <w:pPr>
              <w:ind w:left="180"/>
              <w:spacing w:after="0" w:line="190" w:lineRule="exact"/>
              <w:rPr>
                <w:sz w:val="20"/>
                <w:szCs w:val="20"/>
                <w:color w:val="auto"/>
              </w:rPr>
            </w:pPr>
            <w:r>
              <w:rPr>
                <w:rFonts w:ascii="Arial" w:cs="Arial" w:eastAsia="Arial" w:hAnsi="Arial"/>
                <w:sz w:val="18"/>
                <w:szCs w:val="18"/>
                <w:color w:val="auto"/>
              </w:rPr>
              <w:t>Email: malikab@gtlaw.com</w:t>
            </w:r>
          </w:p>
        </w:tc>
      </w:tr>
      <w:tr>
        <w:trPr>
          <w:trHeight w:val="20"/>
        </w:trPr>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11.1        Waiver of Jury Trial</w:t>
      </w:r>
      <w:r>
        <w:rPr>
          <w:rFonts w:ascii="Arial" w:cs="Arial" w:eastAsia="Arial" w:hAnsi="Arial"/>
          <w:sz w:val="18"/>
          <w:szCs w:val="18"/>
          <w:color w:val="auto"/>
        </w:rPr>
        <w:t>. EACH OF BORROWER, COLLATERAL AGENT AND LENDERS UNCONDITIONALLY WAIVES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color w:val="auto"/>
        </w:rPr>
        <w:t>11.2        Governing Law and Jurisdiction</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(a)            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  Submission to Jurisdiction</w:t>
      </w:r>
      <w:r>
        <w:rPr>
          <w:rFonts w:ascii="Arial" w:cs="Arial" w:eastAsia="Arial" w:hAnsi="Arial"/>
          <w:sz w:val="17"/>
          <w:szCs w:val="17"/>
          <w:color w:val="auto"/>
        </w:rPr>
        <w:t>.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forum non conveniens, that any of them may now or hereafter have to the bringing of any such action or proceeding in such jurisdictions.</w:t>
      </w:r>
    </w:p>
    <w:p>
      <w:pPr>
        <w:spacing w:after="0" w:line="17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(c)          </w:t>
      </w:r>
      <w:r>
        <w:rPr>
          <w:rFonts w:ascii="Arial" w:cs="Arial" w:eastAsia="Arial" w:hAnsi="Arial"/>
          <w:sz w:val="17"/>
          <w:szCs w:val="17"/>
          <w:u w:val="single" w:color="auto"/>
          <w:color w:val="auto"/>
        </w:rPr>
        <w:t>  Service of Process</w:t>
      </w:r>
      <w:r>
        <w:rPr>
          <w:rFonts w:ascii="Arial" w:cs="Arial" w:eastAsia="Arial" w:hAnsi="Arial"/>
          <w:sz w:val="17"/>
          <w:szCs w:val="17"/>
          <w:color w:val="auto"/>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  Non-exclusive Jurisdiction</w:t>
      </w:r>
      <w:r>
        <w:rPr>
          <w:rFonts w:ascii="Arial" w:cs="Arial" w:eastAsia="Arial" w:hAnsi="Arial"/>
          <w:sz w:val="18"/>
          <w:szCs w:val="18"/>
          <w:color w:val="auto"/>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spacing w:after="0" w:line="18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12.1        Successors and Assigns</w:t>
      </w:r>
      <w:r>
        <w:rPr>
          <w:rFonts w:ascii="Arial" w:cs="Arial" w:eastAsia="Arial" w:hAnsi="Arial"/>
          <w:sz w:val="18"/>
          <w:szCs w:val="18"/>
          <w:color w:val="auto"/>
        </w:rPr>
        <w:t>. This Agreement binds and is for the benefit of the successors and permitted assigns of each party. Borrower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 or grant of a participation, a “</w:t>
      </w:r>
      <w:r>
        <w:rPr>
          <w:rFonts w:ascii="Arial" w:cs="Arial" w:eastAsia="Arial" w:hAnsi="Arial"/>
          <w:sz w:val="18"/>
          <w:szCs w:val="18"/>
          <w:b w:val="1"/>
          <w:bCs w:val="1"/>
          <w:color w:val="auto"/>
        </w:rPr>
        <w:t>Lender</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w:t>
      </w:r>
      <w:r>
        <w:rPr>
          <w:rFonts w:ascii="Arial" w:cs="Arial" w:eastAsia="Arial" w:hAnsi="Arial"/>
          <w:sz w:val="18"/>
          <w:szCs w:val="18"/>
          <w:color w:val="auto"/>
        </w:rPr>
        <w:t>”) all or any part of, or any interest in, the Lenders’ obligations, rights, and benefits under this Agreement and the other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no Lender Transfer shall be to or in favor of a competitor of Borrower or any Subsidiary unless an Event of Default (other than any Event of Default pursuant to Section 6 of this Agreement (with the exception of Sections 6.12 (Financial Covenant) and 6.13 (Liquidity Covenant))) has occurred and is continuing.</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12.2        Indemnification</w:t>
      </w:r>
      <w:r>
        <w:rPr>
          <w:rFonts w:ascii="Arial" w:cs="Arial" w:eastAsia="Arial" w:hAnsi="Arial"/>
          <w:sz w:val="16"/>
          <w:szCs w:val="16"/>
          <w:color w:val="auto"/>
        </w:rPr>
        <w:t>. Borrower agrees to indemnify, defend and hold Collateral Agent and the Lenders and their respective directors,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consultants, agents, attorneys, or any other Person affiliated with or representing Collateral Agent or the Lenders (each,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harmless against: (a)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asserted by any other party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82" w:lineRule="auto"/>
        <w:rPr>
          <w:sz w:val="20"/>
          <w:szCs w:val="20"/>
          <w:color w:val="auto"/>
        </w:rPr>
      </w:pPr>
      <w:r>
        <w:rPr>
          <w:rFonts w:ascii="Arial" w:cs="Arial" w:eastAsia="Arial" w:hAnsi="Arial"/>
          <w:sz w:val="18"/>
          <w:szCs w:val="18"/>
          <w:b w:val="1"/>
          <w:bCs w:val="1"/>
          <w:color w:val="auto"/>
        </w:rPr>
        <w:t>12.3        Severability of Provisions</w:t>
      </w:r>
      <w:r>
        <w:rPr>
          <w:rFonts w:ascii="Arial" w:cs="Arial" w:eastAsia="Arial" w:hAnsi="Arial"/>
          <w:sz w:val="18"/>
          <w:szCs w:val="18"/>
          <w:color w:val="auto"/>
        </w:rPr>
        <w:t>. 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12.4        Correction of Loan Documents</w:t>
      </w:r>
      <w:r>
        <w:rPr>
          <w:rFonts w:ascii="Arial" w:cs="Arial" w:eastAsia="Arial" w:hAnsi="Arial"/>
          <w:sz w:val="18"/>
          <w:szCs w:val="18"/>
          <w:color w:val="auto"/>
        </w:rPr>
        <w:t>. Collateral Agent may correct patent errors and fill in any blanks in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12.5        Amendments in Writing; Integration</w:t>
      </w:r>
      <w:r>
        <w:rPr>
          <w:rFonts w:ascii="Arial" w:cs="Arial" w:eastAsia="Arial" w:hAnsi="Arial"/>
          <w:sz w:val="17"/>
          <w:szCs w:val="17"/>
          <w:color w:val="auto"/>
        </w:rPr>
        <w:t>. (a) No amendment, modification,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(i)             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(ii)            no such amendment, waiver or modification that would affect the rights and duties of Collateral Agent shall be effective without Collateral Agent’s written consent or signature;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(iii)            no such amendment, waiver or other modification shall, unless signed by all the Lenders directly affected thereby,</w:t>
      </w:r>
    </w:p>
    <w:p>
      <w:pPr>
        <w:spacing w:after="0" w:line="35" w:lineRule="exact"/>
        <w:rPr>
          <w:sz w:val="20"/>
          <w:szCs w:val="20"/>
          <w:color w:val="auto"/>
        </w:rPr>
      </w:pPr>
    </w:p>
    <w:p>
      <w:pPr>
        <w:jc w:val="both"/>
        <w:ind w:firstLine="8"/>
        <w:spacing w:after="0" w:line="284" w:lineRule="auto"/>
        <w:tabs>
          <w:tab w:leader="none" w:pos="306"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It is hereby understood and agreed that all Lenders shall be deemed directly affected by an amendment, waiver or other modification of the type described in the preceding clauses (C), (D), (E), (F), (G) and (H) of the immediately preceding sentence.</w:t>
      </w:r>
    </w:p>
    <w:p>
      <w:pPr>
        <w:spacing w:after="0" w:line="17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(b)           Other than as expressly provided for in Section 12.5(a)(i)(iii), Collateral Agent may, if requested by the Required Lenders, from time to time designate covenants in this Agreement less restrictive by notification to a representative of Borrower.</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(c)            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82" w:lineRule="auto"/>
        <w:rPr>
          <w:sz w:val="20"/>
          <w:szCs w:val="20"/>
          <w:color w:val="auto"/>
        </w:rPr>
      </w:pPr>
      <w:r>
        <w:rPr>
          <w:rFonts w:ascii="Arial" w:cs="Arial" w:eastAsia="Arial" w:hAnsi="Arial"/>
          <w:sz w:val="18"/>
          <w:szCs w:val="18"/>
          <w:b w:val="1"/>
          <w:bCs w:val="1"/>
          <w:color w:val="auto"/>
        </w:rPr>
        <w:t>12.6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12.8        Confidentiality</w:t>
      </w:r>
      <w:r>
        <w:rPr>
          <w:rFonts w:ascii="Arial" w:cs="Arial" w:eastAsia="Arial" w:hAnsi="Arial"/>
          <w:sz w:val="16"/>
          <w:szCs w:val="16"/>
          <w:color w:val="auto"/>
        </w:rPr>
        <w:t>. In handling any confidential information of Borrower, the Lenders and Collateral Agent shall exercise the same degree of</w:t>
      </w:r>
      <w:r>
        <w:rPr>
          <w:rFonts w:ascii="Arial" w:cs="Arial" w:eastAsia="Arial" w:hAnsi="Arial"/>
          <w:sz w:val="16"/>
          <w:szCs w:val="16"/>
          <w:b w:val="1"/>
          <w:bCs w:val="1"/>
          <w:color w:val="auto"/>
        </w:rPr>
        <w:t xml:space="preserve"> </w:t>
      </w:r>
      <w:r>
        <w:rPr>
          <w:rFonts w:ascii="Arial" w:cs="Arial" w:eastAsia="Arial" w:hAnsi="Arial"/>
          <w:sz w:val="16"/>
          <w:szCs w:val="16"/>
          <w:color w:val="auto"/>
        </w:rPr>
        <w:t>care 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no such protective transferee or purchaser shall be a competitor of Borrower or any Subsidiary unless an Event of Default (other than any Event of Default pursuant to Section 6 of this Agreement (with the exception of Sections 6.12 (Financial Covenant) and 6.13 (Liquidity Covenant))) has occurred and is continuing and provided further, that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upon the occurrence and during the continuance of an Event of Default;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so long as Collateral Agent and the Lenders do not disclose Borrower’s identity or the identity of any person associated with Borrower unless otherwise expressly permitted by this Agreement. The provisions of this Section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12.9        Right of Set Off</w:t>
      </w:r>
      <w:r>
        <w:rPr>
          <w:rFonts w:ascii="Arial" w:cs="Arial" w:eastAsia="Arial" w:hAnsi="Arial"/>
          <w:sz w:val="18"/>
          <w:szCs w:val="18"/>
          <w:color w:val="auto"/>
        </w:rPr>
        <w:t>. Borrower hereby grants to Collateral Agent and to each Lender, a lien, security interest and right of set off as security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71" w:lineRule="auto"/>
        <w:rPr>
          <w:sz w:val="20"/>
          <w:szCs w:val="20"/>
          <w:color w:val="auto"/>
        </w:rPr>
      </w:pPr>
      <w:r>
        <w:rPr>
          <w:rFonts w:ascii="Arial" w:cs="Arial" w:eastAsia="Arial" w:hAnsi="Arial"/>
          <w:sz w:val="17"/>
          <w:szCs w:val="17"/>
          <w:b w:val="1"/>
          <w:bCs w:val="1"/>
          <w:color w:val="auto"/>
        </w:rPr>
        <w:t>12.10      Cooperation of Borrower</w:t>
      </w:r>
      <w:r>
        <w:rPr>
          <w:rFonts w:ascii="Arial" w:cs="Arial" w:eastAsia="Arial" w:hAnsi="Arial"/>
          <w:sz w:val="17"/>
          <w:szCs w:val="17"/>
          <w:color w:val="auto"/>
        </w:rPr>
        <w:t>. If necessary, Borrower agrees to (i) execute any documents reasonably required to effectuate and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each assignment of a Term Loan Commitment or Term Loan to an assignee in accordance with Section 12.1, (ii) make Borrower’s management available to meet with Collateral Agent and prospective participants and assignees of Term Loan Commitments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12.8,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12.11      Public Announcement</w:t>
      </w:r>
      <w:r>
        <w:rPr>
          <w:rFonts w:ascii="Arial" w:cs="Arial" w:eastAsia="Arial" w:hAnsi="Arial"/>
          <w:sz w:val="18"/>
          <w:szCs w:val="18"/>
          <w:color w:val="auto"/>
        </w:rPr>
        <w:t>. Borrower hereby agrees that Collateral Agent and each Lender may make a public announcement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and may publicize the same in marketing materials, newspapers and other publications, and otherwise, and in connection therewith may use Borrower’s name, tradenames and logos.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12.12     Collateral Agent and Lender Agreement</w:t>
      </w:r>
      <w:r>
        <w:rPr>
          <w:rFonts w:ascii="Arial" w:cs="Arial" w:eastAsia="Arial" w:hAnsi="Arial"/>
          <w:sz w:val="18"/>
          <w:szCs w:val="18"/>
          <w:color w:val="auto"/>
        </w:rPr>
        <w:t>. Collateral Agent and each Lender hereby agree to the terms and conditions set forth on Annex</w:t>
      </w:r>
      <w:r>
        <w:rPr>
          <w:rFonts w:ascii="Arial" w:cs="Arial" w:eastAsia="Arial" w:hAnsi="Arial"/>
          <w:sz w:val="18"/>
          <w:szCs w:val="18"/>
          <w:b w:val="1"/>
          <w:bCs w:val="1"/>
          <w:color w:val="auto"/>
        </w:rPr>
        <w:t xml:space="preserve"> </w:t>
      </w:r>
      <w:r>
        <w:rPr>
          <w:rFonts w:ascii="Arial" w:cs="Arial" w:eastAsia="Arial" w:hAnsi="Arial"/>
          <w:sz w:val="18"/>
          <w:szCs w:val="18"/>
          <w:color w:val="auto"/>
        </w:rPr>
        <w:t>I attached hereto. Borrower acknowledges and agrees to the terms and conditions set forth on Annex I attached hereto.</w:t>
      </w:r>
    </w:p>
    <w:p>
      <w:pPr>
        <w:spacing w:after="0" w:line="16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have the following meanings: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 under the Code.</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November 1, 2027.</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 Terrorism Laws</w:t>
      </w:r>
      <w:r>
        <w:rPr>
          <w:rFonts w:ascii="Arial" w:cs="Arial" w:eastAsia="Arial" w:hAnsi="Arial"/>
          <w:sz w:val="17"/>
          <w:szCs w:val="17"/>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“Basic Rate</w:t>
      </w:r>
      <w:r>
        <w:rPr>
          <w:rFonts w:ascii="Arial" w:cs="Arial" w:eastAsia="Arial" w:hAnsi="Arial"/>
          <w:sz w:val="18"/>
          <w:szCs w:val="18"/>
          <w:color w:val="auto"/>
        </w:rPr>
        <w:t>” is with respect to each Term Loan, the floating per annum rate of interest (based on a year of three hundred sixty five (365) days)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of (a) the greater of (i) Prime Rate, subject to Section 2.3(f), or (ii) Five and fifty hundredths percent (5.50%), plus (b) Two and sixty-five hundredths percent (2.65%).</w:t>
      </w:r>
    </w:p>
    <w:p>
      <w:pPr>
        <w:spacing w:after="0" w:line="17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spacing w:after="0" w:line="1" w:lineRule="exact"/>
        <w:rPr>
          <w:sz w:val="20"/>
          <w:szCs w:val="20"/>
          <w:color w:val="auto"/>
        </w:rPr>
      </w:pPr>
    </w:p>
    <w:p>
      <w:pPr>
        <w:jc w:val="both"/>
        <w:ind w:firstLine="8"/>
        <w:spacing w:after="0" w:line="255"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 transaction by any Anti 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w:t>
      </w:r>
      <w:r>
        <w:rPr>
          <w:rFonts w:ascii="Arial" w:cs="Arial" w:eastAsia="Arial" w:hAnsi="Arial"/>
          <w:sz w:val="18"/>
          <w:szCs w:val="18"/>
          <w:b w:val="1"/>
          <w:bCs w:val="1"/>
          <w:color w:val="auto"/>
        </w:rPr>
        <w:t>Code</w:t>
      </w:r>
      <w:r>
        <w:rPr>
          <w:rFonts w:ascii="Arial" w:cs="Arial" w:eastAsia="Arial" w:hAnsi="Arial"/>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is any “commodity account” as defined in the Code with such additions to such term as may hereafter be made under the Code.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Person such as an obligation directly or indirectly guaranteed, endorsed, co made, discounted or sold with recourse by that Person, or for which that Person is directly or indirectly liable; (b) any obligations for undrawn letters of credit for the account of that Person; and</w:t>
      </w:r>
    </w:p>
    <w:p>
      <w:pPr>
        <w:spacing w:after="0" w:line="2" w:lineRule="exact"/>
        <w:rPr>
          <w:sz w:val="20"/>
          <w:szCs w:val="20"/>
          <w:color w:val="auto"/>
        </w:rPr>
      </w:pPr>
    </w:p>
    <w:p>
      <w:pPr>
        <w:jc w:val="both"/>
        <w:ind w:firstLine="8"/>
        <w:spacing w:after="0" w:line="292" w:lineRule="auto"/>
        <w:tabs>
          <w:tab w:leader="none" w:pos="25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Collateral Agent pursuant to which Collateral Agent, for the benefit of the Lenders, obtains “control” (within the meaning of the Code) over such Deposit Account, Securities Account, or Commodity Account.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U.S. Department of Justice or any successor thereto or any other comparable Governmental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“dollars” and “$” each mean lawful money of the United States.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Fee</w:t>
      </w:r>
      <w:r>
        <w:rPr>
          <w:rFonts w:ascii="Arial" w:cs="Arial" w:eastAsia="Arial" w:hAnsi="Arial"/>
          <w:sz w:val="16"/>
          <w:szCs w:val="16"/>
          <w:color w:val="auto"/>
        </w:rPr>
        <w:t>” is a fee payable to each Lender: (i) due on the Funding Date of a Term A Loan equal to 0.75% of the total principal amount of such Term A Loan funded by such Lender, (ii) due on the Funding Date of the Term B Loan equal to 0.75% of the total principal amount of the Term B Loan funded by such Lender and (iii) due on the Funding Date of the Term C Loan equal to 0.75% of the total principal amount of the Term C Loan funded by such Lender.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 or any other comparable Governmental Authority.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Fee</w:t>
      </w:r>
      <w:r>
        <w:rPr>
          <w:rFonts w:ascii="Arial" w:cs="Arial" w:eastAsia="Arial" w:hAnsi="Arial"/>
          <w:sz w:val="18"/>
          <w:szCs w:val="18"/>
          <w:color w:val="auto"/>
        </w:rPr>
        <w:t xml:space="preserve">” is a payment (in addition to and not a substitution for the regular monthly payments of principal plus accrued interest or any other fee payable hereunder) due on the earliest to occur of (a) the Maturity Date, or (b) the acceleration of any Term Loan, or (c) the prepayment of the Term Loan pursuant to Section 2.2(c) or (d), in each case equal to Final Fee Percentage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the aggregate amount of the Term Loans funded, payable to Lenders in accordance with their respective Pro Rata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Fee Percentage</w:t>
      </w:r>
      <w:r>
        <w:rPr>
          <w:rFonts w:ascii="Arial" w:cs="Arial" w:eastAsia="Arial" w:hAnsi="Arial"/>
          <w:sz w:val="18"/>
          <w:szCs w:val="18"/>
          <w:color w:val="auto"/>
        </w:rPr>
        <w:t>” is Four and one-half percent (4.50%).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Term Loan is made to or on account of Borrower which shall be a Business Day.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9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 regulatory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 for the benefit of the Lenders.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of its Subsidiaries’ right, title and interest in and to the following: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its Copyrights, Trademarks and Patents;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any and all trade secrets and trade secret rights, including, without limitation, any rights to unpatented inventions, know how, operating manuals;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any and all source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any and all design rights which may be available to Borrower;</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(e)            any and all claims for damages by way of past, present and future infringement of any of the foregoing, with the right, but not the obligation, to sue for and collect such damages for said use or infringement of the Intellectual Property rights identified above;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all amendments, renewals and extensions of any of the Copyrights, Trademarks or Patents; and</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(g)            all licenses, sublicenses or other contracts under which Borrower or any Subsidiary is granted rights by third parties in any Intellectual Property asset.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Security Agreement</w:t>
      </w:r>
      <w:r>
        <w:rPr>
          <w:rFonts w:ascii="Arial" w:cs="Arial" w:eastAsia="Arial" w:hAnsi="Arial"/>
          <w:sz w:val="18"/>
          <w:szCs w:val="18"/>
          <w:color w:val="auto"/>
        </w:rPr>
        <w:t>” is that certain Intellectual Property Security Agreement executed and delivered by Borrower to Collateral Agent and dated as of the Effective Date, as may be amended, restated, or otherwise modified or supplemented from time to time.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Nadim Yared as of the Effective Date and (ii) Chief Financial Officer, who is Jared Oasheim as of the Effective Date.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to the “best of” Borrower’s knowledge, or with a similar qualification, knowledge or awareness means the actual knowledge, after reasonable investigation, of the Responsible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Lenders</w:t>
      </w:r>
      <w:r>
        <w:rPr>
          <w:rFonts w:ascii="Arial" w:cs="Arial" w:eastAsia="Arial" w:hAnsi="Arial"/>
          <w:sz w:val="17"/>
          <w:szCs w:val="17"/>
          <w:color w:val="auto"/>
        </w:rPr>
        <w:t xml:space="preserve">” are the Persons identified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and each assignee that becomes a party to this Agreement pursuant to Section 12.1.</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documented out-of-pocket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Lenders in connection with the Loan Documents.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IP Security Agreement, each Secured Promissory Note, the Perfection Certificate(s), each Control Agreement, each Compliance Certificate, each Loan Payment Request Form, each Disbursement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Plan</w:t>
      </w:r>
      <w:r>
        <w:rPr>
          <w:rFonts w:ascii="Arial" w:cs="Arial" w:eastAsia="Arial" w:hAnsi="Arial"/>
          <w:sz w:val="18"/>
          <w:szCs w:val="18"/>
          <w:color w:val="auto"/>
        </w:rPr>
        <w:t>” is Borrower’s Board approved projected revenue prepared and delivered to Collateral Agent by Borrower in accordance with Section 6.12(a) of this Agreement and covering all applicable periods commencing on the date that is twelve months prior to the commencement of Borrower’s obligation under Section 6.12(b) through the Maturity Date.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adverse change in the business, operations or condition (financial or otherwise) of Borrower or any Subsidiary, when taken as a whole; (b) a material impairment of the prospect of repayment of any portion of the Obligations, or (c) a material adverse effect on the Collateral.</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Agreement</w:t>
      </w:r>
      <w:r>
        <w:rPr>
          <w:rFonts w:ascii="Arial" w:cs="Arial" w:eastAsia="Arial" w:hAnsi="Arial"/>
          <w:sz w:val="18"/>
          <w:szCs w:val="18"/>
          <w:color w:val="auto"/>
        </w:rPr>
        <w:t>” is any “material definitive agreement” as defined by Item 1.01(b) of Form 8-K, including the instructions thereto governing the agreements subject to Item 1.01(b), under the rules of the Securities and Exchange Commission, or any successor rule.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January 31, 2028.</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all of Borrower’s obligations to pay when due any debts, principal, interest, Lenders’ Expenses, the Prepayment Fee, the Final Fee, and other amounts Borrower owes the Lenders now or later, in connection with, related to, or arising from, out of or under, this Agreement or the other Loan Documents,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Business Day of each calendar month, commencing on December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Borrower’s Indebtedness to the Lenders and Collateral Agent under this Agreement and the other Loan Documents;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Indebtedness existing on the Effective Date and disclosed on the Perfection Certificate(s);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Subordinated Debt;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unsecured Indebtedness to trade creditors and Indebtedness in connection with credit cards incurred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(e)            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Five Hundred Thousand Dollars ($500,000.00)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Indebtedness incurred as a result of endorsing negotiable instruments received in the ordinary course of Borrower’s business;</w:t>
      </w:r>
    </w:p>
    <w:p>
      <w:pPr>
        <w:spacing w:after="0" w:line="2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(g)            intercompany Indebtedness owed by any Subsidiary to Borrower or any wholly-owned Subsidiary,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also permitted as a Permitted Investment and, in the case of such Indebtedness owed to Borrower, such Indebtedness shall be evidenced by one or more promissory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77" w:lineRule="auto"/>
        <w:rPr>
          <w:sz w:val="20"/>
          <w:szCs w:val="20"/>
          <w:color w:val="auto"/>
        </w:rPr>
      </w:pPr>
      <w:r>
        <w:rPr>
          <w:rFonts w:ascii="Arial" w:cs="Arial" w:eastAsia="Arial" w:hAnsi="Arial"/>
          <w:sz w:val="18"/>
          <w:szCs w:val="18"/>
          <w:color w:val="auto"/>
        </w:rPr>
        <w:t>(h)            Indebtedness incurred under performance, surety, statutory and approval bonds; provided that the aggregate amount of such Indebtedness may not exceed One Hundred Thousand Dollars ($100,000) at any time;</w:t>
      </w:r>
    </w:p>
    <w:p>
      <w:pPr>
        <w:spacing w:after="0" w:line="17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(i)            currency swap and similar transactions entered into in the ordinary course of business and not for speculative purposes, provided that the aggregate liability ensuing from such transactions of Borrower and its Subsidiaries may not exceed One Hundred Thousand Dollars ($100,000) at any given time;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(j)            extensions, refinancings, modifications, amendments and restatements of any items of Permitted Indebtedness (a) through</w:t>
      </w:r>
    </w:p>
    <w:p>
      <w:pPr>
        <w:spacing w:after="0" w:line="35" w:lineRule="exact"/>
        <w:rPr>
          <w:sz w:val="20"/>
          <w:szCs w:val="20"/>
          <w:color w:val="auto"/>
        </w:rPr>
      </w:pPr>
    </w:p>
    <w:p>
      <w:pPr>
        <w:ind w:firstLine="8"/>
        <w:spacing w:after="0" w:line="260" w:lineRule="auto"/>
        <w:tabs>
          <w:tab w:leader="none" w:pos="2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above, provided that the principal amount thereof is not increased or the terms thereof are not modified to impose materially more burdensome terms upon Borrower, or its Subsidiary, as the case may be.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Investments disclosed on the Perfection Certificate(s) and existing on the Effective Date;</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(b)            (i)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Investments consisting of the endorsement of negotiable instruments for deposit or collection or similar transactions in the ordinary course of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Investments consisting of Collateral Accounts in which Collateral Agent has a perfected security interest (to the extent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Investments in connection with Transfers permitted by Section 7.1;</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            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($100,000.00) in the aggregate for (i) and (ii) in any fiscal year;</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(g)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(h)            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            Investments in Subsidiaries, not to exceed One Million Dollars ($1,000,000.00) per fiscal year; provided, however, immediately after making each such Investment, Borrower must have unrestricted cash assets of not less than the greater of (i) the aggregate outstanding principal amount of the Term Loan and (ii) Twelve Million Dollars ($12,000,000.00);</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(j)            non-cash Investments in joint ventures or strategic alliances in the ordinary course of Borrower’s business consisting of the non exclusive licensing of technology, the development of technology or the providing of technical support;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            other Investments aggregating not in excess of One Hundred Thousand Dollars ($100,000) at any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Licenses</w:t>
      </w:r>
      <w:r>
        <w:rPr>
          <w:rFonts w:ascii="Arial" w:cs="Arial" w:eastAsia="Arial" w:hAnsi="Arial"/>
          <w:sz w:val="18"/>
          <w:szCs w:val="18"/>
          <w:color w:val="auto"/>
        </w:rPr>
        <w:t>” are (A) licenses of over-the-counter software that is commercially available to the public and (B) non exclusive licenses for the use of the Intellectual Property of Borrower or any of its Subsidiaries entered into in the ordinary course of business, provided, that, with respect to each such license described in clause (B), the license constitutes an arms length transaction, the terms of which, on their face, do not provide for a sale or assignment of any Intellectual Property and do not restrict the ability of Borrower to pledge, grant a security interest in or lien on, or assign or otherwise Transfer any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Liens existing on the Effective Date and disclosed on the Perfection Certificates or arising under this Agreement and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(c)            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(d)            Liens of carriers, warehousemen, suppliers, or other Persons that are possessory in nature arising in the ordinary course of business so long as such Liens attach only to Inventory, securing liabilities in the aggregate amount not to exceed Five Hundred Thousand Dollars ($500,000.00),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            Liens to secure payment of workers’ compensation, employment insurance, old age pensions, social security and other like obligations incurred in the ordinary course of business (other than Liens imposed by ERISA);</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(g)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(h)            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 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Liens arising from judgments, decrees or attachments in circumstances not constituting an Event of Default under Section 8.4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            Permitted Licenses;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right="20" w:firstLine="1296"/>
        <w:spacing w:after="0" w:line="263" w:lineRule="auto"/>
        <w:rPr>
          <w:sz w:val="20"/>
          <w:szCs w:val="20"/>
          <w:color w:val="auto"/>
        </w:rPr>
      </w:pPr>
      <w:r>
        <w:rPr>
          <w:rFonts w:ascii="Arial" w:cs="Arial" w:eastAsia="Arial" w:hAnsi="Arial"/>
          <w:sz w:val="18"/>
          <w:szCs w:val="18"/>
          <w:color w:val="auto"/>
        </w:rPr>
        <w:t>(k)            Liens to secure payment of workers’ compensation, employment insurance, old-age pensions, social security and other like obligations incurred in the ordinary course of business (other than Liens imposed by ERISA); provided, however, the aggregate amount obligations secured by such Liens at any given time shall not exceed One Hundred Thousand Dollars ($100,000.00).</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for a prepayment made on or after the Effective Date and through and including the date which is the first anniversary of the Effective Date, three percent (3.00%) of the principal amount of the Term Loans prepaid; provided, however, no voluntary prepayment may be made during such period;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for a prepayment made after the date which is the first anniversary of the Effective Date and through and including the date which is the second anniversary of the Effective Date, two percent (2.00%) of the principal amount of the Term Loans prepaid;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for a prepayment made after the date which is the second anniversary of the Effective Date through and including the date which is the third anniversary of the Effective Date, one percent (1.00%) of the principal amount of the Term Loan prepaid; and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(d)            for a prepayment made after the date which is the third anniversary of the Effective Date and prior to the Maturity Date, zero percent (0.00%) of the principal amount of the Term Loan prepaid.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the Prime Rate published in the Money Rates section of the U.S. Edition of The Wall Street Journal.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under the Code.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w:t>
      </w:r>
      <w:r>
        <w:rPr>
          <w:rFonts w:ascii="Arial" w:cs="Arial" w:eastAsia="Arial" w:hAnsi="Arial"/>
          <w:sz w:val="17"/>
          <w:szCs w:val="17"/>
          <w:color w:val="auto"/>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(i) for so long as all of the Persons that are Lenders on the Effective Date (each an “</w:t>
      </w:r>
      <w:r>
        <w:rPr>
          <w:rFonts w:ascii="Arial" w:cs="Arial" w:eastAsia="Arial" w:hAnsi="Arial"/>
          <w:sz w:val="18"/>
          <w:szCs w:val="18"/>
          <w:b w:val="1"/>
          <w:bCs w:val="1"/>
          <w:color w:val="auto"/>
        </w:rPr>
        <w:t>Original Lender</w:t>
      </w:r>
      <w:r>
        <w:rPr>
          <w:rFonts w:ascii="Arial" w:cs="Arial" w:eastAsia="Arial" w:hAnsi="Arial"/>
          <w:sz w:val="18"/>
          <w:szCs w:val="18"/>
          <w:color w:val="auto"/>
        </w:rPr>
        <w:t>”) have not assigned or transferred any of their interests in the Term Loan, Lenders holding one hundred percent (100%) of the aggregate outstanding principal balance of the Term Loan, or (ii) at any time from and after any Original Lender has assigned or transferred any interest in its Term Loan, Lenders holding at least fifty one percent (51%) of the aggregate outstanding principal balance of the Term Loan.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2.6.</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 under the Code.</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is one hundred percent (100%) of the issued and outstanding capital stock, membership units or other securities owned or held of record by Borrower, in any Subsidiary that is not a Foreign Subsidiary, and sixty-five percent (65%) of the issued and outstanding capital stock, membership units or other securities owned or held of record by Borrower in a Foreign Subsidiary.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is, for any Lender, the obligation of such Lender to make the Term Loan, up to the principal amount shown on </w:t>
      </w:r>
      <w:r>
        <w:rPr>
          <w:rFonts w:ascii="Arial" w:cs="Arial" w:eastAsia="Arial" w:hAnsi="Arial"/>
          <w:sz w:val="16"/>
          <w:szCs w:val="16"/>
          <w:u w:val="single" w:color="auto"/>
          <w:color w:val="auto"/>
        </w:rPr>
        <w:t>Schedule 1.1</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Draw Period</w:t>
      </w:r>
      <w:r>
        <w:rPr>
          <w:rFonts w:ascii="Arial" w:cs="Arial" w:eastAsia="Arial" w:hAnsi="Arial"/>
          <w:sz w:val="17"/>
          <w:szCs w:val="17"/>
          <w:color w:val="auto"/>
        </w:rPr>
        <w:t>” is the period commencing on the date on which Borrower achieves the Term A Milestone and ending on the earliest of</w:t>
      </w:r>
    </w:p>
    <w:p>
      <w:pPr>
        <w:spacing w:after="0" w:line="39" w:lineRule="exact"/>
        <w:rPr>
          <w:sz w:val="20"/>
          <w:szCs w:val="20"/>
          <w:color w:val="auto"/>
        </w:rPr>
      </w:pPr>
    </w:p>
    <w:p>
      <w:pPr>
        <w:jc w:val="both"/>
        <w:ind w:firstLine="8"/>
        <w:spacing w:after="0" w:line="292" w:lineRule="auto"/>
        <w:tabs>
          <w:tab w:leader="none" w:pos="217"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September 30, 2023, (ii) the date immediately prior to the Funding Date of the Term B Loan and (iii) the occurrence of an Event of Default (unless such Event of Default is cured or waived by Collateral Agent and Lenders for the purposes of the continuation of the Term A Draw Period); provided, however, that the Term A Draw Period shall not commence if on the date that Borrower achieves the Term A Milestone, an Event of Default has occurred and is continuing until such Event of Default is cured or waived by Collateral Agent and Lenders for the purposes of the commencement of the Term A Draw Period or an aggregate amount of Fifteen Million Dollars ($15,000,000.00) of Term A Loan has already been made under this Agreement.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A Milestone</w:t>
      </w:r>
      <w:r>
        <w:rPr>
          <w:rFonts w:ascii="Arial" w:cs="Arial" w:eastAsia="Arial" w:hAnsi="Arial"/>
          <w:sz w:val="16"/>
          <w:szCs w:val="16"/>
          <w:color w:val="auto"/>
        </w:rPr>
        <w:t xml:space="preserve">” is the filing by Borrower of its annual report for the fiscal year ending on December 31, 2022, on form 10-K with the U.S. Securities and Exchange Commission, along with audited consolidated financial statements prepared under GAAP, consistently applied, together with an opinion from an independent certified public accounting firm acceptable to Collateral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audited consolidated financial statements shall include an unqualified opinion of Borrower’s independent certified public accounting firm on such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B Draw Period</w:t>
      </w:r>
      <w:r>
        <w:rPr>
          <w:rFonts w:ascii="Arial" w:cs="Arial" w:eastAsia="Arial" w:hAnsi="Arial"/>
          <w:sz w:val="16"/>
          <w:szCs w:val="16"/>
          <w:color w:val="auto"/>
        </w:rPr>
        <w:t>” is the period commencing on September 1, 2023, if Borrower has achieved the Term B Milestone, and ending on the earlier of</w:t>
      </w:r>
    </w:p>
    <w:p>
      <w:pPr>
        <w:spacing w:after="0" w:line="50" w:lineRule="exact"/>
        <w:rPr>
          <w:sz w:val="20"/>
          <w:szCs w:val="20"/>
          <w:color w:val="auto"/>
        </w:rPr>
      </w:pPr>
    </w:p>
    <w:p>
      <w:pPr>
        <w:jc w:val="both"/>
        <w:ind w:firstLine="8"/>
        <w:spacing w:after="0" w:line="253" w:lineRule="auto"/>
        <w:tabs>
          <w:tab w:leader="none" w:pos="2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December 15, 2023 and (ii) the occurrence of an Event of Default (unless such Event of Default is cured or waived by Collateral Agent and Lenders for the purposes of the continuation of the Term B Draw Period); provided, however, that the Term B Draw Period shall not commence if on the date that it would otherwise have commenced, an Event of Default has occurred and is continuing until such Event of Default is cured or waived by Collateral Agent and Lenders for the purposes of the commencement of the Term B Draw Period.</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Milestone</w:t>
      </w:r>
      <w:r>
        <w:rPr>
          <w:rFonts w:ascii="Arial" w:cs="Arial" w:eastAsia="Arial" w:hAnsi="Arial"/>
          <w:sz w:val="18"/>
          <w:szCs w:val="18"/>
          <w:color w:val="auto"/>
        </w:rPr>
        <w:t>” is the achievement by Borrower of consolidated trailing three months revenue, as measured in accordance with GAAP at the end of any given month, on or before June 30, 2023 of at least Five Million Seven Hundred Fifty Thousand Dollars ($5,750,000.00).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C Draw Period</w:t>
      </w:r>
      <w:r>
        <w:rPr>
          <w:rFonts w:ascii="Arial" w:cs="Arial" w:eastAsia="Arial" w:hAnsi="Arial"/>
          <w:sz w:val="16"/>
          <w:szCs w:val="16"/>
          <w:color w:val="auto"/>
        </w:rPr>
        <w:t>” is the period commencing on September 1, 2024, if Borrower has achieved the Term C Milestone, and ending on the earlier of</w:t>
      </w:r>
    </w:p>
    <w:p>
      <w:pPr>
        <w:spacing w:after="0" w:line="50" w:lineRule="exact"/>
        <w:rPr>
          <w:sz w:val="20"/>
          <w:szCs w:val="20"/>
          <w:color w:val="auto"/>
        </w:rPr>
      </w:pPr>
    </w:p>
    <w:p>
      <w:pPr>
        <w:jc w:val="both"/>
        <w:ind w:firstLine="8"/>
        <w:spacing w:after="0" w:line="253" w:lineRule="auto"/>
        <w:tabs>
          <w:tab w:leader="none" w:pos="2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15, 2024 and (ii) the occurrence of an Event of Default (unless such Event of Default is cured or waived by Collateral Agent and Lenders for the purposes of the continuation of the Term C Draw Period); provided, however, that the Term C Draw Period shall not commence if on the date that it would otherwise have commenced, an Event of Default has occurred and is continuing until such Event of Default is cured or waived by Collateral Agent and Lenders for the purposes of the commencement of the Term C Draw Period.</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Milestone</w:t>
      </w:r>
      <w:r>
        <w:rPr>
          <w:rFonts w:ascii="Arial" w:cs="Arial" w:eastAsia="Arial" w:hAnsi="Arial"/>
          <w:sz w:val="18"/>
          <w:szCs w:val="18"/>
          <w:color w:val="auto"/>
        </w:rPr>
        <w:t>” is the achievement by Borrower of consolidated trailing three months revenue, as measured in accordance with GAAP at the end of any given month, on or before June 30, 2024 of at least Nine Million Dollars ($9,000,000.00).</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TTM Revenue</w:t>
      </w:r>
      <w:r>
        <w:rPr>
          <w:rFonts w:ascii="Arial" w:cs="Arial" w:eastAsia="Arial" w:hAnsi="Arial"/>
          <w:sz w:val="17"/>
          <w:szCs w:val="17"/>
          <w:color w:val="auto"/>
        </w:rPr>
        <w:t>” means trailing twelve (12) months’ consolidated revenue, determined in accordance with GAAP, as of any date of determination.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CVRx,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Oasheim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Jared Oasheim</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INNOVATUS LIFE SCIENCES LENDING FUND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Innovatus Life Sciences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Dym</w:t>
            </w:r>
          </w:p>
        </w:tc>
        <w:tc>
          <w:tcPr>
            <w:tcW w:w="5460" w:type="dxa"/>
            <w:vAlign w:val="bottom"/>
          </w:tcPr>
          <w:p>
            <w:pPr>
              <w:spacing w:after="0"/>
              <w:rPr>
                <w:sz w:val="20"/>
                <w:szCs w:val="20"/>
                <w:color w:val="auto"/>
              </w:rPr>
            </w:pPr>
          </w:p>
        </w:tc>
      </w:tr>
      <w:tr>
        <w:trPr>
          <w:trHeight w:val="209"/>
        </w:trPr>
        <w:tc>
          <w:tcPr>
            <w:tcW w:w="880" w:type="dxa"/>
            <w:vAlign w:val="bottom"/>
          </w:tcPr>
          <w:p>
            <w:pPr>
              <w:ind w:left="340"/>
              <w:spacing w:after="0"/>
              <w:rPr>
                <w:sz w:val="20"/>
                <w:szCs w:val="20"/>
                <w:color w:val="auto"/>
              </w:rPr>
            </w:pPr>
            <w:r>
              <w:rPr>
                <w:rFonts w:ascii="Arial" w:cs="Arial" w:eastAsia="Arial" w:hAnsi="Arial"/>
                <w:sz w:val="18"/>
                <w:szCs w:val="18"/>
                <w:color w:val="auto"/>
                <w:w w:val="98"/>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Dym</w:t>
            </w:r>
          </w:p>
        </w:tc>
        <w:tc>
          <w:tcPr>
            <w:tcW w:w="5460" w:type="dxa"/>
            <w:vAlign w:val="bottom"/>
          </w:tcPr>
          <w:p>
            <w:pPr>
              <w:spacing w:after="0"/>
              <w:rPr>
                <w:sz w:val="18"/>
                <w:szCs w:val="18"/>
                <w:color w:val="auto"/>
              </w:rPr>
            </w:pPr>
          </w:p>
        </w:tc>
      </w:tr>
      <w:tr>
        <w:trPr>
          <w:trHeight w:val="209"/>
        </w:trPr>
        <w:tc>
          <w:tcPr>
            <w:tcW w:w="880" w:type="dxa"/>
            <w:vAlign w:val="bottom"/>
          </w:tcPr>
          <w:p>
            <w:pPr>
              <w:ind w:left="340"/>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5460" w:type="dxa"/>
            <w:vAlign w:val="bottom"/>
          </w:tcPr>
          <w:p>
            <w:pPr>
              <w:spacing w:after="0"/>
              <w:rPr>
                <w:sz w:val="18"/>
                <w:szCs w:val="18"/>
                <w:color w:val="auto"/>
              </w:rPr>
            </w:pPr>
          </w:p>
        </w:tc>
      </w:tr>
      <w:tr>
        <w:trPr>
          <w:trHeight w:val="426"/>
        </w:trPr>
        <w:tc>
          <w:tcPr>
            <w:tcW w:w="8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Term A Loan</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520" w:type="dxa"/>
            <w:vAlign w:val="bottom"/>
            <w:tcBorders>
              <w:top w:val="single" w:sz="8" w:color="auto"/>
              <w:left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rPr>
              <w:t>Lender</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Loan A Commitment</w:t>
            </w:r>
          </w:p>
        </w:tc>
        <w:tc>
          <w:tcPr>
            <w:tcW w:w="370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Commitment Percentage</w:t>
            </w:r>
          </w:p>
        </w:tc>
      </w:tr>
      <w:tr>
        <w:trPr>
          <w:trHeight w:val="210"/>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INNOVATUS LIFE SCIENCES LENDING FUND I, LP</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r>
      <w:tr>
        <w:trPr>
          <w:trHeight w:val="209"/>
        </w:trPr>
        <w:tc>
          <w:tcPr>
            <w:tcW w:w="4520" w:type="dxa"/>
            <w:vAlign w:val="bottom"/>
            <w:tcBorders>
              <w:left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TOTAL</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$15,000,000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25"/>
        </w:trPr>
        <w:tc>
          <w:tcPr>
            <w:tcW w:w="45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B Loan</w:t>
            </w:r>
          </w:p>
        </w:tc>
        <w:tc>
          <w:tcPr>
            <w:tcW w:w="3700" w:type="dxa"/>
            <w:vAlign w:val="bottom"/>
            <w:tcBorders>
              <w:bottom w:val="single" w:sz="8" w:color="auto"/>
            </w:tcBorders>
          </w:tcPr>
          <w:p>
            <w:pPr>
              <w:spacing w:after="0"/>
              <w:rPr>
                <w:sz w:val="24"/>
                <w:szCs w:val="24"/>
                <w:color w:val="auto"/>
              </w:rPr>
            </w:pPr>
          </w:p>
        </w:tc>
      </w:tr>
      <w:tr>
        <w:trPr>
          <w:trHeight w:val="210"/>
        </w:trPr>
        <w:tc>
          <w:tcPr>
            <w:tcW w:w="4520" w:type="dxa"/>
            <w:vAlign w:val="bottom"/>
            <w:tcBorders>
              <w:left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rPr>
              <w:t>Lender</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Loan B Commitment</w:t>
            </w:r>
          </w:p>
        </w:tc>
        <w:tc>
          <w:tcPr>
            <w:tcW w:w="37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Commitment Percentage</w:t>
            </w:r>
          </w:p>
        </w:tc>
      </w:tr>
      <w:tr>
        <w:trPr>
          <w:trHeight w:val="195"/>
        </w:trPr>
        <w:tc>
          <w:tcPr>
            <w:tcW w:w="4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INNOVATUS LIFE SCIENCES LENDING FUND I, LP</w:t>
            </w:r>
          </w:p>
        </w:tc>
        <w:tc>
          <w:tcPr>
            <w:tcW w:w="30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$30,000,000 minus the funded amount of</w:t>
            </w:r>
          </w:p>
        </w:tc>
        <w:tc>
          <w:tcPr>
            <w:tcW w:w="3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100.00%</w:t>
            </w:r>
          </w:p>
        </w:tc>
      </w:tr>
      <w:tr>
        <w:trPr>
          <w:trHeight w:val="230"/>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Term A Loan</w:t>
            </w: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4520" w:type="dxa"/>
            <w:vAlign w:val="bottom"/>
            <w:tcBorders>
              <w:left w:val="single" w:sz="8" w:color="auto"/>
              <w:right w:val="single" w:sz="8" w:color="auto"/>
            </w:tcBorders>
          </w:tcPr>
          <w:p>
            <w:pPr>
              <w:ind w:left="1960"/>
              <w:spacing w:after="0" w:line="191" w:lineRule="exact"/>
              <w:rPr>
                <w:sz w:val="20"/>
                <w:szCs w:val="20"/>
                <w:color w:val="auto"/>
              </w:rPr>
            </w:pPr>
            <w:r>
              <w:rPr>
                <w:rFonts w:ascii="Arial" w:cs="Arial" w:eastAsia="Arial" w:hAnsi="Arial"/>
                <w:sz w:val="18"/>
                <w:szCs w:val="18"/>
                <w:b w:val="1"/>
                <w:bCs w:val="1"/>
                <w:color w:val="auto"/>
              </w:rPr>
              <w:t>TOTAL</w:t>
            </w:r>
          </w:p>
        </w:tc>
        <w:tc>
          <w:tcPr>
            <w:tcW w:w="30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$30,000,000 minus the funded amount</w:t>
            </w:r>
          </w:p>
        </w:tc>
        <w:tc>
          <w:tcPr>
            <w:tcW w:w="37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100.00%</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 Term A Loan</w:t>
            </w:r>
          </w:p>
        </w:tc>
        <w:tc>
          <w:tcPr>
            <w:tcW w:w="3700" w:type="dxa"/>
            <w:vAlign w:val="bottom"/>
            <w:tcBorders>
              <w:bottom w:val="single" w:sz="8" w:color="auto"/>
              <w:right w:val="single" w:sz="8" w:color="auto"/>
            </w:tcBorders>
          </w:tcPr>
          <w:p>
            <w:pPr>
              <w:spacing w:after="0"/>
              <w:rPr>
                <w:sz w:val="20"/>
                <w:szCs w:val="20"/>
                <w:color w:val="auto"/>
              </w:rPr>
            </w:pPr>
          </w:p>
        </w:tc>
      </w:tr>
      <w:tr>
        <w:trPr>
          <w:trHeight w:val="426"/>
        </w:trPr>
        <w:tc>
          <w:tcPr>
            <w:tcW w:w="45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Term C Loan</w:t>
            </w:r>
          </w:p>
        </w:tc>
        <w:tc>
          <w:tcPr>
            <w:tcW w:w="3700" w:type="dxa"/>
            <w:vAlign w:val="bottom"/>
            <w:tcBorders>
              <w:bottom w:val="single" w:sz="8" w:color="auto"/>
            </w:tcBorders>
          </w:tcPr>
          <w:p>
            <w:pPr>
              <w:spacing w:after="0"/>
              <w:rPr>
                <w:sz w:val="24"/>
                <w:szCs w:val="24"/>
                <w:color w:val="auto"/>
              </w:rPr>
            </w:pPr>
          </w:p>
        </w:tc>
      </w:tr>
      <w:tr>
        <w:trPr>
          <w:trHeight w:val="209"/>
        </w:trPr>
        <w:tc>
          <w:tcPr>
            <w:tcW w:w="4520" w:type="dxa"/>
            <w:vAlign w:val="bottom"/>
            <w:tcBorders>
              <w:left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rPr>
              <w:t>Lender</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Loan C Commitment</w:t>
            </w:r>
          </w:p>
        </w:tc>
        <w:tc>
          <w:tcPr>
            <w:tcW w:w="37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Commitment Percentage</w:t>
            </w:r>
          </w:p>
        </w:tc>
      </w:tr>
      <w:tr>
        <w:trPr>
          <w:trHeight w:val="20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INNOVATUS LIFE SCIENCES LENDING FUND I, LP</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$20,000,000.00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r>
      <w:tr>
        <w:trPr>
          <w:trHeight w:val="210"/>
        </w:trPr>
        <w:tc>
          <w:tcPr>
            <w:tcW w:w="4520" w:type="dxa"/>
            <w:vAlign w:val="bottom"/>
            <w:tcBorders>
              <w:left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TOTAL</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$20,000,000.00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641"/>
        </w:trPr>
        <w:tc>
          <w:tcPr>
            <w:tcW w:w="45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904"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property: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Loan Payment Request Form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Compliance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Exhibit C-2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Confirmation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SECURED PROMISSORY NOTE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[A][B][C] Loan)</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Dated: [DATE]</w:t>
      </w:r>
    </w:p>
    <w:p>
      <w:pPr>
        <w:spacing w:after="0" w:line="200" w:lineRule="exact"/>
        <w:rPr>
          <w:sz w:val="20"/>
          <w:szCs w:val="20"/>
          <w:color w:val="auto"/>
        </w:rPr>
      </w:pPr>
    </w:p>
    <w:p>
      <w:pPr>
        <w:sectPr>
          <w:pgSz w:w="11900" w:h="16838" w:orient="portrait"/>
          <w:cols w:equalWidth="0" w:num="2">
            <w:col w:w="9400" w:space="720"/>
            <w:col w:w="1120"/>
          </w:cols>
          <w:pgMar w:left="320" w:top="904" w:right="339" w:bottom="1440" w:gutter="0" w:footer="0" w:header="0"/>
          <w:type w:val="continuous"/>
        </w:sectPr>
      </w:pPr>
    </w:p>
    <w:p>
      <w:pPr>
        <w:spacing w:after="0" w:line="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VALUE RECEIVED, the undersigned, CVRx,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INNOVATUS LIFE SCIENCES LENDING FUND I, LP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[___________] MILLION DOLLARS ($______________)</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or such lesser amount as shall equal the outstanding principal balance of the Term [A][B][C] Loan made to Borrower by Lender, plus interest on the aggregate unpaid principal amount of such Term [A][B][C] Loan, at the rates and in accordance with the terms of the Loan and Security Agreement dated October 31, 2022 by and among Borrower, Lender, INNOVATUS LIFE SCIENCES LENDING FUND I, LP,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interest and all other amounts due with respect to the Term [A][B][C]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[A][B][C]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 (c) and Section 2.2(d) of the Loan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[A][B][C] Loan, interest on the Term [A][B][C] Loan and all other amounts due Lender under the Loan Agreement is secured under the Loan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New York.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color w:val="auto"/>
        </w:rPr>
        <w:t>IN WITNESS WHEREOF, Borrower has caused this Note to be duly executed by one of its officers thereunto duly authorized on the date hereof.</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CVRx,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3206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306070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908" w:right="4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CORPORATE BORROWING CERTIFICATE</w:t>
      </w:r>
    </w:p>
    <w:p>
      <w:pPr>
        <w:sectPr>
          <w:pgSz w:w="11900" w:h="16838" w:orient="portrait"/>
          <w:cols w:equalWidth="0" w:num="1">
            <w:col w:w="9019"/>
          </w:cols>
          <w:pgMar w:left="1440" w:top="904"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Agent and Lender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Appointment of Collateral Agent.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            Each Lender hereby appoints INNOVATUS LIFE SCIENCES LENDING FUND I, LP (together with any successor Collateral Agent pursuant to Section 7 of this Annex I) 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8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(b)            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Collateral Agent and each Lender for purposes of the perfection of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Annex I to the extent provided by Collateral Agent.</w:t>
      </w:r>
    </w:p>
    <w:p>
      <w:pPr>
        <w:spacing w:after="0" w:line="16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(c)            Under the Loan Documents,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 (iii) above. Except as expressly set forth in the Loan Documents, Collateral Agent shall not have any duty to disclose, and shall not be liable for failure to disclose, any information relating to Borrower or any of its Subsidiaries that is communicated to or obtained by [LENDER 2] or any of its Affiliates in any capacity.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Binding Effect; Use of Discretion; E-Systems.</w:t>
      </w:r>
    </w:p>
    <w:p>
      <w:pPr>
        <w:spacing w:after="0" w:line="22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            Each Lender, by accepting the benefits of the Loan Documents, agrees that (i) any action taken by Collateral Agent or Required Lenders (or, if expressly required in any Loan Document, a greater proportion of the Lenders) in accordance with the provisions of the Loan Documents,</w:t>
      </w:r>
    </w:p>
    <w:p>
      <w:pPr>
        <w:jc w:val="both"/>
        <w:ind w:firstLine="8"/>
        <w:spacing w:after="0" w:line="277" w:lineRule="auto"/>
        <w:tabs>
          <w:tab w:leader="none" w:pos="269"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taken by Collateral Agent in reliance upon the instructions of Required Lenders (or, where so required, such greater proportion) and (iii) the exercise by Collateral Agent or Required Lenders (or, where so required, such greater proportion) of the powers set forth herein or therein, together with such other powers as are reasonably incidental thereto, shall be authorized and binding upon all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53" w:lineRule="auto"/>
        <w:rPr>
          <w:sz w:val="20"/>
          <w:szCs w:val="20"/>
          <w:color w:val="auto"/>
        </w:rPr>
      </w:pPr>
      <w:r>
        <w:rPr>
          <w:rFonts w:ascii="Arial" w:cs="Arial" w:eastAsia="Arial" w:hAnsi="Arial"/>
          <w:sz w:val="18"/>
          <w:szCs w:val="18"/>
          <w:color w:val="auto"/>
        </w:rPr>
        <w:t>(b)            If Collateral Agent shall request instructions from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Required Lenders or all affected Lenders, as applicable.</w:t>
      </w:r>
    </w:p>
    <w:p>
      <w:pPr>
        <w:spacing w:after="0" w:line="19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(c)            Collateral Agent is hereby authorized by Borrower and each Lender to establish procedures (and to amend such procedures from time to time) to facilitate administration and servicing of the Term Loan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E-SYSTEMS AND ELECTRONIC TRANSMISSIONS SHALL BE PROVIDED “AS IS” AND “AS AVAILABLE”. NO REPRESENTATION OR WARRANTY OF ANY KIND IS MADE BY AGENT, ANY LENDER OR ANY OF THEIR RELATED PERSONS IN CONNECTION WITH ANY E-SYSTEMS.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3.            Collateral Agent’s Reliance, Etc. </w:t>
      </w:r>
      <w:r>
        <w:rPr>
          <w:rFonts w:ascii="Arial" w:cs="Arial" w:eastAsia="Arial" w:hAnsi="Arial"/>
          <w:sz w:val="16"/>
          <w:szCs w:val="16"/>
          <w:color w:val="auto"/>
        </w:rPr>
        <w:t>Collateral Agent may, without incurring any liability hereunder, (a) consult with any of its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Persons and, whether or not selected by it, any other advisors, accountants and other experts (including advisors to, and accountants and experts engaged by, Borrower) and (b) rely and act upon any document and information (including those transmitted by electronic transmission) and any telephone message or conversation, in each case believed by it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labeled “notice of default” (in which case Collateral Agent shall promptly give notice of such receipt to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Collateral Agent shall not be liable to any Lender for any failure to do so, except to the extent that such failure is attributable to Collateral Agent’s gross negligence or willful misconduct as determined by a final non-appealable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Collateral Agent based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4.            Collateral Agent Individually. </w:t>
      </w:r>
      <w:r>
        <w:rPr>
          <w:rFonts w:ascii="Arial" w:cs="Arial" w:eastAsia="Arial" w:hAnsi="Arial"/>
          <w:sz w:val="16"/>
          <w:szCs w:val="16"/>
          <w:color w:val="auto"/>
        </w:rPr>
        <w:t>Collateral Agent and its Affiliates may make loans and other extensions of credit to, acquire stock and stock</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of, engage in any kind of business with, Borrower or any Affiliate of Borrower as though it were not acting as Collateral Agent and may receive separate fees and other payments therefor. To the extent Collateral Agent or any of its Affiliates makes the Term Loan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1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5.            Lender Credit Decision; Collateral Agent Report. </w:t>
      </w:r>
      <w:r>
        <w:rPr>
          <w:rFonts w:ascii="Arial" w:cs="Arial" w:eastAsia="Arial" w:hAnsi="Arial"/>
          <w:sz w:val="16"/>
          <w:szCs w:val="16"/>
          <w:color w:val="auto"/>
        </w:rPr>
        <w:t>Each Lender acknowledges that it shall, independently and without reliance upon</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w:t>
      </w:r>
      <w:r>
        <w:rPr>
          <w:rFonts w:ascii="Arial" w:cs="Arial" w:eastAsia="Arial" w:hAnsi="Arial"/>
          <w:sz w:val="16"/>
          <w:szCs w:val="16"/>
          <w:b w:val="1"/>
          <w:bCs w:val="1"/>
          <w:color w:val="auto"/>
        </w:rPr>
        <w:t>Report</w:t>
      </w:r>
      <w:r>
        <w:rPr>
          <w:rFonts w:ascii="Arial" w:cs="Arial" w:eastAsia="Arial" w:hAnsi="Arial"/>
          <w:sz w:val="16"/>
          <w:szCs w:val="16"/>
          <w:color w:val="auto"/>
        </w:rPr>
        <w:t>”). Each Lender further acknowledges that any Collateral Agent Report (a) is provided to the Lenders solely as a courtesy, without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 (iv) any work performed by Collateral Agent or Collateral Agent’s Related Persons in 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6.            Indemnification. </w:t>
      </w:r>
      <w:r>
        <w:rPr>
          <w:rFonts w:ascii="Arial" w:cs="Arial" w:eastAsia="Arial" w:hAnsi="Arial"/>
          <w:sz w:val="17"/>
          <w:szCs w:val="17"/>
          <w:color w:val="auto"/>
        </w:rPr>
        <w:t>Each Lender agrees to reimburse Collateral Agent and each of its Related Persons (to the extent not reimbursed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as required under the Loan Documents)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to Collateral Agent or any of its Related Persons under this Section 6 of this Annex I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Internal Revenue Service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Annex I.</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7.            Successor Collateral Agent. </w:t>
      </w:r>
      <w:r>
        <w:rPr>
          <w:rFonts w:ascii="Arial" w:cs="Arial" w:eastAsia="Arial" w:hAnsi="Arial"/>
          <w:sz w:val="16"/>
          <w:szCs w:val="16"/>
          <w:color w:val="auto"/>
        </w:rPr>
        <w:t>Collateral Agent may resign at any time by delivering notice of such resignation to the Lenders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on the date set forth in such notice or, if no such date is set forth therein, upon the date such notice shall be effective, in accordance with the terms of this Section 7 of this Annex I. If Collateral Agent delivers any such notice, the Required Lenders shall have the right to appoint a successor Collateral Agent. If, after 30 days after the date of the retiring Collateral Agent’s notice of resignation, no successor Collateral Agent has been appointed by the Required Lenders that has accepted such appointment, then the retiring Collateral Agent may, on behalf of the Lenders, appoint a successor Collateral Agent from among the Lenders. Effective immediately upon its resignation, (a) the 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(iv) subject to its rights under Section 2(b) of this Annex I,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5"/>
          <w:szCs w:val="15"/>
          <w:b w:val="1"/>
          <w:bCs w:val="1"/>
          <w:color w:val="auto"/>
        </w:rPr>
        <w:t xml:space="preserve">8.            Release of Collateral. </w:t>
      </w:r>
      <w:r>
        <w:rPr>
          <w:rFonts w:ascii="Arial" w:cs="Arial" w:eastAsia="Arial" w:hAnsi="Arial"/>
          <w:sz w:val="15"/>
          <w:szCs w:val="15"/>
          <w:color w:val="auto"/>
        </w:rPr>
        <w:t>Each Lender hereby consents to the release and hereby directs Collateral Agent to release (or in the case of clause (b)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(ii) below, release or subordinate) the following:</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any Guarantor or Subsidiary “co-Borrower”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8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(b)            any Lien held by Collateral Agent for the benefit of itself and the Lenders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w:t>
      </w:r>
    </w:p>
    <w:p>
      <w:pPr>
        <w:jc w:val="both"/>
        <w:ind w:firstLine="8"/>
        <w:spacing w:after="0" w:line="253"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all of the Commitments, (B) payment in full in cash of all of the Obligations that Collateral Agent has theretofore been notified in writing by the holder of such Obligation are then due and payable, and (C) to the extent requested by Collateral Agent, receipt by Collateral Agent and Lenders of liability releases from Borrower in form and substance acceptable to Collateral Agent (the satisfaction of the conditions in this clause (iii),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9.            Setoff and Sharing of Payments. </w:t>
      </w:r>
      <w:r>
        <w:rPr>
          <w:rFonts w:ascii="Arial" w:cs="Arial" w:eastAsia="Arial" w:hAnsi="Arial"/>
          <w:sz w:val="17"/>
          <w:szCs w:val="17"/>
          <w:color w:val="auto"/>
        </w:rPr>
        <w:t>In addition to any rights now or hereafter granted under any applicable requirement of law and not by way</w:t>
      </w:r>
      <w:r>
        <w:rPr>
          <w:rFonts w:ascii="Arial" w:cs="Arial" w:eastAsia="Arial" w:hAnsi="Arial"/>
          <w:sz w:val="17"/>
          <w:szCs w:val="17"/>
          <w:b w:val="1"/>
          <w:bCs w:val="1"/>
          <w:color w:val="auto"/>
        </w:rPr>
        <w:t xml:space="preserve"> </w:t>
      </w:r>
      <w:r>
        <w:rPr>
          <w:rFonts w:ascii="Arial" w:cs="Arial" w:eastAsia="Arial" w:hAnsi="Arial"/>
          <w:sz w:val="17"/>
          <w:szCs w:val="17"/>
          <w:color w:val="auto"/>
        </w:rPr>
        <w:t>of limitation of any such rights, upon the occurrence and during the continuance of any Event of Default and subject to Section 10(d) of this Annex I,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 made or other Obligations held by other Lenders or holders may exercise all rights of offset, bankers’ lien, counterclaim or similar rights with respect to such participation as fully as if such Lender or holder were a direct holder of the Term Loan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w:t>
      </w:r>
      <w:r>
        <w:rPr>
          <w:rFonts w:ascii="Arial" w:cs="Arial" w:eastAsia="Arial" w:hAnsi="Arial"/>
          <w:sz w:val="18"/>
          <w:szCs w:val="18"/>
          <w:color w:val="auto"/>
        </w:rPr>
        <w:t>; Payments; Non-Funding Lenders; Actions in Concert.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  Advances; Payments</w:t>
      </w:r>
      <w:r>
        <w:rPr>
          <w:rFonts w:ascii="Arial" w:cs="Arial" w:eastAsia="Arial" w:hAnsi="Arial"/>
          <w:sz w:val="18"/>
          <w:szCs w:val="18"/>
          <w:color w:val="auto"/>
        </w:rPr>
        <w:t>. If Collateral Agent receives any payment with respect to the Term Loan for the account of Lenders on or prior to 2:00 p.m. (New York time) on any Business Day, Collateral Agent shall pay to each applicable Lender such Lender’s Pro Rata Share of such payment on such Business Day. If Collateral Agent receives any payment with respect to the Term Loan for the account of Lenders after 2:00 p.m. (New York time) on any Business Day, Collateral Agent shall pay to each applicable Lender such Lender’s Pro Rata Share of such payment on the next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Arial" w:cs="Arial" w:eastAsia="Arial" w:hAnsi="Arial"/>
          <w:sz w:val="18"/>
          <w:szCs w:val="18"/>
          <w:color w:val="auto"/>
        </w:rPr>
        <w:t>(b)            Return of Payments.</w:t>
      </w:r>
    </w:p>
    <w:p>
      <w:pPr>
        <w:spacing w:after="0" w:line="225"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(i)            If Collateral Agent pays an amount to a Lender under this Agreement in the belief or expectation that a related payment has been or will be received by Collateral Agent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187"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(ii)            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Non-Funding Lenders.</w:t>
      </w:r>
    </w:p>
    <w:p>
      <w:pPr>
        <w:spacing w:after="0" w:line="225"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6"/>
          <w:szCs w:val="16"/>
          <w:color w:val="auto"/>
        </w:rPr>
        <w:t>(i)            Unless Collateral Agent shall have received notice from a Lender prior to the date of any Term Loan that such Lender will not make available to Collateral Agent such Lender’s Pro Rata Share of such Term Loan, Collateral Agent may assume that such Lender will make such amount available to it on the date of such Term Loan in accordance with Section 2(b) of this Annex I,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spacing w:after="0" w:line="16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(ii)            To the extent that any Lender has failed to fund any Term Loan or any other payments required to be made by it under the Loan Documents after any such Term Loan is required to be made or such payment is due (a “</w:t>
      </w:r>
      <w:r>
        <w:rPr>
          <w:rFonts w:ascii="Arial" w:cs="Arial" w:eastAsia="Arial" w:hAnsi="Arial"/>
          <w:sz w:val="16"/>
          <w:szCs w:val="16"/>
          <w:b w:val="1"/>
          <w:bCs w:val="1"/>
          <w:color w:val="auto"/>
        </w:rPr>
        <w:t>Non-Funding Lender</w:t>
      </w:r>
      <w:r>
        <w:rPr>
          <w:rFonts w:ascii="Arial" w:cs="Arial" w:eastAsia="Arial" w:hAnsi="Arial"/>
          <w:sz w:val="16"/>
          <w:szCs w:val="16"/>
          <w:color w:val="auto"/>
        </w:rPr>
        <w:t>”), Collateral Agent shall be entitled to set off the funding short-fall against that Non-Funding Lender’s Pro Rata Share of all payments received from Borrower. The failure of any Non-Funding Lender to make any Term Loan or any payment required by it hereunder shall not relieve any other Lender (each such other Lender, an “</w:t>
      </w:r>
      <w:r>
        <w:rPr>
          <w:rFonts w:ascii="Arial" w:cs="Arial" w:eastAsia="Arial" w:hAnsi="Arial"/>
          <w:sz w:val="16"/>
          <w:szCs w:val="16"/>
          <w:b w:val="1"/>
          <w:bCs w:val="1"/>
          <w:color w:val="auto"/>
        </w:rPr>
        <w:t>Other Lender</w:t>
      </w:r>
      <w:r>
        <w:rPr>
          <w:rFonts w:ascii="Arial" w:cs="Arial" w:eastAsia="Arial" w:hAnsi="Arial"/>
          <w:sz w:val="16"/>
          <w:szCs w:val="16"/>
          <w:color w:val="auto"/>
        </w:rPr>
        <w:t>”)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(d)          </w:t>
      </w:r>
      <w:r>
        <w:rPr>
          <w:rFonts w:ascii="Arial" w:cs="Arial" w:eastAsia="Arial" w:hAnsi="Arial"/>
          <w:sz w:val="17"/>
          <w:szCs w:val="17"/>
          <w:u w:val="single" w:color="auto"/>
          <w:color w:val="auto"/>
        </w:rPr>
        <w:t>  Actions in Concert</w:t>
      </w:r>
      <w:r>
        <w:rPr>
          <w:rFonts w:ascii="Arial" w:cs="Arial" w:eastAsia="Arial" w:hAnsi="Arial"/>
          <w:sz w:val="17"/>
          <w:szCs w:val="17"/>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ANNEX 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INTEREST RATE AND PAYMENT OF PRINCIPAL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Reports Third Quarter 2022 Financial and Operating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quarter 2022 revenue of $6.2 million, an 82% increase over prior year</w:t>
      </w:r>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MINNEAPOLIS, November 1, 2022 (GLOBE NEWSWIRE) -- CVRx, Inc. (“CVRx”), a commercial-stage medical device company focused on developing, manufacturing and commercializing innovative neuromodulation solutions for patients with cardiovascular diseases, today announced its financial and operating results for the third quarter of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Total revenue for the third quarter of 2022 was $6.2 million, an increase of 82% over the prior year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U.S. Heart Failure (HF) revenue for the third quarter of 2022 was $4.9 million, nearly doubling over the prior year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Active implanting centers in the U.S. grew to 91, an increase of 28% over the second quarter of 2022</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36"/>
          <w:szCs w:val="36"/>
          <w:color w:val="auto"/>
          <w:vertAlign w:val="superscript"/>
        </w:rPr>
      </w:pPr>
      <w:r>
        <w:rPr>
          <w:rFonts w:ascii="Arial" w:cs="Arial" w:eastAsia="Arial" w:hAnsi="Arial"/>
          <w:sz w:val="18"/>
          <w:szCs w:val="18"/>
          <w:i w:val="1"/>
          <w:iCs w:val="1"/>
          <w:color w:val="auto"/>
        </w:rPr>
        <w:t>Reached the required 320</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event of the BeAT-HF clinical trial; expect full unblinding of data in the first half of 2023</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delighted with our performance during the third quarter as the adoption and utilization of Barostim continues to accelerate. The growth in our commercial organization as well as the early success of our marketing initiatives resulted in our U.S. Heart Failure revenue nearly doubling over the prior year quarter,” said Nadim Yared, President and Chief Executive Officer of CVRx. “Looking ahead, we will continue to build on our strategy to further drive the proliferation of Barostim to bring this novel treatment to more patients who are suffering from cardiovascular disease.”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and Operating Results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Revenue was $6.2 million for the three months ended September 30, 2022, an increase of $2.8 million, or 82%, over the three months ended September 30, 2021.</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Revenue generated in the U.S. was $5.0 million for the three months ended September 30, 2022, an increase of $2.5 million, or 96%, over the three months ended September 30, 2021. Total HF revenue units in the U.S. totaled 167 and 84 for the three months ended September 30, 2022 and 2021, respectively.</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HF revenue in the U.S. totaled $4.9 million for the three months ended September 30, 2022, an increase of $2.4 million, or 99%, over the three months ended September 30, 2021. The increase was primarily driven by continued growth as a result of the expansion into new sales territories and new accounts, as well as increased physician and patient awareness of Barostim.</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September 30, 2022, we had a total of 91 active implanting centers as compared to 38 as of September 30, 2021. Active implanting centers are customers that have completed at least one commercial HF implant in the last 12 months. As of September 30, 2022, the Company had a total of 23 sales territories as compared to 11 as of September 30, 2021.</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 generated in Europe was $1.1 million for the three months ended September 30, 2022, an increase of $0.3 million, or 39%, over the three months ended September 30, 2021. Total revenue units in Europe were 61 for the three months ended September 30, 2022 as compared to 38 in the prior year period. The revenue increase was primarily due to the lessening impact of the COVID-19 pandemic in Germany, partially offset by an unfavorable currency impact on net sales. As of September 30, 2022, we had a total of six sales territories in Europe.</w:t>
      </w:r>
    </w:p>
    <w:p>
      <w:pPr>
        <w:spacing w:after="0" w:line="1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Gross profit was $4.8 million for the three months ended September 30, 2022, an increase of $2.3 million, or 92%, over the three months ended September 30, 2021. Gross margin increased to 78% for the three months ended September 30, 2022, compared to 74% for the three months ended September 30, 2021. Gross margin for the three months ended September 30, 2022 was higher due to a decrease in the cost per unit. This was partially offset by a decrease in the average selling price and a larger percentage of our revenue units coming from full systems versus battery replacements. New patients receive a full system that includes an IPG and a stimulation lead, which has a lower gross margin than a stand-alone IPG used for a battery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right="40"/>
        <w:spacing w:after="0" w:line="311" w:lineRule="auto"/>
        <w:rPr>
          <w:sz w:val="20"/>
          <w:szCs w:val="20"/>
          <w:color w:val="auto"/>
        </w:rPr>
      </w:pPr>
      <w:r>
        <w:rPr>
          <w:rFonts w:ascii="Arial" w:cs="Arial" w:eastAsia="Arial" w:hAnsi="Arial"/>
          <w:sz w:val="16"/>
          <w:szCs w:val="16"/>
          <w:color w:val="auto"/>
        </w:rPr>
        <w:t>R&amp;D expenses increased $0.6 million, or 35%, to $2.3 million for the three months ended September 30, 2022, compared to the three months ended September 30, 2021. This change was primarily driven by a $0.5 million increase in compensation expenses, mainly as a result of increased headcount, and a $0.1 million increase in non-cash stock-based compensation expense, partially offset by a $0.1 million decrease in clinical study expenses.</w:t>
      </w:r>
    </w:p>
    <w:p>
      <w:pPr>
        <w:spacing w:after="0" w:line="149"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SG&amp;A expenses increased $4.6 million, or 56%, to $12.7 million for the three months ended September 30, 2022, compared to the three months ended September 30, 2021. This was primarily driven by a $3.2 million increase in compensation expenses, mainly as a result of increased headcount, a $0.5 million increase in travel expenses, a $0.4 million increase in non-cash stock-based compensation expense, a $0.3 million increase in marketing and advertising expenses associated with the commercialization of Barostim in the U.S., and a $0.2 million increase in professional fees.</w:t>
      </w:r>
    </w:p>
    <w:p>
      <w:pPr>
        <w:spacing w:after="0" w:line="15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Other income, net was $0.3 million for the three months ended September 30, 2022, compared to $1.8 million for the three months ended September 30, 2021. The income in the third quarter of 2021 reflects $1.5 million of income related to the change in the fair value of our convertible preferred stock warrants from June 30, 2021 to July 2, 2021, which is the date the warrants converted to common stock warrants. As these preferred stock warrants converted to common stock warrants upon the IPO, there is no longer a change in fair value recorded in other income, net.</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loss was $9.8 million, or $0.48 per share, for the three months ended September 30, 2022, compared to a net loss of $6.1 million, or $0.30 per share, for the three months ended September 30, 2021. Net loss per share was based on 20.6 million and 20.1 million weighted average shares outstanding for the third quarter of 2022 and 2021, respectively.</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end of the current quarter, cash and cash equivalents were $110.0 million. Net cash used in operating and investing activities was $11.4 million for the current quarter, compared to $9.4 million for the same period last year. We continue to prudently monitor our cash usage in support of our growth initiatives as we progress towards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BeAT-HF Clinical Trial Update</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recently reached the required 320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event of the BeAT-HF clinical trial, which is designed to demonstrate the mortality and morbidity benefit of Barostim in the heart failure patient population with reduced ejection fraction. The Company is still blinded to the results, and is working to ensure all event data is collected and analyzed. The Company expects to be able to share data during the first half of 2023.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2022, the Company now expects: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revenue between $21.8 million and $22.3 million as compared to prior guidance of $20.5 million and $23.0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Gross margin between 76% and 77% as compared to prior guidance of 75% and 76%;</w:t>
      </w:r>
    </w:p>
    <w:p>
      <w:pPr>
        <w:spacing w:after="0" w:line="225" w:lineRule="exact"/>
        <w:rPr>
          <w:rFonts w:ascii="Arial" w:cs="Arial" w:eastAsia="Arial" w:hAnsi="Arial"/>
          <w:sz w:val="18"/>
          <w:szCs w:val="18"/>
          <w:color w:val="auto"/>
        </w:rPr>
      </w:pPr>
    </w:p>
    <w:p>
      <w:pPr>
        <w:ind w:right="1920" w:firstLine="332"/>
        <w:spacing w:after="0" w:line="527"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Operating expenses between $58 million and $60 million as compared to prior guidance of $58 million and $61 million; For the fourth quarter of 2022, the Company expects to report total revenue between $6.5 million and $7.0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31, 2022, the Company entered into a term loan agreement with Innovatus Capital Partners. The new term loan provides up to $50 million of non-dilutive capital with an interest rate equal to the greater of 8.15% or prime plus 2.65% and a final payment fee of 4.5% of the funded loan amount. The interest only period is 5 years followed by a 3-month repayment period. The facility is set up in three tranches. On October 31, the Company borrowed the minimum amount of $7.5 million. The Company has the option to draw down the remaining $7.5 million of Tranche A from the filing date of the 2022 10-K until September 30, 2023. Tranche B allows the Company to draw up to $30.0 million less the Tranche A funded amount between September 1, 2023 and December 15, 2023 if the Company achieves trailing three months revenue of $5.75 million prior to June 30, 2023. Tranche C allows the Company to draw up to $20.0 million between September 1, 2024 and December 15, 2024 if the Company achieves trailing three months revenue of $9.0 million prior to June 30, 2024. There is a performance covenant that will take effect at the earlier of September 30, 2025 or the Tranche C funding date. The covenant requires the Company to achieve 50% of the trailing 12-month revenue target set in the most recent Board approved plan. The term loans are secured by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will host a conference call at 5:30 pm Eastern Time on Tuesday, November 1st, 2022 to discuss results of the quarter as well as a question and answer session. The conference call will be broadcast live in listen-only mode via webcast at https://edge.media-server.com/mmc/p/8kfcmjvb. To listen to the conference call on your telephone, participants may register for the call </w:t>
      </w:r>
      <w:r>
        <w:rPr>
          <w:rFonts w:ascii="Arial" w:cs="Arial" w:eastAsia="Arial" w:hAnsi="Arial"/>
          <w:sz w:val="18"/>
          <w:szCs w:val="18"/>
          <w:b w:val="1"/>
          <w:bCs w:val="1"/>
          <w:color w:val="auto"/>
        </w:rPr>
        <w:t>here</w:t>
      </w:r>
      <w:r>
        <w:rPr>
          <w:rFonts w:ascii="Arial" w:cs="Arial" w:eastAsia="Arial" w:hAnsi="Arial"/>
          <w:sz w:val="18"/>
          <w:szCs w:val="18"/>
          <w:color w:val="auto"/>
        </w:rPr>
        <w:t>. While it is not required, it is recommended you join 10 minutes prior to the event start.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CVRx, Inc.</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CVRx is focused on the development and commercialization of Barostim™, the first medical technology approved by FDA that uses neuromodulation to improve the symptoms of patients with heart failure. Barostim is an implantable device that delivers electrical pulses to baroreceptors located in the wall of the carotid artery. Baroreceptors activate the body’s baroreflex, which in turn triggers an autonomic response to the heart. The therapy is designed to restore balance to the autonomic nervous system and thereby reduce the symptoms of heart failure. Barostim received the FDA Breakthrough Device designation and is FDA-approved for use in heart failure patients in the U.S. It has also received the CE Mark for heart failure and resistant hypertension in the European Economic Area. To learn more about Barostim, visit www.cvrx.com.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other than statements of historical facts are forward-looking statements, including statements regarding our financial guidance regarding full year and fourth quarter 2022 results and expectations about regulatory approvals, liquidity and cash resources and adoption of our Barostim therapy. In some cases, you can identify forward-looking statements by terms such as “may,” “will,” “should,” “expect,” “plan,” “anticipate,” “could,” “outlook,” “guidance,” “intend,” “target,” “project,” “contemplate,” “believe,” “estimate,” “predict,” “potential” or “continue” or the negative of these terms or other similar expressions, although not all forward-looking statements contain these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color w:val="auto"/>
        </w:rPr>
        <w:t>The forward-looking statements in this press release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known and unknown risks, uncertainties and assumptions, including, but not limited to, our history of significant losses, which we expect to continue; our limited history operating as a commercial company and our dependence on a single product, Barostim; our ability to establish and maintain sales and marketing capabilities; our ability to demonstrate to physicians and patients the merits of our Barostim; any failure by third-party payors to provide adequate coverage and reimbursement for the use of Barostim; our competitors’ success in developing and marketing products that are safer, more effective, less costly, easier to use or otherwise more attractive than Barostim; any failure to receive access to hospitals; our dependence upon third-party manufacturers and suppliers, and in some cases a limited number of suppliers; a pandemic, epidemic or outbreak of an infectious disease in the U.S. or worldwide, including the outbreak of the novel strain of coronavirus, COVID-19; any failure of clinical studies for future indications to produce results necessary to support regulatory clearance or approval in the U.S. or elsewhere; product liability claims; future lawsuits to protect or enforce our intellectual property, which could be expensive, time consuming and ultimately unsuccessful; any failure to retain our key executives or recruit and hire new employees; and other important factors that could cause actual results, performance or achievements to differ materially from those that are found in “Part I, Item 1A. Risk Factors” in our Annual Report on Form 10-K for the year ended December 31, 2021, as such factors may be updated from time to time in our other filings with the Securities and Exchange Commission. Except as required by applicable law, we do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Klausner or Mike Vallie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ir@cvrx.com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Erich Sandoval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212-867-1762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erich.sandoval@finnpartners.com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CVRx, INC.</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109,985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142,072</w:t>
            </w:r>
          </w:p>
        </w:tc>
        <w:tc>
          <w:tcPr>
            <w:tcW w:w="0" w:type="dxa"/>
            <w:vAlign w:val="bottom"/>
          </w:tcPr>
          <w:p>
            <w:pPr>
              <w:spacing w:after="0"/>
              <w:rPr>
                <w:sz w:val="1"/>
                <w:szCs w:val="1"/>
                <w:color w:val="auto"/>
              </w:rPr>
            </w:pPr>
          </w:p>
        </w:tc>
      </w:tr>
      <w:tr>
        <w:trPr>
          <w:trHeight w:val="216"/>
        </w:trPr>
        <w:tc>
          <w:tcPr>
            <w:tcW w:w="810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09"/>
        </w:trPr>
        <w:tc>
          <w:tcPr>
            <w:tcW w:w="8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09"/>
        </w:trPr>
        <w:tc>
          <w:tcPr>
            <w:tcW w:w="81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non-current portion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 200,000,000 authorized as of September 30, 2022 and December 31, 2021;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w w:val="91"/>
              </w:rPr>
              <w:t>20,578,963 and 20,399,337 shares issued and outstanding as of September 30, 2022 and December 31, 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540,707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(425,646)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(394,754)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118,244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and Comprehensive Loss (In thousands, except share and per share data)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88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64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00" w:type="dxa"/>
            <w:vAlign w:val="bottom"/>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876</w:t>
            </w:r>
          </w:p>
        </w:tc>
        <w:tc>
          <w:tcPr>
            <w:tcW w:w="2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2,656</w:t>
            </w:r>
          </w:p>
        </w:tc>
      </w:tr>
      <w:tr>
        <w:trPr>
          <w:trHeight w:val="210"/>
        </w:trPr>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1,699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5,704</w:t>
            </w:r>
          </w:p>
        </w:tc>
      </w:tr>
      <w:tr>
        <w:trPr>
          <w:trHeight w:val="230"/>
        </w:trPr>
        <w:tc>
          <w:tcPr>
            <w:tcW w:w="52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12,679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8,111</w:t>
            </w:r>
          </w:p>
        </w:tc>
        <w:tc>
          <w:tcPr>
            <w:tcW w:w="2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35,945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18,198</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0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(7,291)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8"/>
                <w:szCs w:val="18"/>
                <w:color w:val="auto"/>
              </w:rPr>
              <w:t>1,795</w:t>
            </w:r>
          </w:p>
        </w:tc>
        <w:tc>
          <w:tcPr>
            <w:tcW w:w="2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(13,439)</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(4.66)</w:t>
            </w: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 compute net loss per</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 basic and diluted</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20,576,838</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0"/>
              </w:rPr>
              <w:t>20,126,672</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20,512,254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6,975,386</w:t>
            </w:r>
          </w:p>
        </w:tc>
      </w:tr>
      <w:tr>
        <w:trPr>
          <w:trHeight w:val="432"/>
        </w:trPr>
        <w:tc>
          <w:tcPr>
            <w:tcW w:w="5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Roman"/>
      <w:start w:val="2"/>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lowerRoman"/>
      <w:start w:val="3"/>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lowerRoman"/>
      <w:start w:val="2"/>
    </w:lvl>
  </w:abstractNum>
  <w:abstractNum w:abstractNumId="9">
    <w:nsid w:val="75A2A8D4"/>
    <w:multiLevelType w:val="hybridMultilevel"/>
    <w:lvl w:ilvl="0">
      <w:lvlJc w:val="left"/>
      <w:lvlText w:val="(%1)"/>
      <w:numFmt w:val="lowerLetter"/>
      <w:start w:val="24"/>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4"/>
    </w:lvl>
  </w:abstractNum>
  <w:abstractNum w:abstractNumId="14">
    <w:nsid w:val="189A769B"/>
    <w:multiLevelType w:val="hybridMultilevel"/>
    <w:lvl w:ilvl="0">
      <w:lvlJc w:val="left"/>
      <w:lvlText w:val="(%1)"/>
      <w:numFmt w:val="lowerLetter"/>
      <w:start w:val="2"/>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1."/>
      <w:numFmt w:val="decimal"/>
      <w:start w:val="8"/>
    </w:lvl>
  </w:abstractNum>
  <w:abstractNum w:abstractNumId="17">
    <w:nsid w:val="2CA88611"/>
    <w:multiLevelType w:val="hybridMultilevel"/>
    <w:lvl w:ilvl="0">
      <w:lvlJc w:val="left"/>
      <w:lvlText w:val="%1."/>
      <w:numFmt w:val="decimal"/>
      <w:start w:val="9"/>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lowerRoman"/>
      <w:start w:val="3"/>
    </w:lvl>
  </w:abstractNum>
  <w:abstractNum w:abstractNumId="20">
    <w:nsid w:val="3A95F874"/>
    <w:multiLevelType w:val="hybridMultilevel"/>
    <w:lvl w:ilvl="0">
      <w:lvlJc w:val="left"/>
      <w:lvlText w:val="(%1)"/>
      <w:numFmt w:val="lowerLetter"/>
      <w:start w:val="4"/>
    </w:lvl>
  </w:abstractNum>
  <w:abstractNum w:abstractNumId="21">
    <w:nsid w:val="8138641"/>
    <w:multiLevelType w:val="hybridMultilevel"/>
    <w:lvl w:ilvl="0">
      <w:lvlJc w:val="left"/>
      <w:lvlText w:val="(%1)"/>
      <w:numFmt w:val="lowerRoman"/>
      <w:start w:val="10"/>
    </w:lvl>
  </w:abstractNum>
  <w:abstractNum w:abstractNumId="22">
    <w:nsid w:val="1E7FF521"/>
    <w:multiLevelType w:val="hybridMultilevel"/>
    <w:lvl w:ilvl="0">
      <w:lvlJc w:val="left"/>
      <w:lvlText w:val="%1."/>
      <w:numFmt w:val="decimal"/>
      <w:start w:val="10"/>
    </w:lvl>
  </w:abstractNum>
  <w:abstractNum w:abstractNumId="23">
    <w:nsid w:val="7C3DBD3D"/>
    <w:multiLevelType w:val="hybridMultilevel"/>
    <w:lvl w:ilvl="0">
      <w:lvlJc w:val="left"/>
      <w:lvlText w:val="(%1)"/>
      <w:numFmt w:val="decimal"/>
      <w:start w:val="3"/>
    </w:lvl>
  </w:abstractNum>
  <w:abstractNum w:abstractNumId="24">
    <w:nsid w:val="737B8DDC"/>
    <w:multiLevelType w:val="hybridMultilevel"/>
    <w:lvl w:ilvl="0">
      <w:lvlJc w:val="left"/>
      <w:lvlText w:val="%1."/>
      <w:numFmt w:val="decimal"/>
      <w:start w:val="11"/>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upperLetter"/>
      <w:start w:val="1"/>
    </w:lvl>
  </w:abstractNum>
  <w:abstractNum w:abstractNumId="27">
    <w:nsid w:val="4516DDE9"/>
    <w:multiLevelType w:val="hybridMultilevel"/>
    <w:lvl w:ilvl="0">
      <w:lvlJc w:val="left"/>
      <w:lvlText w:val="%1."/>
      <w:numFmt w:val="decimal"/>
      <w:start w:val="13"/>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lowerLetter"/>
      <w:start w:val="3"/>
    </w:lvl>
  </w:abstractNum>
  <w:abstractNum w:abstractNumId="30">
    <w:nsid w:val="419AC241"/>
    <w:multiLevelType w:val="hybridMultilevel"/>
    <w:lvl w:ilvl="0">
      <w:lvlJc w:val="left"/>
      <w:lvlText w:val="(%1)"/>
      <w:numFmt w:val="lowerLetter"/>
      <w:start w:val="10"/>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1)"/>
      <w:numFmt w:val="lowerRoman"/>
      <w:start w:val="2"/>
    </w:lvl>
  </w:abstractNum>
  <w:abstractNum w:abstractNumId="35">
    <w:nsid w:val="77465F01"/>
    <w:multiLevelType w:val="hybridMultilevel"/>
    <w:lvl w:ilvl="0">
      <w:lvlJc w:val="left"/>
      <w:lvlText w:val="(%1)"/>
      <w:numFmt w:val="upp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2022-11-01T15:55:08Z</dcterms:created>
  <dcterms:modified xsi:type="dcterms:W3CDTF">2022-11-01T15:55:08Z</dcterms:modified>
</cp:coreProperties>
</file>