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30302d1_8k.htm"/>
      <w:bookmarkStart w:id="1" w:name="kstm2530302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511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November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0_edei--EntityRegistrantName_c2025"/>
      <w:bookmarkEnd w:id="4"/>
      <w:r>
        <w:rPr>
          <w:rFonts w:ascii="Times New Roman;Times;Serif" w:hAnsi="Times New Roman;Times;Serif"/>
          <w:b/>
          <w:i w:val="false"/>
          <w:caps w:val="false"/>
          <w:smallCaps w:val="false"/>
          <w:sz w:val="36"/>
        </w:rPr>
        <w:t>CVRx,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1A1A1A"/>
                <w:sz w:val="20"/>
              </w:rPr>
            </w:pPr>
            <w:bookmarkStart w:id="6" w:name="xdx_902_edei--EntityFileNumber_c20251105"/>
            <w:bookmarkEnd w:id="6"/>
            <w:r>
              <w:rPr>
                <w:rFonts w:ascii="Times New Roman;Times;Serif" w:hAnsi="Times New Roman;Times;Serif"/>
                <w:b/>
                <w:color w:val="1A1A1A"/>
                <w:sz w:val="20"/>
              </w:rPr>
              <w:t>001-40545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41-1983744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9201 West Broadway Avenue, </w:t>
      </w:r>
      <w:bookmarkStart w:id="9" w:name="xdx_90F_edei--EntityAddressAddressLine2_"/>
      <w:bookmarkEnd w:id="9"/>
      <w:r>
        <w:rPr>
          <w:rFonts w:ascii="Times New Roman;Times;Serif" w:hAnsi="Times New Roman;Times;Serif"/>
          <w:b/>
          <w:i w:val="false"/>
          <w:caps w:val="false"/>
          <w:smallCaps w:val="false"/>
          <w:sz w:val="20"/>
        </w:rPr>
        <w:t>Suite 650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Minneapolis, </w:t>
      </w:r>
      <w:bookmarkStart w:id="11" w:name="xdx_906_edei--EntityAddressStateOrProvin"/>
      <w:bookmarkEnd w:id="11"/>
      <w:r>
        <w:rPr>
          <w:rFonts w:ascii="Times New Roman;Times;Serif" w:hAnsi="Times New Roman;Times;Serif"/>
          <w:b/>
          <w:i w:val="false"/>
          <w:caps w:val="false"/>
          <w:smallCaps w:val="false"/>
          <w:sz w:val="20"/>
        </w:rPr>
        <w:t>MN</w:t>
      </w:r>
      <w:r>
        <w:rPr>
          <w:rFonts w:ascii="Times New Roman;Times;Serif" w:hAnsi="Times New Roman;Times;Serif"/>
          <w:b w:val="false"/>
          <w:i w:val="false"/>
          <w:caps w:val="false"/>
          <w:smallCaps w:val="false"/>
          <w:sz w:val="20"/>
        </w:rPr>
        <w:t xml:space="preserve"> </w:t>
      </w:r>
      <w:bookmarkStart w:id="12" w:name="xdx_90E_edei--EntityAddressPostalZipCode"/>
      <w:bookmarkEnd w:id="12"/>
      <w:r>
        <w:rPr>
          <w:rFonts w:ascii="Times New Roman;Times;Serif" w:hAnsi="Times New Roman;Times;Serif"/>
          <w:b/>
          <w:i w:val="false"/>
          <w:caps w:val="false"/>
          <w:smallCaps w:val="false"/>
          <w:sz w:val="20"/>
        </w:rPr>
        <w:t>55445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51105__20"/>
      <w:bookmarkEnd w:id="13"/>
      <w:r>
        <w:rPr>
          <w:rFonts w:ascii="Times New Roman;Times;Serif" w:hAnsi="Times New Roman;Times;Serif"/>
          <w:b/>
          <w:i w:val="false"/>
          <w:caps w:val="false"/>
          <w:smallCaps w:val="false"/>
          <w:sz w:val="20"/>
        </w:rPr>
        <w:t xml:space="preserve">763) </w:t>
      </w:r>
      <w:bookmarkStart w:id="14" w:name="xdx_90F_edei--LocalPhoneNumber_c20251105"/>
      <w:bookmarkEnd w:id="14"/>
      <w:r>
        <w:rPr>
          <w:rFonts w:ascii="Times New Roman;Times;Serif" w:hAnsi="Times New Roman;Times;Serif"/>
          <w:b/>
          <w:i w:val="false"/>
          <w:caps w:val="false"/>
          <w:smallCaps w:val="false"/>
          <w:sz w:val="20"/>
        </w:rPr>
        <w:t>416-2840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B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left"/>
        <w:rPr>
          <w:caps w:val="false"/>
          <w:smallCaps w:val="false"/>
        </w:rPr>
      </w:pPr>
      <w:bookmarkStart w:id="16" w:name="xdx_904_edei--SolicitingMaterial_c202511"/>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bookmarkStart w:id="17" w:name="xdx_909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bookmarkStart w:id="18" w:name="xdx_909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3575"/>
        <w:gridCol w:w="90"/>
        <w:gridCol w:w="1565"/>
        <w:gridCol w:w="90"/>
        <w:gridCol w:w="2945"/>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which registered</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9" w:name="xdx_900_edei--Security12bTitle_c20251105"/>
            <w:bookmarkEnd w:id="19"/>
            <w:r>
              <w:rPr>
                <w:rFonts w:ascii="Times New Roman;Times;Serif" w:hAnsi="Times New Roman;Times;Serif"/>
                <w:b/>
                <w:i w:val="false"/>
                <w:caps w:val="false"/>
                <w:smallCaps w:val="false"/>
                <w:sz w:val="20"/>
              </w:rPr>
              <w:t>Common stock, par value $0.01 per share</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E_edei--TradingSymbol_c20251105__2"/>
            <w:bookmarkEnd w:id="20"/>
            <w:r>
              <w:rPr>
                <w:rFonts w:ascii="Times New Roman;Times;Serif" w:hAnsi="Times New Roman;Times;Serif"/>
                <w:b/>
                <w:sz w:val="20"/>
              </w:rPr>
              <w:t>CVRX</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sz w:val="20"/>
              </w:rPr>
            </w:pPr>
            <w:r>
              <w:rPr>
                <w:b/>
                <w:sz w:val="20"/>
              </w:rPr>
              <w:t xml:space="preserve">The </w:t>
            </w:r>
            <w:bookmarkStart w:id="21" w:name="xdx_90E_edei--SecurityExchangeName_c2025"/>
            <w:bookmarkEnd w:id="21"/>
            <w:r>
              <w:rPr>
                <w:rFonts w:ascii="Times New Roman;Times;Serif" w:hAnsi="Times New Roman;Times;Serif"/>
                <w:b/>
                <w:sz w:val="20"/>
              </w:rPr>
              <w:t xml:space="preserve">Nasdaq </w:t>
            </w:r>
            <w:r>
              <w:rPr>
                <w:b/>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CVRx, Inc. issued a press release announcing its financial results for the quarter ended September 30, 2025. A copy of the press release is attached as Exhibit 99.1 and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 99.1, is being furnished and shall not be deemed to be “filed” with the Securities and Exchange Commission for purposes of Section 18 of the Securities Exchange Act of 1934, as amended (the “Exchange Act”), or otherwise subject to the liabilities of that section and is not incorporated by reference into any filing under the Securities Act of 1933, as amended, or the Exchange Act, whether made before or after the date hereof, except as expressly set forth by specific reference in such a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7210" w:type="dxa"/>
        <w:jc w:val="left"/>
        <w:tblInd w:w="0" w:type="dxa"/>
        <w:shd w:fill="FFFFFF" w:val="clear"/>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color w:val="212529"/>
                <w:sz w:val="20"/>
              </w:rPr>
            </w:pPr>
            <w:r>
              <w:rPr>
                <w:rFonts w:ascii="Times New Roman;Times;Serif" w:hAnsi="Times New Roman;Times;Serif"/>
                <w:b/>
                <w:color w:val="212529"/>
                <w:sz w:val="20"/>
              </w:rPr>
              <w:t>Exhibit</w:t>
              <w:br/>
              <w:t>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color w:val="212529"/>
                <w:sz w:val="20"/>
              </w:rPr>
            </w:pPr>
            <w:r>
              <w:rPr>
                <w:rFonts w:ascii="Times New Roman;Times;Serif" w:hAnsi="Times New Roman;Times;Serif"/>
                <w:b/>
                <w:color w:val="212529"/>
                <w:sz w:val="20"/>
              </w:rPr>
              <w:t>Description</w:t>
            </w:r>
          </w:p>
        </w:tc>
      </w:tr>
      <w:tr>
        <w:trPr/>
        <w:tc>
          <w:tcPr>
            <w:tcW w:w="665" w:type="dxa"/>
            <w:tcBorders/>
            <w:shd w:fill="FFFFFF" w:val="clear"/>
            <w:tcMar>
              <w:bottom w:w="0" w:type="dxa"/>
            </w:tcMar>
            <w:vAlign w:val="center"/>
          </w:tcPr>
          <w:p>
            <w:pPr>
              <w:pStyle w:val="TableContents"/>
              <w:bidi w:val="0"/>
              <w:spacing w:before="0" w:after="283"/>
              <w:jc w:val="left"/>
              <w:rPr/>
            </w:pPr>
            <w:hyperlink w:anchor="tm2530302d1_ex99-1.htm">
              <w:r>
                <w:rPr>
                  <w:rStyle w:val="InternetLink"/>
                  <w:rFonts w:ascii="Times New Roman;Times;Serif" w:hAnsi="Times New Roman;Times;Serif"/>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530302d1_ex99-1.htm">
              <w:r>
                <w:rPr>
                  <w:rStyle w:val="InternetLink"/>
                  <w:rFonts w:ascii="Times New Roman;Times;Serif" w:hAnsi="Times New Roman;Times;Serif"/>
                  <w:sz w:val="20"/>
                </w:rPr>
                <w:t>Press release of CVRx, Inc., dated November 5, 2025</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2390"/>
        <w:gridCol w:w="320"/>
        <w:gridCol w:w="2195"/>
      </w:tblGrid>
      <w:tr>
        <w:trPr/>
        <w:tc>
          <w:tcPr>
            <w:tcW w:w="239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CVRx, Inc.</w:t>
            </w:r>
          </w:p>
        </w:tc>
      </w:tr>
      <w:tr>
        <w:trPr/>
        <w:tc>
          <w:tcPr>
            <w:tcW w:w="239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November 5,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Oasheim</w:t>
            </w:r>
          </w:p>
        </w:tc>
      </w:tr>
      <w:tr>
        <w:trPr/>
        <w:tc>
          <w:tcPr>
            <w:tcW w:w="23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Jared Oasheim</w:t>
            </w:r>
          </w:p>
        </w:tc>
      </w:tr>
      <w:tr>
        <w:trPr/>
        <w:tc>
          <w:tcPr>
            <w:tcW w:w="23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4" w:name="tm2530302d1_ex99-1.htm"/>
      <w:bookmarkStart w:id="25" w:name="kstm2530302d1_ex991"/>
      <w:bookmarkEnd w:id="24"/>
      <w:bookmarkEnd w:id="25"/>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Reports Third Quarter 2025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November 5, 2025 (GLOBE NEWSWIRE) -- CVRx, Inc. (NASDAQ: CVRX) ("CVRx"), a commercial-stage medical device company focused on developing, manufacturing and commercializing innovative neuromodulation solutions for patients with cardiovascular diseases, today announced its financial and operating results for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shd w:fill="FFFFFF" w:val="clear"/>
        <w:tblLayout w:type="fixed"/>
        <w:tblCellMar>
          <w:top w:w="0" w:type="dxa"/>
          <w:left w:w="0" w:type="dxa"/>
          <w:bottom w:w="0" w:type="dxa"/>
          <w:right w:w="0" w:type="dxa"/>
        </w:tblCellMar>
      </w:tblPr>
      <w:tblGrid>
        <w:gridCol w:w="38"/>
        <w:gridCol w:w="95"/>
        <w:gridCol w:w="85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 for the third quarter 2025 was $14.7 million, an increase of 10% over the prior year quarter</w:t>
            </w:r>
          </w:p>
        </w:tc>
      </w:tr>
    </w:tbl>
    <w:p>
      <w:pPr>
        <w:pStyle w:val="TextBody"/>
        <w:bidi w:val="0"/>
        <w:spacing w:before="0" w:after="0"/>
        <w:ind w:left="0" w:right="0" w:hanging="0"/>
        <w:jc w:val="left"/>
        <w:rPr>
          <w:caps w:val="false"/>
          <w:smallCaps w:val="false"/>
        </w:rPr>
      </w:pPr>
      <w:r>
        <w:rPr>
          <w:caps w:val="false"/>
          <w:smallCaps w:val="false"/>
        </w:rPr>
        <w:t> </w:t>
      </w:r>
    </w:p>
    <w:tbl>
      <w:tblPr>
        <w:tblW w:w="8748" w:type="dxa"/>
        <w:jc w:val="left"/>
        <w:tblInd w:w="0" w:type="dxa"/>
        <w:shd w:fill="FFFFFF" w:val="clear"/>
        <w:tblLayout w:type="fixed"/>
        <w:tblCellMar>
          <w:top w:w="0" w:type="dxa"/>
          <w:left w:w="0" w:type="dxa"/>
          <w:bottom w:w="0" w:type="dxa"/>
          <w:right w:w="0" w:type="dxa"/>
        </w:tblCellMar>
      </w:tblPr>
      <w:tblGrid>
        <w:gridCol w:w="38"/>
        <w:gridCol w:w="95"/>
        <w:gridCol w:w="861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8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revenue for the third quarter of 2025 was $13.5 million, an increase of 10% over the prior year quarter</w:t>
            </w:r>
          </w:p>
        </w:tc>
      </w:tr>
    </w:tbl>
    <w:p>
      <w:pPr>
        <w:pStyle w:val="TextBody"/>
        <w:bidi w:val="0"/>
        <w:spacing w:before="0" w:after="0"/>
        <w:ind w:left="0" w:right="0" w:hanging="0"/>
        <w:jc w:val="left"/>
        <w:rPr>
          <w:caps w:val="false"/>
          <w:smallCaps w:val="false"/>
        </w:rPr>
      </w:pPr>
      <w:r>
        <w:rPr>
          <w:caps w:val="false"/>
          <w:smallCaps w:val="false"/>
        </w:rPr>
        <w:t> </w:t>
      </w:r>
    </w:p>
    <w:tbl>
      <w:tblPr>
        <w:tblW w:w="7908" w:type="dxa"/>
        <w:jc w:val="left"/>
        <w:tblInd w:w="0" w:type="dxa"/>
        <w:shd w:fill="FFFFFF" w:val="clear"/>
        <w:tblLayout w:type="fixed"/>
        <w:tblCellMar>
          <w:top w:w="0" w:type="dxa"/>
          <w:left w:w="0" w:type="dxa"/>
          <w:bottom w:w="0" w:type="dxa"/>
          <w:right w:w="0" w:type="dxa"/>
        </w:tblCellMar>
      </w:tblPr>
      <w:tblGrid>
        <w:gridCol w:w="38"/>
        <w:gridCol w:w="95"/>
        <w:gridCol w:w="77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7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Active implanting centers in the U.S. grew to 250, an increase of 20% since September 30,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CMS published the final rule to assign favorable physician fee payment levels in connection with the Category I CPT codes set to take effect in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pleased with the solid progress we made in the third quarter as we continue to execute and build momentum across the organization," said Kevin Hykes, President and Chief Executive Officer of CVRx. "Our revised commercial strategy continues to show positive results. The development of our territories is progressing nicely as our newest reps are becoming increasingly more productive, resulting in both higher Barostim implant volumes and the expansion of our customer base. We're also pleased that CMS finalized our transition to Category I CPT codes, both improving patient access and removing key adoption barriers. Our focus remains on positively impacting the lives of patients who suffer from heart failure, and we are well positioned to drive deeper adoption going forward.”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$14.7 million for the three months ended September 30, 2025, an increase of $1.3 million, or 10%, over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in the U.S. was $13.5 million for the three months ended September 30, 2025, an increase of $1.2 million, or 10%, over the three months ended September 30, 2024. Revenue units in the U.S. totaled 420 and 394 for the three months ended September 30, 2025 and 2024, respectively. The increases were primarily driven by continued growth in the U.S. HF business as a result of the expansion into new sales territories, new accounts, and increased physician and patient awareness of Barostim.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 total of 250 active implanting centers in the U.S., compared to 240 as of June 30, 2025. Active implanting centers are customers that have completed at least one commercial HF implant in the last 12 months. The number of sales territories in the U.S. increased by three to a total of 50 during the three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in Europe was $1.2 million for the three months ended September 30, 2025, an increase of $0.1 million, or 12%, over the three months ended September 30, 2024. Total revenue units in Europe decreased to 50 for the three months ended September 30, 2025, compared to 56 in the prior year period. The number of sales territories in Europe remained consistent at five for the three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$12.8 million for the three months ended September 30, 2025, an increase of $1.6 million, or 15%, over the three months ended September 30, 2024. Gross margin increased to 87% for the three months ended September 30, 2025, compared to 83% for the three months ended September 30, 2024. Gross margin for the three months ended September 30, 2025 was higher due to an increase in the average selling price and a decrease in the cost per unit, primarily due to an increase in manufacturing efficiencies.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$0.6 million, or 26%, to $3.1 million for the three months ended September 30, 2025, compared to the three months ended September 30, 2024. This change was driven by a $0.5 million increase in compensation expenses and a $0.2 million increase in consulting expenses, partially offset by a $0.2 million decrease in clinical trial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increased $0.2 million, or 1%, to $21.9 million for the three months ended September 30, 2025, compared to the three months ended September 30, 2024. This change was primarily driven by a $0.2 million increase in consulting expenses, a $0.2 million increase in travel expenses, and a $0.2 million increase in non-cash stock-based compensation expense, partially offset by a $0.2 million decrease in advertising expenses and a $0.2 million decrease in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$0.5 million for the three months ended September 30, 2025, compared to the three months ended September 30, 2024. This increase was driven by the interest expense on higher levels of borrowings under the term loan agreement with Innovatus Capital Partners.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$0.9 million for each of the three months ended September 30, 2025 and 2024. These balances consisted of interest income on our interest-bearing accounts.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$12.9 million, or $0.49 per share, for the three months ended September 30, 2025, compared to a net loss of $13.1 million, or $0.57 per share, for the three months ended September 30, 2024. Net loss per share was based on 26.2 million weighted average shares outstanding for three months ended September 30, 2025 and 22.8 million weighted average shares outstanding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cash and cash equivalents were $85.1 million. Net cash used in operating and investing activities was $10.0 million for the three months ended September 30, 2025 compared to $10.4 million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of 2025, the Company updated its guidance ranges and now expects:</w:t>
      </w:r>
    </w:p>
    <w:p>
      <w:pPr>
        <w:pStyle w:val="TextBody"/>
        <w:bidi w:val="0"/>
        <w:spacing w:before="0" w:after="0"/>
        <w:ind w:left="0" w:right="0" w:hanging="0"/>
        <w:jc w:val="left"/>
        <w:rPr>
          <w:caps w:val="false"/>
          <w:smallCaps w:val="false"/>
        </w:rPr>
      </w:pPr>
      <w:r>
        <w:rPr>
          <w:caps w:val="false"/>
          <w:smallCaps w:val="false"/>
        </w:rPr>
        <w:t> </w:t>
      </w:r>
    </w:p>
    <w:tbl>
      <w:tblPr>
        <w:tblW w:w="9783" w:type="dxa"/>
        <w:jc w:val="left"/>
        <w:tblInd w:w="0" w:type="dxa"/>
        <w:shd w:fill="FFFFFF" w:val="clear"/>
        <w:tblLayout w:type="fixed"/>
        <w:tblCellMar>
          <w:top w:w="0" w:type="dxa"/>
          <w:left w:w="0" w:type="dxa"/>
          <w:bottom w:w="0" w:type="dxa"/>
          <w:right w:w="0" w:type="dxa"/>
        </w:tblCellMar>
      </w:tblPr>
      <w:tblGrid>
        <w:gridCol w:w="38"/>
        <w:gridCol w:w="95"/>
        <w:gridCol w:w="96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 between $55.6 million and $56.6 million, compared to prior guidance of $55.0 million to $57.0 million;</w:t>
            </w:r>
          </w:p>
        </w:tc>
      </w:tr>
    </w:tbl>
    <w:p>
      <w:pPr>
        <w:pStyle w:val="TextBody"/>
        <w:bidi w:val="0"/>
        <w:spacing w:before="0" w:after="0"/>
        <w:ind w:left="0" w:right="0" w:hanging="0"/>
        <w:jc w:val="left"/>
        <w:rPr>
          <w:caps w:val="false"/>
          <w:smallCaps w:val="false"/>
        </w:rPr>
      </w:pPr>
      <w:r>
        <w:rPr>
          <w:caps w:val="false"/>
          <w:smallCaps w:val="false"/>
        </w:rPr>
        <w:t> </w:t>
      </w:r>
    </w:p>
    <w:tbl>
      <w:tblPr>
        <w:tblW w:w="6783" w:type="dxa"/>
        <w:jc w:val="left"/>
        <w:tblInd w:w="0" w:type="dxa"/>
        <w:shd w:fill="FFFFFF" w:val="clear"/>
        <w:tblLayout w:type="fixed"/>
        <w:tblCellMar>
          <w:top w:w="0" w:type="dxa"/>
          <w:left w:w="0" w:type="dxa"/>
          <w:bottom w:w="0" w:type="dxa"/>
          <w:right w:w="0" w:type="dxa"/>
        </w:tblCellMar>
      </w:tblPr>
      <w:tblGrid>
        <w:gridCol w:w="38"/>
        <w:gridCol w:w="95"/>
        <w:gridCol w:w="665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margin between 85% and 86%, compared to prior guidance of 83% to 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 between $98.0 million and $99.0 million, compared to prior guidance of $96.0 million to $98.0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fourth quarter of 2025, the Company expects to report total revenue between $15.0 million and $16.0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 review its results at 4:30 p.m. Eastern Time today. A live webcast of the investor conference call will be available online at the investor relations page of the Company’s website at ir.cvrx.com. To listen to the conference call on your telephone, please dial 1-877-704-4453 for U.S. callers, or 1-201-389-0920 for international callers, approximately ten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CVRx,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CVRx is a commercial-stage medical device company focused on developing, manufacturing and commercializing innovative neuromodulation solutions for patients with cardiovascular diseases. Barostim™ is the first medical technology approved by FDA that uses neuromodulation to improve the symptoms of patients with heart failure. Barostim is an implantable device that delivers electrical pulses to baroreceptors located in the wall of the carotid artery. The therapy is designed to restore balance to the autonomic nervous system and thereby reduce the symptoms of heart failure. Barostim received the FDA Breakthrough Device designation and is FDA-approved for use in heart failure patients in the U.S. It has been certified as compliant with the EU Medical Device Regulation (MDR) and holds CE Mark approval for heart failure and resistant hypertension in the European Economic Area. To learn more about Barostim, visit </w:t>
      </w:r>
      <w:r>
        <w:rPr>
          <w:rFonts w:ascii="Times New Roman;Times;Serif" w:hAnsi="Times New Roman;Times;Serif"/>
          <w:b w:val="false"/>
          <w:i w:val="false"/>
          <w:caps w:val="false"/>
          <w:smallCaps w:val="false"/>
          <w:sz w:val="20"/>
          <w:u w:val="single"/>
        </w:rPr>
        <w:t>www.cvrx.com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other than statements of historical facts are forward-looking statements, including statements regarding our future financial performance (including our financial guidance regarding full year and fourth quarter 2025 results), our anticipated growth strategies, anticipated trends in our industry, our business prospects and our opportunities. In some cases, you can identify forward-looking statements by terms such as “may,” “will,” “should,” “expect,” “plan,” “anticipate,” “could,” “outlook,” “guidance,” “intend,” “target,” “project,” “contemplate,” “believe,” “estimate,” “predict,” “potential” or “continue” or the negative of these terms or other similar expressions, although not all forward-looking statements contain these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press release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known and unknown risks, uncertainties and assumptions, including, but not limited to, our history of significant losses, which we expect to continue; our limited history operating as a commercial company and our dependence on a single product, Barostim; our limited commercial sales experience marketing and selling Barostim; our ability to continue demonstrating to physicians and patients the merits of our Barostim; any failure by third-party payors to provide adequate coverage and reimbursement for the use of Barostim; our competitors’ success in developing and marketing products that are safer, more effective, less costly, easier to use or otherwise more attractive than Barostim; any failure to receive access to hospitals; our dependence upon third-party manufacturers and suppliers, and in some cases a limited number of suppliers; a pandemic, epidemic or outbreak of an infectious disease in the U.S. or worldwide; product liability claims; future lawsuits to protect or enforce our intellectual property, which could be expensive, time consuming and ultimately unsuccessful; any failure to retain our key executives or recruit and hire new employees; impacts on adoption and regulatory approvals resulting from additional long-term clinical data about our product; and other important factors that could cause actual results, performance or achievements to differ materially from those that are found in “Part I, Item 1A. Risk Factors” in our Annual Report on Form 10-K for the year ended December 31, 2024 and “Part II, Item 1A. Risk Factors” in our Quarterly Report on Form 10-Q for the quarter ended June 30, 2025, as such factors may be updated from time to time in our other filings with the Securities and Exchange Commission.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Klausner or Mike Vallie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443-213-0501</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Meyers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763-416-2853</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emeyers@cvrx.com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4"/>
        <w:gridCol w:w="60"/>
        <w:gridCol w:w="168"/>
        <w:gridCol w:w="1022"/>
        <w:gridCol w:w="80"/>
        <w:gridCol w:w="60"/>
        <w:gridCol w:w="162"/>
        <w:gridCol w:w="983"/>
        <w:gridCol w:w="96"/>
      </w:tblGrid>
      <w:tr>
        <w:trPr/>
        <w:tc>
          <w:tcPr>
            <w:tcW w:w="7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105,933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 of $871 and $780,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129,813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133,414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49,273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62,359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200,000,000 authorized as of September 30, 2025 and December 31, 2024; 26,193,733 and 25,324,684 shares issued and outstanding as of September 30, 2025 and December 31,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608,354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(578,718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(537,346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71,055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133,414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CVRx,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used to compute net loss per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26,168,562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22,783,337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26,039,718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21,884,588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2657</Words>
  <Characters>14432</Characters>
  <CharactersWithSpaces>17258</CharactersWithSpaces>
  <Paragraphs>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