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16753d1_8k.htm"/>
      <w:bookmarkStart w:id="1" w:name="kstm2616753d1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DocumentType_c2026060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June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bookmarkStart w:id="4" w:name="xdx_908_edei--EntityRegistrantName_c2026"/>
      <w:bookmarkEnd w:id="4"/>
      <w:r>
        <w:rPr>
          <w:rFonts w:ascii="Times New Roman;Times;Serif" w:hAnsi="Times New Roman;Times;Serif"/>
          <w:b/>
          <w:i w:val="false"/>
          <w:caps w:val="false"/>
          <w:smallCaps w:val="false"/>
          <w:sz w:val="36"/>
        </w:rPr>
        <w:t>CVRx, Inc.</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130" w:type="dxa"/>
        <w:jc w:val="left"/>
        <w:tblInd w:w="0" w:type="dxa"/>
        <w:tblLayout w:type="fixed"/>
        <w:tblCellMar>
          <w:top w:w="0" w:type="dxa"/>
          <w:left w:w="0" w:type="dxa"/>
          <w:bottom w:w="0" w:type="dxa"/>
          <w:right w:w="0" w:type="dxa"/>
        </w:tblCellMar>
      </w:tblPr>
      <w:tblGrid>
        <w:gridCol w:w="2375"/>
        <w:gridCol w:w="60"/>
        <w:gridCol w:w="1100"/>
        <w:gridCol w:w="60"/>
        <w:gridCol w:w="1535"/>
      </w:tblGrid>
      <w:tr>
        <w:trPr/>
        <w:tc>
          <w:tcPr>
            <w:tcW w:w="2375" w:type="dxa"/>
            <w:tcBorders/>
            <w:vAlign w:val="center"/>
          </w:tcPr>
          <w:p>
            <w:pPr>
              <w:pStyle w:val="TableContents"/>
              <w:bidi w:val="0"/>
              <w:spacing w:before="0" w:after="283"/>
              <w:jc w:val="center"/>
              <w:rPr>
                <w:rFonts w:ascii="Times New Roman;Times;Serif" w:hAnsi="Times New Roman;Times;Serif"/>
                <w:b/>
                <w:sz w:val="20"/>
              </w:rPr>
            </w:pPr>
            <w:bookmarkStart w:id="5" w:name="xdx_903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color w:val="1A1A1A"/>
                <w:sz w:val="20"/>
              </w:rPr>
            </w:pPr>
            <w:bookmarkStart w:id="6" w:name="xdx_90C_edei--EntityFileNumber_c20260601"/>
            <w:bookmarkEnd w:id="6"/>
            <w:r>
              <w:rPr>
                <w:rFonts w:ascii="Times New Roman;Times;Serif" w:hAnsi="Times New Roman;Times;Serif"/>
                <w:b/>
                <w:color w:val="1A1A1A"/>
                <w:sz w:val="20"/>
              </w:rPr>
              <w:t>001-40545</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7" w:name="xdx_902_edei--EntityTaxIdentificationNum"/>
            <w:bookmarkEnd w:id="7"/>
            <w:r>
              <w:rPr>
                <w:rFonts w:ascii="Times New Roman;Times;Serif" w:hAnsi="Times New Roman;Times;Serif"/>
                <w:b/>
                <w:sz w:val="20"/>
              </w:rPr>
              <w:t>41-1983744</w:t>
            </w:r>
          </w:p>
        </w:tc>
      </w:tr>
      <w:tr>
        <w:trPr/>
        <w:tc>
          <w:tcPr>
            <w:tcW w:w="23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w:t>
              <w:b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 xml:space="preserve">9201 West Broadway Avenue, </w:t>
      </w:r>
      <w:bookmarkStart w:id="9" w:name="xdx_90F_edei--EntityAddressAddressLine2_"/>
      <w:bookmarkEnd w:id="9"/>
      <w:r>
        <w:rPr>
          <w:rFonts w:ascii="Times New Roman;Times;Serif" w:hAnsi="Times New Roman;Times;Serif"/>
          <w:b/>
          <w:i w:val="false"/>
          <w:caps w:val="false"/>
          <w:smallCaps w:val="false"/>
          <w:sz w:val="20"/>
        </w:rPr>
        <w:t>Suite 650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2_edei--EntityAddressCityOrTown_c2"/>
      <w:bookmarkEnd w:id="10"/>
      <w:r>
        <w:rPr>
          <w:rFonts w:ascii="Times New Roman;Times;Serif" w:hAnsi="Times New Roman;Times;Serif"/>
          <w:b/>
          <w:i w:val="false"/>
          <w:caps w:val="false"/>
          <w:smallCaps w:val="false"/>
          <w:sz w:val="20"/>
        </w:rPr>
        <w:t xml:space="preserve">Minneapolis, </w:t>
      </w:r>
      <w:bookmarkStart w:id="11" w:name="xdx_906_edei--EntityAddressStateOrProvin"/>
      <w:bookmarkEnd w:id="11"/>
      <w:r>
        <w:rPr>
          <w:rFonts w:ascii="Times New Roman;Times;Serif" w:hAnsi="Times New Roman;Times;Serif"/>
          <w:b/>
          <w:i w:val="false"/>
          <w:caps w:val="false"/>
          <w:smallCaps w:val="false"/>
          <w:sz w:val="20"/>
        </w:rPr>
        <w:t>MN</w:t>
      </w:r>
      <w:r>
        <w:rPr>
          <w:rFonts w:ascii="Times New Roman;Times;Serif" w:hAnsi="Times New Roman;Times;Serif"/>
          <w:b w:val="false"/>
          <w:i w:val="false"/>
          <w:caps w:val="false"/>
          <w:smallCaps w:val="false"/>
          <w:sz w:val="20"/>
        </w:rPr>
        <w:t xml:space="preserve"> </w:t>
      </w:r>
      <w:bookmarkStart w:id="12" w:name="xdx_905_edei--EntityAddressPostalZipCode"/>
      <w:bookmarkEnd w:id="12"/>
      <w:r>
        <w:rPr>
          <w:rFonts w:ascii="Times New Roman;Times;Serif" w:hAnsi="Times New Roman;Times;Serif"/>
          <w:b/>
          <w:i w:val="false"/>
          <w:caps w:val="false"/>
          <w:smallCaps w:val="false"/>
          <w:sz w:val="20"/>
        </w:rPr>
        <w:t>55445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D_edei--CityAreaCode_c20260601__20"/>
      <w:bookmarkEnd w:id="13"/>
      <w:r>
        <w:rPr>
          <w:rFonts w:ascii="Times New Roman;Times;Serif" w:hAnsi="Times New Roman;Times;Serif"/>
          <w:b/>
          <w:i w:val="false"/>
          <w:caps w:val="false"/>
          <w:smallCaps w:val="false"/>
          <w:sz w:val="20"/>
        </w:rPr>
        <w:t xml:space="preserve">763) </w:t>
      </w:r>
      <w:bookmarkStart w:id="14" w:name="xdx_903_edei--LocalPhoneNumber_c20260601"/>
      <w:bookmarkEnd w:id="14"/>
      <w:r>
        <w:rPr>
          <w:rFonts w:ascii="Times New Roman;Times;Serif" w:hAnsi="Times New Roman;Times;Serif"/>
          <w:b/>
          <w:i w:val="false"/>
          <w:caps w:val="false"/>
          <w:smallCaps w:val="false"/>
          <w:sz w:val="20"/>
        </w:rPr>
        <w:t>416-2840</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val="false"/>
          <w:caps w:val="false"/>
          <w:smallCaps w:val="false"/>
          <w:sz w:val="20"/>
          <w:u w:val="single"/>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 w:name="xdx_90A_edei--WrittenCommunications_c202"/>
      <w:bookmarkEnd w:id="15"/>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 </w:t>
      </w:r>
    </w:p>
    <w:p>
      <w:pPr>
        <w:pStyle w:val="TextBody"/>
        <w:bidi w:val="0"/>
        <w:spacing w:before="0" w:after="0"/>
        <w:ind w:left="0" w:right="0" w:hanging="0"/>
        <w:jc w:val="left"/>
        <w:rPr>
          <w:caps w:val="false"/>
          <w:smallCaps w:val="false"/>
        </w:rPr>
      </w:pPr>
      <w:bookmarkStart w:id="16" w:name="xdx_902_edei--SolicitingMaterial_c202606"/>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 </w:t>
      </w:r>
    </w:p>
    <w:p>
      <w:pPr>
        <w:pStyle w:val="TextBody"/>
        <w:bidi w:val="0"/>
        <w:spacing w:before="0" w:after="0"/>
        <w:ind w:left="0" w:right="0" w:hanging="0"/>
        <w:jc w:val="left"/>
        <w:rPr>
          <w:caps w:val="false"/>
          <w:smallCaps w:val="false"/>
        </w:rPr>
      </w:pPr>
      <w:bookmarkStart w:id="17" w:name="xdx_90F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 </w:t>
      </w:r>
    </w:p>
    <w:p>
      <w:pPr>
        <w:pStyle w:val="TextBody"/>
        <w:bidi w:val="0"/>
        <w:spacing w:before="0" w:after="0"/>
        <w:ind w:left="0" w:right="0" w:hanging="0"/>
        <w:jc w:val="left"/>
        <w:rPr>
          <w:caps w:val="false"/>
          <w:smallCaps w:val="false"/>
        </w:rPr>
      </w:pPr>
      <w:bookmarkStart w:id="18" w:name="xdx_90B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85" w:type="dxa"/>
        <w:jc w:val="left"/>
        <w:tblInd w:w="0" w:type="dxa"/>
        <w:tblLayout w:type="fixed"/>
        <w:tblCellMar>
          <w:top w:w="0" w:type="dxa"/>
          <w:left w:w="0" w:type="dxa"/>
          <w:bottom w:w="28" w:type="dxa"/>
          <w:right w:w="0" w:type="dxa"/>
        </w:tblCellMar>
      </w:tblPr>
      <w:tblGrid>
        <w:gridCol w:w="4295"/>
        <w:gridCol w:w="90"/>
        <w:gridCol w:w="1565"/>
        <w:gridCol w:w="90"/>
        <w:gridCol w:w="2945"/>
      </w:tblGrid>
      <w:tr>
        <w:trPr/>
        <w:tc>
          <w:tcPr>
            <w:tcW w:w="429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90" w:type="dxa"/>
            <w:tcBorders/>
            <w:tcMar>
              <w:bottom w:w="0" w:type="dxa"/>
            </w:tcMar>
            <w:vAlign w:val="center"/>
          </w:tcPr>
          <w:p>
            <w:pPr>
              <w:pStyle w:val="TableContents"/>
              <w:bidi w:val="0"/>
              <w:spacing w:before="0" w:after="283"/>
              <w:jc w:val="left"/>
              <w:rPr/>
            </w:pPr>
            <w:r>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90" w:type="dxa"/>
            <w:tcBorders/>
            <w:tcMar>
              <w:bottom w:w="0" w:type="dxa"/>
            </w:tcMar>
            <w:vAlign w:val="center"/>
          </w:tcPr>
          <w:p>
            <w:pPr>
              <w:pStyle w:val="TableContents"/>
              <w:bidi w:val="0"/>
              <w:spacing w:before="0" w:after="283"/>
              <w:jc w:val="left"/>
              <w:rPr/>
            </w:pPr>
            <w:r>
              <w:rPr/>
              <w:t> </w:t>
            </w:r>
          </w:p>
        </w:tc>
        <w:tc>
          <w:tcPr>
            <w:tcW w:w="2945" w:type="dxa"/>
            <w:tcBorders>
              <w:bottom w:val="single" w:sz="8" w:space="0" w:color="000000"/>
            </w:tcBorders>
            <w:vAlign w:val="center"/>
          </w:tcPr>
          <w:p>
            <w:pPr>
              <w:pStyle w:val="TableContents"/>
              <w:bidi w:val="0"/>
              <w:spacing w:before="0" w:after="283"/>
              <w:jc w:val="center"/>
              <w:rPr/>
            </w:pPr>
            <w:r>
              <w:rPr/>
              <w:t>Name of each exchange</w:t>
              <w:br/>
              <w:t>on which registered</w:t>
            </w:r>
          </w:p>
        </w:tc>
      </w:tr>
      <w:tr>
        <w:trPr/>
        <w:tc>
          <w:tcPr>
            <w:tcW w:w="4295" w:type="dxa"/>
            <w:tcBorders/>
            <w:tcMar>
              <w:bottom w:w="0" w:type="dxa"/>
            </w:tcMar>
            <w:vAlign w:val="center"/>
          </w:tcPr>
          <w:p>
            <w:pPr>
              <w:pStyle w:val="TableContents"/>
              <w:bidi w:val="0"/>
              <w:spacing w:before="0" w:after="283"/>
              <w:jc w:val="center"/>
              <w:rPr>
                <w:b/>
              </w:rPr>
            </w:pPr>
            <w:bookmarkStart w:id="19" w:name="xdx_905_edei--Security12bTitle_c20260601"/>
            <w:bookmarkEnd w:id="19"/>
            <w:r>
              <w:rPr>
                <w:b/>
              </w:rPr>
              <w:t>Common stock, par value $0.01 per share</w:t>
            </w:r>
          </w:p>
        </w:tc>
        <w:tc>
          <w:tcPr>
            <w:tcW w:w="9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0_edei--TradingSymbol_c20260601__2"/>
            <w:bookmarkEnd w:id="20"/>
            <w:r>
              <w:rPr>
                <w:rFonts w:ascii="Times New Roman;Times;Serif" w:hAnsi="Times New Roman;Times;Serif"/>
                <w:b/>
                <w:sz w:val="20"/>
              </w:rPr>
              <w:t>CVRX</w:t>
            </w:r>
          </w:p>
        </w:tc>
        <w:tc>
          <w:tcPr>
            <w:tcW w:w="90" w:type="dxa"/>
            <w:tcBorders/>
            <w:tcMar>
              <w:bottom w:w="0" w:type="dxa"/>
            </w:tcMar>
            <w:vAlign w:val="center"/>
          </w:tcPr>
          <w:p>
            <w:pPr>
              <w:pStyle w:val="TableContents"/>
              <w:bidi w:val="0"/>
              <w:spacing w:before="0" w:after="283"/>
              <w:jc w:val="left"/>
              <w:rPr/>
            </w:pPr>
            <w:r>
              <w:rPr/>
              <w:t> </w:t>
            </w:r>
          </w:p>
        </w:tc>
        <w:tc>
          <w:tcPr>
            <w:tcW w:w="2945" w:type="dxa"/>
            <w:tcBorders/>
            <w:tcMar>
              <w:bottom w:w="0" w:type="dxa"/>
            </w:tcMar>
            <w:vAlign w:val="center"/>
          </w:tcPr>
          <w:p>
            <w:pPr>
              <w:pStyle w:val="TableContents"/>
              <w:bidi w:val="0"/>
              <w:spacing w:before="0" w:after="283"/>
              <w:jc w:val="center"/>
              <w:rPr>
                <w:sz w:val="20"/>
              </w:rPr>
            </w:pPr>
            <w:r>
              <w:rPr>
                <w:b/>
                <w:sz w:val="20"/>
              </w:rPr>
              <w:t xml:space="preserve">The </w:t>
            </w:r>
            <w:bookmarkStart w:id="21" w:name="xdx_907_edei--SecurityExchangeName_c2026"/>
            <w:bookmarkEnd w:id="21"/>
            <w:r>
              <w:rPr>
                <w:rFonts w:ascii="Times New Roman;Times;Serif" w:hAnsi="Times New Roman;Times;Serif"/>
                <w:b/>
                <w:sz w:val="20"/>
              </w:rPr>
              <w:t xml:space="preserve">Nasdaq </w:t>
            </w:r>
            <w:r>
              <w:rPr>
                <w:b/>
                <w:sz w:val="20"/>
              </w:rPr>
              <w:t>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8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5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 2026, CVRx, Inc. (the “Company”) held its 2026 annual meeting of stockholders (the “Annual Meeting”). Voting results for each matter submitted to a vote at the Annual Meeting are provided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1.</w:t>
      </w:r>
      <w:r>
        <w:rPr>
          <w:rFonts w:ascii="Times New Roman;Times;Serif" w:hAnsi="Times New Roman;Times;Serif"/>
          <w:b w:val="false"/>
          <w:i w:val="false"/>
          <w:caps w:val="false"/>
          <w:smallCaps w:val="false"/>
          <w:sz w:val="20"/>
        </w:rPr>
        <w:t> Election of Directors. The three nominees for Class II director were elected to serve until the 2029 annual meeting of stockholders and until their successors are duly elected and qualified, by the votes set forth in the table below.</w:t>
      </w:r>
    </w:p>
    <w:p>
      <w:pPr>
        <w:pStyle w:val="TextBody"/>
        <w:bidi w:val="0"/>
        <w:spacing w:before="0" w:after="0"/>
        <w:ind w:left="0" w:right="0" w:hanging="0"/>
        <w:jc w:val="left"/>
        <w:rPr>
          <w:caps w:val="false"/>
          <w:smallCaps w:val="false"/>
        </w:rPr>
      </w:pPr>
      <w:r>
        <w:rPr>
          <w:caps w:val="false"/>
          <w:smallCaps w:val="false"/>
        </w:rPr>
        <w:t> </w:t>
      </w:r>
    </w:p>
    <w:tbl>
      <w:tblPr>
        <w:tblW w:w="4865" w:type="dxa"/>
        <w:jc w:val="left"/>
        <w:tblInd w:w="0" w:type="dxa"/>
        <w:tblLayout w:type="fixed"/>
        <w:tblCellMar>
          <w:top w:w="0" w:type="dxa"/>
          <w:left w:w="0" w:type="dxa"/>
          <w:bottom w:w="28" w:type="dxa"/>
          <w:right w:w="0" w:type="dxa"/>
        </w:tblCellMar>
      </w:tblPr>
      <w:tblGrid>
        <w:gridCol w:w="1265"/>
        <w:gridCol w:w="60"/>
        <w:gridCol w:w="950"/>
        <w:gridCol w:w="60"/>
        <w:gridCol w:w="845"/>
        <w:gridCol w:w="60"/>
        <w:gridCol w:w="1550"/>
        <w:gridCol w:w="75"/>
      </w:tblGrid>
      <w:tr>
        <w:trPr/>
        <w:tc>
          <w:tcPr>
            <w:tcW w:w="12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Nominee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Withheld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Dale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13,261,467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24,036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10,153,679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Hykes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12,040,949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1,244,554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10,153,679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Slattery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11,938,599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1,346,904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10,153,679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2.</w:t>
      </w:r>
      <w:r>
        <w:rPr>
          <w:rFonts w:ascii="Times New Roman;Times;Serif" w:hAnsi="Times New Roman;Times;Serif"/>
          <w:b w:val="false"/>
          <w:i w:val="false"/>
          <w:caps w:val="false"/>
          <w:smallCaps w:val="false"/>
          <w:sz w:val="20"/>
        </w:rPr>
        <w:t> The stockholders ratified the appointment of Grant Thornton LLP as the Company’s independent registered public accounting firm for the fiscal year ending December 31, 2026, by the votes set forth in the table below.</w:t>
      </w:r>
    </w:p>
    <w:p>
      <w:pPr>
        <w:pStyle w:val="TextBody"/>
        <w:bidi w:val="0"/>
        <w:spacing w:before="0" w:after="0"/>
        <w:ind w:left="0" w:right="0" w:hanging="0"/>
        <w:jc w:val="left"/>
        <w:rPr>
          <w:caps w:val="false"/>
          <w:smallCaps w:val="false"/>
        </w:rPr>
      </w:pPr>
      <w:r>
        <w:rPr>
          <w:caps w:val="false"/>
          <w:smallCaps w:val="false"/>
        </w:rPr>
        <w:t> </w:t>
      </w:r>
    </w:p>
    <w:tbl>
      <w:tblPr>
        <w:tblW w:w="2670" w:type="dxa"/>
        <w:jc w:val="left"/>
        <w:tblInd w:w="0" w:type="dxa"/>
        <w:tblLayout w:type="fixed"/>
        <w:tblCellMar>
          <w:top w:w="0" w:type="dxa"/>
          <w:left w:w="0" w:type="dxa"/>
          <w:bottom w:w="28" w:type="dxa"/>
          <w:right w:w="0" w:type="dxa"/>
        </w:tblCellMar>
      </w:tblPr>
      <w:tblGrid>
        <w:gridCol w:w="965"/>
        <w:gridCol w:w="60"/>
        <w:gridCol w:w="845"/>
        <w:gridCol w:w="60"/>
        <w:gridCol w:w="665"/>
        <w:gridCol w:w="75"/>
      </w:tblGrid>
      <w:tr>
        <w:trPr/>
        <w:tc>
          <w:tcPr>
            <w:tcW w:w="9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21,150,201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2,275,126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13,855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065" w:type="dxa"/>
        <w:jc w:val="left"/>
        <w:tblInd w:w="0" w:type="dxa"/>
        <w:tblLayout w:type="fixed"/>
        <w:tblCellMar>
          <w:top w:w="0" w:type="dxa"/>
          <w:left w:w="0" w:type="dxa"/>
          <w:bottom w:w="0" w:type="dxa"/>
          <w:right w:w="0" w:type="dxa"/>
        </w:tblCellMar>
      </w:tblPr>
      <w:tblGrid>
        <w:gridCol w:w="1550"/>
        <w:gridCol w:w="320"/>
        <w:gridCol w:w="2195"/>
      </w:tblGrid>
      <w:tr>
        <w:trPr/>
        <w:tc>
          <w:tcPr>
            <w:tcW w:w="1550" w:type="dxa"/>
            <w:tcBorders/>
            <w:vAlign w:val="center"/>
          </w:tcPr>
          <w:p>
            <w:pPr>
              <w:pStyle w:val="TableContents"/>
              <w:bidi w:val="0"/>
              <w:spacing w:before="0" w:after="283"/>
              <w:jc w:val="left"/>
              <w:rPr/>
            </w:pPr>
            <w:r>
              <w:rPr/>
              <w:t> </w:t>
            </w:r>
          </w:p>
        </w:tc>
        <w:tc>
          <w:tcPr>
            <w:tcW w:w="2515" w:type="dxa"/>
            <w:gridSpan w:val="2"/>
            <w:tcBorders/>
            <w:vAlign w:val="center"/>
          </w:tcPr>
          <w:p>
            <w:pPr>
              <w:pStyle w:val="TableContents"/>
              <w:bidi w:val="0"/>
              <w:spacing w:before="0" w:after="283"/>
              <w:jc w:val="left"/>
              <w:rPr>
                <w:b/>
              </w:rPr>
            </w:pPr>
            <w:r>
              <w:rPr>
                <w:b/>
              </w:rPr>
              <w:t>CVRx, Inc.</w:t>
            </w:r>
          </w:p>
        </w:tc>
      </w:tr>
      <w:tr>
        <w:trPr/>
        <w:tc>
          <w:tcPr>
            <w:tcW w:w="1550" w:type="dxa"/>
            <w:tcBorders/>
            <w:vAlign w:val="center"/>
          </w:tcPr>
          <w:p>
            <w:pPr>
              <w:pStyle w:val="TableContents"/>
              <w:bidi w:val="0"/>
              <w:spacing w:before="0" w:after="283"/>
              <w:jc w:val="left"/>
              <w:rPr/>
            </w:pPr>
            <w:r>
              <w:rPr/>
              <w:t> </w:t>
            </w:r>
          </w:p>
        </w:tc>
        <w:tc>
          <w:tcPr>
            <w:tcW w:w="2515" w:type="dxa"/>
            <w:gridSpan w:val="2"/>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June 3,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Jared Oasheim</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Jared Oasheim</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Chief Financial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506</Words>
  <Characters>2767</Characters>
  <CharactersWithSpaces>3289</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