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8132026_080826.xml.htm"/>
      <w:bookmarkStart w:id="1" w:name="ksform408132026_080826"/>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Binkowski Brent</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9201 WEST BROADWAY AVENUE</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650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MINNEAPOLIS</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MN</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55445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CVRx, Inc.</w:t>
              </w:r>
            </w:hyperlink>
            <w:r>
              <w:rPr/>
              <w:t xml:space="preserve"> [ </w:t>
            </w:r>
            <w:r>
              <w:rPr>
                <w:rFonts w:ascii="Times;serif" w:hAnsi="Times;serif"/>
                <w:color w:val="0000FF"/>
                <w:sz w:val="24"/>
                <w:shd w:fill="FFFFFF" w:val="clear"/>
              </w:rPr>
              <w:t>CVRX</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OPERATING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08/12/2026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43"/>
        <w:gridCol w:w="902"/>
        <w:gridCol w:w="772"/>
        <w:gridCol w:w="599"/>
        <w:gridCol w:w="347"/>
        <w:gridCol w:w="841"/>
        <w:gridCol w:w="451"/>
        <w:gridCol w:w="881"/>
        <w:gridCol w:w="1156"/>
        <w:gridCol w:w="993"/>
        <w:gridCol w:w="92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4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7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4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4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8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4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08/12/2026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1,309</w:t>
            </w:r>
          </w:p>
        </w:tc>
        <w:tc>
          <w:tcPr>
            <w:tcW w:w="45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2.5502</w:t>
            </w:r>
            <w:r>
              <w:rPr>
                <w:rFonts w:ascii="Times;serif" w:hAnsi="Times;serif"/>
                <w:color w:val="008000"/>
                <w:position w:val="7"/>
                <w:sz w:val="16"/>
                <w:sz w:val="20"/>
                <w:shd w:fill="FFFFFF" w:val="clear"/>
              </w:rPr>
              <w:t>(2)</w:t>
            </w:r>
          </w:p>
        </w:tc>
        <w:tc>
          <w:tcPr>
            <w:tcW w:w="11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30,291</w:t>
            </w:r>
          </w:p>
        </w:tc>
        <w:tc>
          <w:tcPr>
            <w:tcW w:w="99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sale was mandated by the issuer's award agreement to satisfy tax withholding obligations by a sell-to-cover transaction.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Reflects the weighted average price of 1,309 shares of common stock of CVRx, Inc. sold by the reporting person in multiple transactions on August 12, 2026 with sale prices ranging from $2.55 to $2.564 per share. The reporting person undertakes to provide upon request by the U.S. Securities and Exchange Commission staff, the issuer, or a security holder of the issuer, full information regarding the number of shares sold at each separate price.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Amy C. Seidel,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644355" TargetMode="External"/><Relationship Id="rId5" Type="http://schemas.openxmlformats.org/officeDocument/2006/relationships/hyperlink" Target="http://www.sec.gov/cgi-bin/browse-edgar?action=getcompany&amp;CIK=0001235912"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657</Words>
  <Characters>3567</Characters>
  <CharactersWithSpaces>4155</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