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Jain Mudit K.</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CVRx,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9201 W BROADWAY AVE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7"/>
                <w:szCs w:val="17"/>
                <w:color w:val="0000FF"/>
              </w:rPr>
              <w:t>11/18/2021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740" w:type="dxa"/>
            <w:vAlign w:val="bottom"/>
            <w:gridSpan w:val="3"/>
            <w:vMerge w:val="restart"/>
          </w:tcPr>
          <w:p>
            <w:pPr>
              <w:ind w:left="120"/>
              <w:spacing w:after="0"/>
              <w:rPr>
                <w:sz w:val="20"/>
                <w:szCs w:val="20"/>
                <w:color w:val="auto"/>
              </w:rPr>
            </w:pPr>
            <w:r>
              <w:rPr>
                <w:rFonts w:ascii="Arial" w:cs="Arial" w:eastAsia="Arial" w:hAnsi="Arial"/>
                <w:sz w:val="17"/>
                <w:szCs w:val="17"/>
                <w:color w:val="0000FF"/>
              </w:rPr>
              <w:t>#650</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MINNEAPOLIS MN</w:t>
            </w:r>
          </w:p>
        </w:tc>
        <w:tc>
          <w:tcPr>
            <w:tcW w:w="1340" w:type="dxa"/>
            <w:vAlign w:val="bottom"/>
          </w:tcPr>
          <w:p>
            <w:pPr>
              <w:ind w:left="160"/>
              <w:spacing w:after="0"/>
              <w:rPr>
                <w:sz w:val="20"/>
                <w:szCs w:val="20"/>
                <w:color w:val="auto"/>
              </w:rPr>
            </w:pPr>
            <w:r>
              <w:rPr>
                <w:rFonts w:ascii="Arial" w:cs="Arial" w:eastAsia="Arial" w:hAnsi="Arial"/>
                <w:sz w:val="17"/>
                <w:szCs w:val="17"/>
                <w:color w:val="0000FF"/>
              </w:rPr>
              <w:t>55445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3"/>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20"/>
              <w:spacing w:after="0"/>
              <w:rPr>
                <w:sz w:val="20"/>
                <w:szCs w:val="20"/>
                <w:color w:val="auto"/>
              </w:rPr>
            </w:pPr>
            <w:r>
              <w:rPr>
                <w:rFonts w:ascii="Arial" w:cs="Arial" w:eastAsia="Arial" w:hAnsi="Arial"/>
                <w:sz w:val="17"/>
                <w:szCs w:val="17"/>
                <w:color w:val="0000FF"/>
                <w:w w:val="91"/>
              </w:rPr>
              <w:t>11/18/2021</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875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rPr>
              <w:t>A</w:t>
            </w:r>
          </w:p>
        </w:tc>
        <w:tc>
          <w:tcPr>
            <w:tcW w:w="88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14.6327</w:t>
            </w:r>
            <w:r>
              <w:rPr>
                <w:rFonts w:ascii="Arial" w:cs="Arial" w:eastAsia="Arial" w:hAnsi="Arial"/>
                <w:sz w:val="22"/>
                <w:szCs w:val="22"/>
                <w:color w:val="008000"/>
                <w:w w:val="94"/>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2,500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20"/>
              <w:spacing w:after="0"/>
              <w:rPr>
                <w:sz w:val="20"/>
                <w:szCs w:val="20"/>
                <w:color w:val="auto"/>
              </w:rPr>
            </w:pPr>
            <w:r>
              <w:rPr>
                <w:rFonts w:ascii="Arial" w:cs="Arial" w:eastAsia="Arial" w:hAnsi="Arial"/>
                <w:sz w:val="17"/>
                <w:szCs w:val="17"/>
                <w:color w:val="0000FF"/>
                <w:w w:val="91"/>
              </w:rPr>
              <w:t>11/19/2021</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rPr>
              <w:t>A</w:t>
            </w:r>
          </w:p>
        </w:tc>
        <w:tc>
          <w:tcPr>
            <w:tcW w:w="88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13.6875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2,800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933,383</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weighted average price of 875 shares of common stock of CVRx, Inc. purchased by the reporting person in multiple transactions on November 18, 2021 with purchase prices ranging from $14.2796 to $14.95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weighted average price of 300 shares of common stock of CVRx, Inc. purchased by the reporting person in multiple transactions on November 19, 2021 with purchase prices ranging from $13.1 to $14.275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directly by Treo Ventures I, L.P ("Treo"). The Reporting Person is the General Partner of Treo and shares voting and dispositive power over the shares held by Treo. The Reporting Person disclaims beneficial ownership of all applicable shares except to the extent of his actual pecuniary interest in such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Amy C. Seidel,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11/19/2021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404" TargetMode="External"/><Relationship Id="rId13"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2021-11-19T16:55:51Z</dcterms:created>
  <dcterms:modified xsi:type="dcterms:W3CDTF">2021-11-19T16:55:51Z</dcterms:modified>
</cp:coreProperties>
</file>