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June 30, 2022</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126365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CVRx, Inc.</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44"/>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7"/>
                <w:szCs w:val="17"/>
                <w:color w:val="auto"/>
              </w:rPr>
            </w:pPr>
          </w:p>
        </w:tc>
      </w:tr>
      <w:tr>
        <w:trPr>
          <w:trHeight w:val="263"/>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7"/>
                <w:szCs w:val="17"/>
                <w:color w:val="auto"/>
              </w:rPr>
            </w:pPr>
          </w:p>
        </w:tc>
      </w:tr>
      <w:tr>
        <w:trPr>
          <w:trHeight w:val="18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6"/>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7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30"/>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20"/>
                <w:szCs w:val="20"/>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8"/>
        </w:trPr>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The Nasdaq Global Select Market</w:t>
            </w:r>
          </w:p>
        </w:tc>
      </w:tr>
      <w:tr>
        <w:trPr>
          <w:trHeight w:val="223"/>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77" w:lineRule="exact"/>
        <w:rPr>
          <w:sz w:val="24"/>
          <w:szCs w:val="24"/>
          <w:color w:val="auto"/>
        </w:rPr>
      </w:pPr>
    </w:p>
    <w:p>
      <w:pPr>
        <w:ind w:left="4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left="40" w:right="32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left="40" w:right="6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00" w:top="661" w:right="879" w:bottom="1440" w:gutter="0" w:footer="0" w:header="0"/>
        </w:sectPr>
      </w:pPr>
    </w:p>
    <w:p>
      <w:pPr>
        <w:spacing w:after="0" w:line="17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40" w:space="720"/>
            <w:col w:w="420" w:space="720"/>
            <w:col w:w="1920" w:space="720"/>
            <w:col w:w="4080"/>
          </w:cols>
          <w:pgMar w:left="800" w:top="661" w:right="879" w:bottom="1440" w:gutter="0" w:footer="0" w:header="0"/>
          <w:type w:val="continuous"/>
        </w:sectPr>
      </w:pP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3" w:lineRule="exact"/>
        <w:rPr>
          <w:sz w:val="24"/>
          <w:szCs w:val="24"/>
          <w:color w:val="auto"/>
        </w:rPr>
      </w:pPr>
    </w:p>
    <w:p>
      <w:pPr>
        <w:sectPr>
          <w:pgSz w:w="11900" w:h="16838" w:orient="portrait"/>
          <w:cols w:equalWidth="0" w:num="6">
            <w:col w:w="1640" w:space="720"/>
            <w:col w:w="420" w:space="720"/>
            <w:col w:w="1940" w:space="700"/>
            <w:col w:w="360" w:space="720"/>
            <w:col w:w="1920" w:space="560"/>
            <w:col w:w="520"/>
          </w:cols>
          <w:pgMar w:left="800" w:top="661" w:right="879" w:bottom="1440" w:gutter="0" w:footer="0" w:header="0"/>
          <w:type w:val="continuous"/>
        </w:sectPr>
      </w:pPr>
    </w:p>
    <w:p>
      <w:pPr>
        <w:ind w:left="40" w:right="2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40" w:right="840"/>
        <w:spacing w:after="0" w:line="27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25, 2022, there were 20,576,202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678815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78740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121285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00" w:top="661" w:right="8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60" w:type="dxa"/>
            <w:vAlign w:val="bottom"/>
            <w:gridSpan w:val="11"/>
          </w:tcPr>
          <w:p>
            <w:pPr>
              <w:ind w:left="240"/>
              <w:spacing w:after="0"/>
              <w:rPr>
                <w:sz w:val="20"/>
                <w:szCs w:val="20"/>
                <w:color w:val="auto"/>
              </w:rPr>
            </w:pPr>
            <w:r>
              <w:rPr>
                <w:rFonts w:ascii="Arial" w:cs="Arial" w:eastAsia="Arial" w:hAnsi="Arial"/>
                <w:sz w:val="18"/>
                <w:szCs w:val="18"/>
                <w:b w:val="1"/>
                <w:bCs w:val="1"/>
                <w:color w:val="auto"/>
              </w:rPr>
              <w:t>TABLE OF CONTENTS</w:t>
            </w:r>
          </w:p>
        </w:tc>
      </w:tr>
      <w:tr>
        <w:trPr>
          <w:trHeight w:val="812"/>
        </w:trPr>
        <w:tc>
          <w:tcPr>
            <w:tcW w:w="440" w:type="dxa"/>
            <w:vAlign w:val="bottom"/>
          </w:tcPr>
          <w:p>
            <w:pPr>
              <w:spacing w:after="0"/>
              <w:rPr>
                <w:sz w:val="20"/>
                <w:szCs w:val="20"/>
                <w:color w:val="auto"/>
              </w:rPr>
            </w:pPr>
            <w:r>
              <w:rPr>
                <w:rFonts w:ascii="Arial" w:cs="Arial" w:eastAsia="Arial" w:hAnsi="Arial"/>
                <w:sz w:val="18"/>
                <w:szCs w:val="18"/>
                <w:b w:val="1"/>
                <w:bCs w:val="1"/>
                <w:color w:val="0000EE"/>
                <w:w w:val="93"/>
              </w:rPr>
              <w:t>Part I</w:t>
            </w:r>
          </w:p>
        </w:tc>
        <w:tc>
          <w:tcPr>
            <w:tcW w:w="800" w:type="dxa"/>
            <w:vAlign w:val="bottom"/>
            <w:gridSpan w:val="6"/>
          </w:tcPr>
          <w:p>
            <w:pPr>
              <w:spacing w:after="0"/>
              <w:rPr>
                <w:sz w:val="24"/>
                <w:szCs w:val="24"/>
                <w:color w:val="auto"/>
              </w:rPr>
            </w:pPr>
          </w:p>
        </w:tc>
        <w:tc>
          <w:tcPr>
            <w:tcW w:w="6960" w:type="dxa"/>
            <w:vAlign w:val="bottom"/>
            <w:gridSpan w:val="22"/>
          </w:tcPr>
          <w:p>
            <w:pPr>
              <w:spacing w:after="0"/>
              <w:rPr>
                <w:sz w:val="20"/>
                <w:szCs w:val="20"/>
                <w:color w:val="auto"/>
              </w:rPr>
            </w:pPr>
            <w:r>
              <w:rPr>
                <w:rFonts w:ascii="Arial" w:cs="Arial" w:eastAsia="Arial" w:hAnsi="Arial"/>
                <w:sz w:val="18"/>
                <w:szCs w:val="18"/>
                <w:b w:val="1"/>
                <w:bCs w:val="1"/>
                <w:color w:val="0000EE"/>
              </w:rPr>
              <w:t>Financial Information</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Arial" w:cs="Arial" w:eastAsia="Arial" w:hAnsi="Arial"/>
                <w:sz w:val="18"/>
                <w:szCs w:val="18"/>
                <w:color w:val="0000EE"/>
                <w:w w:val="79"/>
              </w:rPr>
              <w:t>Item 1.</w:t>
            </w:r>
          </w:p>
        </w:tc>
        <w:tc>
          <w:tcPr>
            <w:tcW w:w="760" w:type="dxa"/>
            <w:vAlign w:val="bottom"/>
            <w:gridSpan w:val="5"/>
          </w:tcPr>
          <w:p>
            <w:pPr>
              <w:spacing w:after="0"/>
              <w:rPr>
                <w:sz w:val="24"/>
                <w:szCs w:val="24"/>
                <w:color w:val="auto"/>
              </w:rPr>
            </w:pPr>
          </w:p>
        </w:tc>
        <w:tc>
          <w:tcPr>
            <w:tcW w:w="6960" w:type="dxa"/>
            <w:vAlign w:val="bottom"/>
            <w:gridSpan w:val="22"/>
          </w:tcPr>
          <w:p>
            <w:pPr>
              <w:spacing w:after="0"/>
              <w:rPr>
                <w:sz w:val="20"/>
                <w:szCs w:val="20"/>
                <w:color w:val="auto"/>
              </w:rPr>
            </w:pPr>
            <w:r>
              <w:rPr>
                <w:rFonts w:ascii="Arial" w:cs="Arial" w:eastAsia="Arial" w:hAnsi="Arial"/>
                <w:sz w:val="18"/>
                <w:szCs w:val="18"/>
                <w:color w:val="0000EE"/>
              </w:rPr>
              <w:t>Financial Statements</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Condensed Consolidated Balance Sheets as of June 30, 2022 and December 31, 2021</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(Unaudited)</w:t>
            </w:r>
          </w:p>
        </w:tc>
        <w:tc>
          <w:tcPr>
            <w:tcW w:w="5880" w:type="dxa"/>
            <w:vAlign w:val="bottom"/>
            <w:gridSpan w:val="17"/>
          </w:tcPr>
          <w:p>
            <w:pPr>
              <w:spacing w:after="0"/>
              <w:rPr>
                <w:sz w:val="17"/>
                <w:szCs w:val="17"/>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Operations and Comprehensive Loss for the</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20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three and six months ended June 30, 2022 and 2021 (Unaudited)</w:t>
            </w:r>
          </w:p>
        </w:tc>
        <w:tc>
          <w:tcPr>
            <w:tcW w:w="1420" w:type="dxa"/>
            <w:vAlign w:val="bottom"/>
            <w:tcBorders>
              <w:top w:val="single" w:sz="8" w:color="0000EE"/>
            </w:tcBorders>
            <w:gridSpan w:val="4"/>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Condensed Consolidated Statements of Convertible Preferred Stock and Stockholders</w:t>
            </w:r>
            <w:r>
              <w:rPr>
                <w:rFonts w:ascii="Times New Roman" w:cs="Times New Roman" w:eastAsia="Times New Roman" w:hAnsi="Times New Roman"/>
                <w:sz w:val="18"/>
                <w:szCs w:val="18"/>
                <w:color w:val="0000EE"/>
                <w:w w:val="99"/>
              </w:rPr>
              <w:t>’</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20" w:type="dxa"/>
            <w:vAlign w:val="bottom"/>
            <w:gridSpan w:val="21"/>
          </w:tcPr>
          <w:p>
            <w:pPr>
              <w:spacing w:after="0" w:line="196" w:lineRule="exact"/>
              <w:rPr>
                <w:sz w:val="20"/>
                <w:szCs w:val="20"/>
                <w:color w:val="auto"/>
              </w:rPr>
            </w:pPr>
            <w:r>
              <w:rPr>
                <w:rFonts w:ascii="Arial" w:cs="Arial" w:eastAsia="Arial" w:hAnsi="Arial"/>
                <w:sz w:val="18"/>
                <w:szCs w:val="18"/>
                <w:color w:val="0000EE"/>
              </w:rPr>
              <w:t>Equity (Deficit) for the three and six months ended June 30, 2022 and 2021</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(Unaudited)</w:t>
            </w:r>
          </w:p>
        </w:tc>
        <w:tc>
          <w:tcPr>
            <w:tcW w:w="5040" w:type="dxa"/>
            <w:vAlign w:val="bottom"/>
            <w:tcBorders>
              <w:top w:val="single" w:sz="8" w:color="0000EE"/>
            </w:tcBorders>
            <w:gridSpan w:val="13"/>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Cash Flows for the six months ended June 30,</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8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2022 and 2021 (Unaudited)</w:t>
            </w:r>
          </w:p>
        </w:tc>
        <w:tc>
          <w:tcPr>
            <w:tcW w:w="2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gridSpan w:val="22"/>
          </w:tcPr>
          <w:p>
            <w:pPr>
              <w:spacing w:after="0"/>
              <w:rPr>
                <w:sz w:val="20"/>
                <w:szCs w:val="20"/>
                <w:color w:val="auto"/>
              </w:rPr>
            </w:pPr>
            <w:r>
              <w:rPr>
                <w:rFonts w:ascii="Arial" w:cs="Arial" w:eastAsia="Arial" w:hAnsi="Arial"/>
                <w:sz w:val="18"/>
                <w:szCs w:val="18"/>
                <w:color w:val="0000EE"/>
              </w:rPr>
              <w:t>Notes to Condensed Consolidated Financial Statements (Unaudited)</w:t>
            </w: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399"/>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2.</w:t>
            </w:r>
          </w:p>
        </w:tc>
        <w:tc>
          <w:tcPr>
            <w:tcW w:w="760" w:type="dxa"/>
            <w:vAlign w:val="bottom"/>
            <w:gridSpan w:val="5"/>
          </w:tcPr>
          <w:p>
            <w:pPr>
              <w:spacing w:after="0"/>
              <w:rPr>
                <w:sz w:val="24"/>
                <w:szCs w:val="24"/>
                <w:color w:val="auto"/>
              </w:rPr>
            </w:pPr>
          </w:p>
        </w:tc>
        <w:tc>
          <w:tcPr>
            <w:tcW w:w="61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Management</w:t>
            </w:r>
            <w:r>
              <w:rPr>
                <w:rFonts w:ascii="Times New Roman" w:cs="Times New Roman" w:eastAsia="Times New Roman" w:hAnsi="Times New Roman"/>
                <w:sz w:val="18"/>
                <w:szCs w:val="18"/>
                <w:color w:val="0000EE"/>
                <w:w w:val="99"/>
              </w:rPr>
              <w:t>’</w:t>
            </w:r>
            <w:r>
              <w:rPr>
                <w:rFonts w:ascii="Arial" w:cs="Arial" w:eastAsia="Arial" w:hAnsi="Arial"/>
                <w:sz w:val="18"/>
                <w:szCs w:val="18"/>
                <w:color w:val="0000EE"/>
                <w:w w:val="99"/>
              </w:rPr>
              <w:t>s Discussion and Analysis of Financial Condition and Results of</w:t>
            </w:r>
          </w:p>
        </w:tc>
        <w:tc>
          <w:tcPr>
            <w:tcW w:w="780" w:type="dxa"/>
            <w:vAlign w:val="bottom"/>
            <w:gridSpan w:val="3"/>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Operations</w:t>
            </w:r>
          </w:p>
        </w:tc>
        <w:tc>
          <w:tcPr>
            <w:tcW w:w="5940" w:type="dxa"/>
            <w:vAlign w:val="bottom"/>
            <w:gridSpan w:val="18"/>
          </w:tcPr>
          <w:p>
            <w:pPr>
              <w:spacing w:after="0"/>
              <w:rPr>
                <w:sz w:val="17"/>
                <w:szCs w:val="17"/>
                <w:color w:val="auto"/>
              </w:rPr>
            </w:pPr>
          </w:p>
        </w:tc>
      </w:tr>
      <w:tr>
        <w:trPr>
          <w:trHeight w:val="385"/>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7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240" w:type="dxa"/>
            <w:vAlign w:val="bottom"/>
            <w:gridSpan w:val="8"/>
          </w:tcPr>
          <w:p>
            <w:pPr>
              <w:spacing w:after="0"/>
              <w:rPr>
                <w:sz w:val="24"/>
                <w:szCs w:val="24"/>
                <w:color w:val="auto"/>
              </w:rPr>
            </w:pPr>
          </w:p>
        </w:tc>
      </w:tr>
      <w:tr>
        <w:trPr>
          <w:trHeight w:val="399"/>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4.</w:t>
            </w:r>
          </w:p>
        </w:tc>
        <w:tc>
          <w:tcPr>
            <w:tcW w:w="760" w:type="dxa"/>
            <w:vAlign w:val="bottom"/>
            <w:gridSpan w:val="5"/>
          </w:tcPr>
          <w:p>
            <w:pPr>
              <w:spacing w:after="0"/>
              <w:rPr>
                <w:sz w:val="24"/>
                <w:szCs w:val="24"/>
                <w:color w:val="auto"/>
              </w:rPr>
            </w:pP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Controls and Procedures</w:t>
            </w:r>
          </w:p>
        </w:tc>
        <w:tc>
          <w:tcPr>
            <w:tcW w:w="4960" w:type="dxa"/>
            <w:vAlign w:val="bottom"/>
            <w:gridSpan w:val="11"/>
          </w:tcPr>
          <w:p>
            <w:pPr>
              <w:spacing w:after="0"/>
              <w:rPr>
                <w:sz w:val="24"/>
                <w:szCs w:val="24"/>
                <w:color w:val="auto"/>
              </w:rPr>
            </w:pPr>
          </w:p>
        </w:tc>
      </w:tr>
      <w:tr>
        <w:trPr>
          <w:trHeight w:val="398"/>
        </w:trPr>
        <w:tc>
          <w:tcPr>
            <w:tcW w:w="1240" w:type="dxa"/>
            <w:vAlign w:val="bottom"/>
            <w:gridSpan w:val="7"/>
          </w:tcPr>
          <w:p>
            <w:pPr>
              <w:spacing w:after="0"/>
              <w:rPr>
                <w:sz w:val="20"/>
                <w:szCs w:val="20"/>
                <w:color w:val="auto"/>
              </w:rPr>
            </w:pPr>
            <w:r>
              <w:rPr>
                <w:rFonts w:ascii="Arial" w:cs="Arial" w:eastAsia="Arial" w:hAnsi="Arial"/>
                <w:sz w:val="18"/>
                <w:szCs w:val="18"/>
                <w:b w:val="1"/>
                <w:bCs w:val="1"/>
                <w:color w:val="0000EE"/>
              </w:rPr>
              <w:t>Part II</w:t>
            </w:r>
          </w:p>
        </w:tc>
        <w:tc>
          <w:tcPr>
            <w:tcW w:w="6960" w:type="dxa"/>
            <w:vAlign w:val="bottom"/>
            <w:gridSpan w:val="22"/>
          </w:tcPr>
          <w:p>
            <w:pPr>
              <w:spacing w:after="0"/>
              <w:rPr>
                <w:sz w:val="20"/>
                <w:szCs w:val="20"/>
                <w:color w:val="auto"/>
              </w:rPr>
            </w:pPr>
            <w:r>
              <w:rPr>
                <w:rFonts w:ascii="Arial" w:cs="Arial" w:eastAsia="Arial" w:hAnsi="Arial"/>
                <w:sz w:val="18"/>
                <w:szCs w:val="18"/>
                <w:b w:val="1"/>
                <w:bCs w:val="1"/>
                <w:color w:val="0000EE"/>
              </w:rPr>
              <w:t>Other Information</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1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Legal Proceedings</w:t>
            </w:r>
          </w:p>
        </w:tc>
        <w:tc>
          <w:tcPr>
            <w:tcW w:w="5440" w:type="dxa"/>
            <w:vAlign w:val="bottom"/>
            <w:gridSpan w:val="15"/>
          </w:tcPr>
          <w:p>
            <w:pPr>
              <w:spacing w:after="0"/>
              <w:rPr>
                <w:sz w:val="24"/>
                <w:szCs w:val="24"/>
                <w:color w:val="auto"/>
              </w:rPr>
            </w:pPr>
          </w:p>
        </w:tc>
      </w:tr>
      <w:tr>
        <w:trPr>
          <w:trHeight w:val="399"/>
        </w:trPr>
        <w:tc>
          <w:tcPr>
            <w:tcW w:w="660" w:type="dxa"/>
            <w:vAlign w:val="bottom"/>
            <w:gridSpan w:val="4"/>
          </w:tcPr>
          <w:p>
            <w:pPr>
              <w:spacing w:after="0"/>
              <w:rPr>
                <w:sz w:val="20"/>
                <w:szCs w:val="20"/>
                <w:color w:val="auto"/>
              </w:rPr>
            </w:pPr>
            <w:r>
              <w:rPr>
                <w:rFonts w:ascii="Arial" w:cs="Arial" w:eastAsia="Arial" w:hAnsi="Arial"/>
                <w:sz w:val="18"/>
                <w:szCs w:val="18"/>
                <w:color w:val="0000EE"/>
                <w:w w:val="95"/>
              </w:rPr>
              <w:t>Item 1A.</w:t>
            </w:r>
          </w:p>
        </w:tc>
        <w:tc>
          <w:tcPr>
            <w:tcW w:w="580" w:type="dxa"/>
            <w:vAlign w:val="bottom"/>
            <w:gridSpan w:val="3"/>
          </w:tcPr>
          <w:p>
            <w:pPr>
              <w:spacing w:after="0"/>
              <w:rPr>
                <w:sz w:val="24"/>
                <w:szCs w:val="24"/>
                <w:color w:val="auto"/>
              </w:rPr>
            </w:pPr>
          </w:p>
        </w:tc>
        <w:tc>
          <w:tcPr>
            <w:tcW w:w="6960" w:type="dxa"/>
            <w:vAlign w:val="bottom"/>
            <w:gridSpan w:val="22"/>
          </w:tcPr>
          <w:p>
            <w:pPr>
              <w:spacing w:after="0"/>
              <w:rPr>
                <w:sz w:val="20"/>
                <w:szCs w:val="20"/>
                <w:color w:val="auto"/>
              </w:rPr>
            </w:pPr>
            <w:r>
              <w:rPr>
                <w:rFonts w:ascii="Arial" w:cs="Arial" w:eastAsia="Arial" w:hAnsi="Arial"/>
                <w:sz w:val="18"/>
                <w:szCs w:val="18"/>
                <w:color w:val="0000EE"/>
              </w:rPr>
              <w:t>Risk Factors</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2.</w:t>
            </w:r>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48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2100" w:type="dxa"/>
            <w:vAlign w:val="bottom"/>
            <w:gridSpan w:val="7"/>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25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Defaults Upon Senior Securities</w:t>
            </w:r>
          </w:p>
        </w:tc>
        <w:tc>
          <w:tcPr>
            <w:tcW w:w="4400" w:type="dxa"/>
            <w:vAlign w:val="bottom"/>
            <w:gridSpan w:val="9"/>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Mine Safety Disclosures</w:t>
            </w:r>
          </w:p>
        </w:tc>
        <w:tc>
          <w:tcPr>
            <w:tcW w:w="5020" w:type="dxa"/>
            <w:vAlign w:val="bottom"/>
            <w:gridSpan w:val="12"/>
          </w:tcPr>
          <w:p>
            <w:pPr>
              <w:spacing w:after="0"/>
              <w:rPr>
                <w:sz w:val="24"/>
                <w:szCs w:val="24"/>
                <w:color w:val="auto"/>
              </w:rPr>
            </w:pPr>
          </w:p>
        </w:tc>
      </w:tr>
      <w:tr>
        <w:trPr>
          <w:trHeight w:val="399"/>
        </w:trPr>
        <w:tc>
          <w:tcPr>
            <w:tcW w:w="560" w:type="dxa"/>
            <w:vAlign w:val="bottom"/>
            <w:gridSpan w:val="3"/>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6960" w:type="dxa"/>
            <w:vAlign w:val="bottom"/>
            <w:gridSpan w:val="22"/>
          </w:tcPr>
          <w:p>
            <w:pPr>
              <w:spacing w:after="0"/>
              <w:rPr>
                <w:sz w:val="20"/>
                <w:szCs w:val="20"/>
                <w:color w:val="auto"/>
              </w:rPr>
            </w:pPr>
            <w:r>
              <w:rPr>
                <w:rFonts w:ascii="Arial" w:cs="Arial" w:eastAsia="Arial" w:hAnsi="Arial"/>
                <w:sz w:val="18"/>
                <w:szCs w:val="18"/>
                <w:color w:val="0000EE"/>
              </w:rPr>
              <w:t>Other Information</w:t>
            </w:r>
          </w:p>
        </w:tc>
      </w:tr>
      <w:tr>
        <w:trPr>
          <w:trHeight w:val="398"/>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79"/>
              </w:rPr>
              <w:t>Item 6.</w:t>
            </w:r>
          </w:p>
        </w:tc>
        <w:tc>
          <w:tcPr>
            <w:tcW w:w="8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4"/>
          </w:tcPr>
          <w:p>
            <w:pPr>
              <w:spacing w:after="0"/>
              <w:rPr>
                <w:sz w:val="24"/>
                <w:szCs w:val="24"/>
                <w:color w:val="auto"/>
              </w:rPr>
            </w:pPr>
          </w:p>
        </w:tc>
        <w:tc>
          <w:tcPr>
            <w:tcW w:w="5560" w:type="dxa"/>
            <w:vAlign w:val="bottom"/>
            <w:gridSpan w:val="16"/>
          </w:tcPr>
          <w:p>
            <w:pPr>
              <w:spacing w:after="0"/>
              <w:rPr>
                <w:sz w:val="24"/>
                <w:szCs w:val="24"/>
                <w:color w:val="auto"/>
              </w:rPr>
            </w:pPr>
          </w:p>
        </w:tc>
      </w:tr>
      <w:tr>
        <w:trPr>
          <w:trHeight w:val="398"/>
        </w:trPr>
        <w:tc>
          <w:tcPr>
            <w:tcW w:w="1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Exhibit Index</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color w:val="0000EE"/>
              </w:rPr>
              <w:t>Signatures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4"/>
        </w:trPr>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14"/>
          </w:tcPr>
          <w:p>
            <w:pPr>
              <w:ind w:left="3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19</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8240" w:space="340"/>
            <w:col w:w="43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the impact of the ongoing and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spacing w:after="0" w:line="18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2021, which are summarized below. Moreover, we operate in an evolving environment. New risk factors and uncertainties may emerge from time to time, and it is not possible for management to predict all risk factors and uncertainties.</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94"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our Annual Report on Form 10-K for the year ended December 31, 2021. You should carefully consider these risks and uncertainties when investing in our common stock. The principal risks and uncertainties affecting our business include, but are not limited to, the following:</w:t>
      </w:r>
    </w:p>
    <w:p>
      <w:pPr>
        <w:spacing w:after="0" w:line="174"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6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(four of whom are affiliated with our principal stockholders) own a significant percentage of our stock and are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jc w:val="both"/>
        <w:ind w:left="720" w:right="8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obtain market acceptance in the U.S. for Barostim would negatively impact our business, liquidity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959" w:hanging="319"/>
        <w:spacing w:after="0" w:line="274"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limited commercial sales experience marketing and selling Barostim, and if we are unable to establish and maintain sales and marketing capabilities, we will be unable to successfully commercialize Barostim or generate sustained and increasing product revenue;</w:t>
      </w:r>
    </w:p>
    <w:p>
      <w:pPr>
        <w:spacing w:after="0" w:line="45"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must demonstrate to physicians and patients the merits of Barostim;</w:t>
      </w:r>
    </w:p>
    <w:p>
      <w:pPr>
        <w:spacing w:after="0" w:line="116" w:lineRule="exact"/>
        <w:rPr>
          <w:rFonts w:ascii="Times New Roman" w:cs="Times New Roman" w:eastAsia="Times New Roman" w:hAnsi="Times New Roman"/>
          <w:sz w:val="18"/>
          <w:szCs w:val="18"/>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payors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73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8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and price fluctuations, which could harm our business;</w:t>
      </w:r>
    </w:p>
    <w:p>
      <w:pPr>
        <w:spacing w:after="0" w:line="62"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5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including the outbreak of the novel strain of coronavirus disease, COVID-19, could adversely affect our business;</w:t>
      </w:r>
    </w:p>
    <w:p>
      <w:pPr>
        <w:spacing w:after="0" w:line="62"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1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efficacy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66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121,346</w:t>
            </w: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142,072</w:t>
            </w:r>
          </w:p>
        </w:tc>
        <w:tc>
          <w:tcPr>
            <w:tcW w:w="0" w:type="dxa"/>
            <w:vAlign w:val="bottom"/>
          </w:tcPr>
          <w:p>
            <w:pPr>
              <w:spacing w:after="0"/>
              <w:rPr>
                <w:sz w:val="1"/>
                <w:szCs w:val="1"/>
                <w:color w:val="auto"/>
              </w:rPr>
            </w:pPr>
          </w:p>
        </w:tc>
      </w:tr>
      <w:tr>
        <w:trPr>
          <w:trHeight w:val="203"/>
        </w:trPr>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3,601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03"/>
        </w:trPr>
        <w:tc>
          <w:tcPr>
            <w:tcW w:w="66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131,936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151,097</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134,037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152,548</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5,301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196"/>
        </w:trPr>
        <w:tc>
          <w:tcPr>
            <w:tcW w:w="666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5,909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6,891</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Commitments and contingencies (Notes 5 and 10)</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line="183" w:lineRule="exact"/>
              <w:rPr>
                <w:sz w:val="20"/>
                <w:szCs w:val="20"/>
                <w:color w:val="auto"/>
              </w:rPr>
            </w:pPr>
            <w:r>
              <w:rPr>
                <w:rFonts w:ascii="Arial" w:cs="Arial" w:eastAsia="Arial" w:hAnsi="Arial"/>
                <w:sz w:val="18"/>
                <w:szCs w:val="18"/>
                <w:color w:val="auto"/>
              </w:rPr>
              <w:t>Common stock, $0.01 par value, 200,000,000 authorized as of June 30, 2022 and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December 31, 2021; 20,576,149 and 20,399,337 shares issued and outstanding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60" w:type="dxa"/>
            <w:vAlign w:val="bottom"/>
          </w:tcPr>
          <w:p>
            <w:pPr>
              <w:spacing w:after="0"/>
              <w:rPr>
                <w:sz w:val="20"/>
                <w:szCs w:val="20"/>
                <w:color w:val="auto"/>
              </w:rPr>
            </w:pPr>
            <w:r>
              <w:rPr>
                <w:rFonts w:ascii="Arial" w:cs="Arial" w:eastAsia="Arial" w:hAnsi="Arial"/>
                <w:sz w:val="18"/>
                <w:szCs w:val="18"/>
                <w:color w:val="auto"/>
              </w:rPr>
              <w:t>as of June 30, 2022 and December 31, 2021, respectively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542,967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540,707</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(415,816)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(394,754)</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127,146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145,959</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134,037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152,548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Six months ended</w:t>
            </w:r>
          </w:p>
        </w:tc>
      </w:tr>
      <w:tr>
        <w:trPr>
          <w:trHeight w:val="178"/>
        </w:trPr>
        <w:tc>
          <w:tcPr>
            <w:tcW w:w="3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5,983</w:t>
            </w:r>
          </w:p>
        </w:tc>
      </w:tr>
      <w:tr>
        <w:trPr>
          <w:trHeight w:val="203"/>
        </w:trPr>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1,780</w:t>
            </w:r>
          </w:p>
        </w:tc>
      </w:tr>
      <w:tr>
        <w:trPr>
          <w:trHeight w:val="196"/>
        </w:trPr>
        <w:tc>
          <w:tcPr>
            <w:tcW w:w="39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6,957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4,203</w:t>
            </w:r>
          </w:p>
        </w:tc>
      </w:tr>
      <w:tr>
        <w:trPr>
          <w:trHeight w:val="196"/>
        </w:trPr>
        <w:tc>
          <w:tcPr>
            <w:tcW w:w="39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3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4,005</w:t>
            </w:r>
          </w:p>
        </w:tc>
      </w:tr>
      <w:tr>
        <w:trPr>
          <w:trHeight w:val="203"/>
        </w:trPr>
        <w:tc>
          <w:tcPr>
            <w:tcW w:w="39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12,489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5,627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23,266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10,087</w:t>
            </w:r>
          </w:p>
        </w:tc>
      </w:tr>
      <w:tr>
        <w:trPr>
          <w:trHeight w:val="196"/>
        </w:trPr>
        <w:tc>
          <w:tcPr>
            <w:tcW w:w="39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27,879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14,092</w:t>
            </w:r>
          </w:p>
        </w:tc>
      </w:tr>
      <w:tr>
        <w:trPr>
          <w:trHeight w:val="196"/>
        </w:trPr>
        <w:tc>
          <w:tcPr>
            <w:tcW w:w="394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(11,014)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(5,672)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(20,922)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(9,889)</w:t>
            </w: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w:t>
            </w:r>
          </w:p>
        </w:tc>
      </w:tr>
      <w:tr>
        <w:trPr>
          <w:trHeight w:val="203"/>
        </w:trPr>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(11,442)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(15,234)</w:t>
            </w:r>
          </w:p>
        </w:tc>
      </w:tr>
      <w:tr>
        <w:trPr>
          <w:trHeight w:val="196"/>
        </w:trPr>
        <w:tc>
          <w:tcPr>
            <w:tcW w:w="39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(17,722)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(26,332)</w:t>
            </w:r>
          </w:p>
        </w:tc>
      </w:tr>
      <w:tr>
        <w:trPr>
          <w:trHeight w:val="203"/>
        </w:trPr>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r>
      <w:tr>
        <w:trPr>
          <w:trHeight w:val="196"/>
        </w:trPr>
        <w:tc>
          <w:tcPr>
            <w:tcW w:w="39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(11,071)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(26,375)</w:t>
            </w:r>
          </w:p>
        </w:tc>
      </w:tr>
      <w:tr>
        <w:trPr>
          <w:trHeight w:val="203"/>
        </w:trPr>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r>
      <w:tr>
        <w:trPr>
          <w:trHeight w:val="196"/>
        </w:trPr>
        <w:tc>
          <w:tcPr>
            <w:tcW w:w="39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(11,078)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(17,749)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(21,075)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(26,380)</w:t>
            </w:r>
          </w:p>
        </w:tc>
      </w:tr>
      <w:tr>
        <w:trPr>
          <w:trHeight w:val="196"/>
        </w:trPr>
        <w:tc>
          <w:tcPr>
            <w:tcW w:w="394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(0.54)</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(48.48)</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(72.58)</w:t>
            </w:r>
          </w:p>
        </w:tc>
      </w:tr>
      <w:tr>
        <w:trPr>
          <w:trHeight w:val="184"/>
        </w:trPr>
        <w:tc>
          <w:tcPr>
            <w:tcW w:w="39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compute net loss per share, basic and diluted</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20,505,228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366,066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20,479,427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363,397</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8"/>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20" w:type="dxa"/>
            <w:vAlign w:val="bottom"/>
          </w:tcPr>
          <w:p>
            <w:pPr>
              <w:spacing w:after="0"/>
              <w:rPr>
                <w:sz w:val="11"/>
                <w:szCs w:val="11"/>
                <w:color w:val="auto"/>
              </w:rPr>
            </w:pPr>
          </w:p>
        </w:tc>
        <w:tc>
          <w:tcPr>
            <w:tcW w:w="1560" w:type="dxa"/>
            <w:vAlign w:val="bottom"/>
            <w:gridSpan w:val="7"/>
            <w:vMerge w:val="restart"/>
          </w:tcPr>
          <w:p>
            <w:pPr>
              <w:ind w:left="24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1"/>
                <w:szCs w:val="11"/>
                <w:color w:val="auto"/>
              </w:rPr>
            </w:pPr>
          </w:p>
        </w:tc>
        <w:tc>
          <w:tcPr>
            <w:tcW w:w="7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Additional</w:t>
            </w:r>
          </w:p>
        </w:tc>
        <w:tc>
          <w:tcPr>
            <w:tcW w:w="94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84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8"/>
          </w:tcPr>
          <w:p>
            <w:pPr>
              <w:jc w:val="center"/>
              <w:ind w:right="160"/>
              <w:spacing w:after="0"/>
              <w:rPr>
                <w:sz w:val="20"/>
                <w:szCs w:val="20"/>
                <w:color w:val="auto"/>
              </w:rPr>
            </w:pPr>
            <w:r>
              <w:rPr>
                <w:rFonts w:ascii="Arial" w:cs="Arial" w:eastAsia="Arial" w:hAnsi="Arial"/>
                <w:sz w:val="13"/>
                <w:szCs w:val="13"/>
                <w:b w:val="1"/>
                <w:bCs w:val="1"/>
                <w:color w:val="auto"/>
                <w:w w:val="97"/>
              </w:rPr>
              <w:t>preferred stock</w:t>
            </w:r>
          </w:p>
        </w:tc>
        <w:tc>
          <w:tcPr>
            <w:tcW w:w="20" w:type="dxa"/>
            <w:vAlign w:val="bottom"/>
          </w:tcPr>
          <w:p>
            <w:pPr>
              <w:spacing w:after="0"/>
              <w:rPr>
                <w:sz w:val="13"/>
                <w:szCs w:val="13"/>
                <w:color w:val="auto"/>
              </w:rPr>
            </w:pPr>
          </w:p>
        </w:tc>
        <w:tc>
          <w:tcPr>
            <w:tcW w:w="1560" w:type="dxa"/>
            <w:vAlign w:val="bottom"/>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8"/>
              </w:rPr>
              <w:t>paid-in</w:t>
            </w:r>
          </w:p>
        </w:tc>
        <w:tc>
          <w:tcPr>
            <w:tcW w:w="940" w:type="dxa"/>
            <w:vAlign w:val="bottom"/>
            <w:gridSpan w:val="5"/>
            <w:vMerge w:val="continue"/>
          </w:tcPr>
          <w:p>
            <w:pPr>
              <w:spacing w:after="0"/>
              <w:rPr>
                <w:sz w:val="13"/>
                <w:szCs w:val="13"/>
                <w:color w:val="auto"/>
              </w:rPr>
            </w:pPr>
          </w:p>
        </w:tc>
        <w:tc>
          <w:tcPr>
            <w:tcW w:w="10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8"/>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260"/>
              <w:spacing w:after="0" w:line="129" w:lineRule="exact"/>
              <w:rPr>
                <w:sz w:val="20"/>
                <w:szCs w:val="20"/>
                <w:color w:val="auto"/>
              </w:rPr>
            </w:pPr>
            <w:r>
              <w:rPr>
                <w:rFonts w:ascii="Arial" w:cs="Arial" w:eastAsia="Arial" w:hAnsi="Arial"/>
                <w:sz w:val="13"/>
                <w:szCs w:val="13"/>
                <w:b w:val="1"/>
                <w:bCs w:val="1"/>
                <w:color w:val="auto"/>
                <w:w w:val="97"/>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80"/>
              <w:spacing w:after="0" w:line="129" w:lineRule="exact"/>
              <w:rPr>
                <w:sz w:val="20"/>
                <w:szCs w:val="20"/>
                <w:color w:val="auto"/>
              </w:rPr>
            </w:pPr>
            <w:r>
              <w:rPr>
                <w:rFonts w:ascii="Arial" w:cs="Arial" w:eastAsia="Arial" w:hAnsi="Arial"/>
                <w:sz w:val="13"/>
                <w:szCs w:val="13"/>
                <w:b w:val="1"/>
                <w:bCs w:val="1"/>
                <w:color w:val="auto"/>
                <w:w w:val="93"/>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9"/>
              </w:rPr>
              <w:t>loss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7"/>
              </w:rPr>
              <w:t>(deficit)</w:t>
            </w:r>
          </w:p>
        </w:tc>
        <w:tc>
          <w:tcPr>
            <w:tcW w:w="0" w:type="dxa"/>
            <w:vAlign w:val="bottom"/>
          </w:tcPr>
          <w:p>
            <w:pPr>
              <w:spacing w:after="0"/>
              <w:rPr>
                <w:sz w:val="1"/>
                <w:szCs w:val="1"/>
                <w:color w:val="auto"/>
              </w:rPr>
            </w:pPr>
          </w:p>
        </w:tc>
      </w:tr>
      <w:tr>
        <w:trPr>
          <w:trHeight w:val="128"/>
        </w:trPr>
        <w:tc>
          <w:tcPr>
            <w:tcW w:w="1980" w:type="dxa"/>
            <w:vAlign w:val="bottom"/>
            <w:tcBorders>
              <w:top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March 31, 2022</w:t>
            </w:r>
          </w:p>
        </w:tc>
        <w:tc>
          <w:tcPr>
            <w:tcW w:w="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20,486,971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541,547</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(404,745)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8"/>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136,803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20" w:type="dxa"/>
            <w:vAlign w:val="bottom"/>
          </w:tcPr>
          <w:p>
            <w:pPr>
              <w:spacing w:after="0"/>
              <w:rPr>
                <w:sz w:val="11"/>
                <w:szCs w:val="11"/>
                <w:color w:val="auto"/>
              </w:rPr>
            </w:pPr>
          </w:p>
        </w:tc>
        <w:tc>
          <w:tcPr>
            <w:tcW w:w="9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31,497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8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3"/>
                <w:szCs w:val="13"/>
                <w:color w:val="auto"/>
              </w:rPr>
              <w:t>Proceeds from Employee Stock</w:t>
            </w: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57,681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20" w:type="dxa"/>
            <w:vAlign w:val="bottom"/>
          </w:tcPr>
          <w:p>
            <w:pPr>
              <w:spacing w:after="0"/>
              <w:rPr>
                <w:sz w:val="11"/>
                <w:szCs w:val="11"/>
                <w:color w:val="auto"/>
              </w:rPr>
            </w:pPr>
          </w:p>
        </w:tc>
        <w:tc>
          <w:tcPr>
            <w:tcW w:w="9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1,100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8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3"/>
                <w:szCs w:val="13"/>
                <w:color w:val="auto"/>
              </w:rPr>
              <w:t>Net loss for the three months</w:t>
            </w: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ended June 30, 2022</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(11,071)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80" w:type="dxa"/>
            <w:vAlign w:val="bottom"/>
            <w:gridSpan w:val="2"/>
          </w:tcPr>
          <w:p>
            <w:pPr>
              <w:ind w:left="20"/>
              <w:spacing w:after="0" w:line="117" w:lineRule="exact"/>
              <w:rPr>
                <w:sz w:val="20"/>
                <w:szCs w:val="20"/>
                <w:color w:val="auto"/>
              </w:rPr>
            </w:pPr>
            <w:r>
              <w:rPr>
                <w:rFonts w:ascii="Arial" w:cs="Arial" w:eastAsia="Arial" w:hAnsi="Arial"/>
                <w:sz w:val="13"/>
                <w:szCs w:val="13"/>
                <w:color w:val="auto"/>
              </w:rPr>
              <w:t>Cumulative translation</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80" w:type="dxa"/>
            <w:vAlign w:val="bottom"/>
            <w:gridSpan w:val="2"/>
          </w:tcPr>
          <w:p>
            <w:pPr>
              <w:ind w:left="20"/>
              <w:spacing w:after="0"/>
              <w:rPr>
                <w:sz w:val="20"/>
                <w:szCs w:val="20"/>
                <w:color w:val="auto"/>
              </w:rPr>
            </w:pPr>
            <w:r>
              <w:rPr>
                <w:rFonts w:ascii="Arial" w:cs="Arial" w:eastAsia="Arial" w:hAnsi="Arial"/>
                <w:sz w:val="13"/>
                <w:szCs w:val="13"/>
                <w:color w:val="auto"/>
              </w:rPr>
              <w:t>adjustment</w:t>
            </w:r>
          </w:p>
        </w:tc>
        <w:tc>
          <w:tcPr>
            <w:tcW w:w="2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28"/>
        </w:trPr>
        <w:tc>
          <w:tcPr>
            <w:tcW w:w="198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June 30, 2022</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20,576,149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542,967</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(415,816)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jc w:val="right"/>
              <w:ind w:right="8"/>
              <w:spacing w:after="0" w:line="129"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127,146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March 31, 2021</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223,541,754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329,983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365,274</w:t>
            </w:r>
          </w:p>
        </w:tc>
        <w:tc>
          <w:tcPr>
            <w:tcW w:w="14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58,687</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(360,303)</w:t>
            </w:r>
          </w:p>
        </w:tc>
        <w:tc>
          <w:tcPr>
            <w:tcW w:w="12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(301,806)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20" w:type="dxa"/>
            <w:vAlign w:val="bottom"/>
          </w:tcPr>
          <w:p>
            <w:pPr>
              <w:spacing w:after="0"/>
              <w:rPr>
                <w:sz w:val="11"/>
                <w:szCs w:val="11"/>
                <w:color w:val="auto"/>
              </w:rPr>
            </w:pPr>
          </w:p>
        </w:tc>
        <w:tc>
          <w:tcPr>
            <w:tcW w:w="9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1,068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80" w:type="dxa"/>
            <w:vAlign w:val="bottom"/>
            <w:gridSpan w:val="2"/>
          </w:tcPr>
          <w:p>
            <w:pPr>
              <w:ind w:left="20"/>
              <w:spacing w:after="0" w:line="117" w:lineRule="exact"/>
              <w:rPr>
                <w:sz w:val="20"/>
                <w:szCs w:val="20"/>
                <w:color w:val="auto"/>
              </w:rPr>
            </w:pPr>
            <w:r>
              <w:rPr>
                <w:rFonts w:ascii="Arial" w:cs="Arial" w:eastAsia="Arial" w:hAnsi="Arial"/>
                <w:sz w:val="13"/>
                <w:szCs w:val="13"/>
                <w:color w:val="auto"/>
              </w:rPr>
              <w:t>Net loss for the three months</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80" w:type="dxa"/>
            <w:vAlign w:val="bottom"/>
            <w:gridSpan w:val="2"/>
          </w:tcPr>
          <w:p>
            <w:pPr>
              <w:ind w:left="20"/>
              <w:spacing w:after="0"/>
              <w:rPr>
                <w:sz w:val="20"/>
                <w:szCs w:val="20"/>
                <w:color w:val="auto"/>
              </w:rPr>
            </w:pPr>
            <w:r>
              <w:rPr>
                <w:rFonts w:ascii="Arial" w:cs="Arial" w:eastAsia="Arial" w:hAnsi="Arial"/>
                <w:sz w:val="13"/>
                <w:szCs w:val="13"/>
                <w:color w:val="auto"/>
              </w:rPr>
              <w:t>ended June 30, 2021</w:t>
            </w:r>
          </w:p>
        </w:tc>
        <w:tc>
          <w:tcPr>
            <w:tcW w:w="2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(17,748)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(17,748)</w:t>
            </w:r>
          </w:p>
        </w:tc>
        <w:tc>
          <w:tcPr>
            <w:tcW w:w="0" w:type="dxa"/>
            <w:vAlign w:val="bottom"/>
          </w:tcPr>
          <w:p>
            <w:pPr>
              <w:spacing w:after="0"/>
              <w:rPr>
                <w:sz w:val="1"/>
                <w:szCs w:val="1"/>
                <w:color w:val="auto"/>
              </w:rPr>
            </w:pPr>
          </w:p>
        </w:tc>
      </w:tr>
      <w:tr>
        <w:trPr>
          <w:trHeight w:val="117"/>
        </w:trPr>
        <w:tc>
          <w:tcPr>
            <w:tcW w:w="198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3"/>
                <w:szCs w:val="13"/>
                <w:color w:val="auto"/>
              </w:rPr>
              <w:t>Cumulative translation</w:t>
            </w: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adjustment</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Balances as of June 30, 2021</w:t>
            </w:r>
          </w:p>
        </w:tc>
        <w:tc>
          <w:tcPr>
            <w:tcW w:w="7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9"/>
              </w:rPr>
              <w:t>223,541,754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329,983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366,342</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59,311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(378,051)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(195)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jc w:val="right"/>
              <w:ind w:right="8"/>
              <w:spacing w:after="0" w:line="129"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(318,931)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5"/>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8"/>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20" w:type="dxa"/>
            <w:vAlign w:val="bottom"/>
          </w:tcPr>
          <w:p>
            <w:pPr>
              <w:spacing w:after="0"/>
              <w:rPr>
                <w:sz w:val="11"/>
                <w:szCs w:val="11"/>
                <w:color w:val="auto"/>
              </w:rPr>
            </w:pPr>
          </w:p>
        </w:tc>
        <w:tc>
          <w:tcPr>
            <w:tcW w:w="1560" w:type="dxa"/>
            <w:vAlign w:val="bottom"/>
            <w:gridSpan w:val="7"/>
            <w:vMerge w:val="restart"/>
          </w:tcPr>
          <w:p>
            <w:pPr>
              <w:ind w:left="24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1"/>
                <w:szCs w:val="11"/>
                <w:color w:val="auto"/>
              </w:rPr>
            </w:pPr>
          </w:p>
        </w:tc>
        <w:tc>
          <w:tcPr>
            <w:tcW w:w="7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Additional</w:t>
            </w:r>
          </w:p>
        </w:tc>
        <w:tc>
          <w:tcPr>
            <w:tcW w:w="94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8"/>
              </w:rPr>
              <w:t>other</w:t>
            </w:r>
          </w:p>
        </w:tc>
        <w:tc>
          <w:tcPr>
            <w:tcW w:w="8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8"/>
          </w:tcPr>
          <w:p>
            <w:pPr>
              <w:jc w:val="center"/>
              <w:ind w:right="160"/>
              <w:spacing w:after="0"/>
              <w:rPr>
                <w:sz w:val="20"/>
                <w:szCs w:val="20"/>
                <w:color w:val="auto"/>
              </w:rPr>
            </w:pPr>
            <w:r>
              <w:rPr>
                <w:rFonts w:ascii="Arial" w:cs="Arial" w:eastAsia="Arial" w:hAnsi="Arial"/>
                <w:sz w:val="13"/>
                <w:szCs w:val="13"/>
                <w:b w:val="1"/>
                <w:bCs w:val="1"/>
                <w:color w:val="auto"/>
                <w:w w:val="97"/>
              </w:rPr>
              <w:t>preferred stock</w:t>
            </w:r>
          </w:p>
        </w:tc>
        <w:tc>
          <w:tcPr>
            <w:tcW w:w="20" w:type="dxa"/>
            <w:vAlign w:val="bottom"/>
          </w:tcPr>
          <w:p>
            <w:pPr>
              <w:spacing w:after="0"/>
              <w:rPr>
                <w:sz w:val="13"/>
                <w:szCs w:val="13"/>
                <w:color w:val="auto"/>
              </w:rPr>
            </w:pPr>
          </w:p>
        </w:tc>
        <w:tc>
          <w:tcPr>
            <w:tcW w:w="1560" w:type="dxa"/>
            <w:vAlign w:val="bottom"/>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8"/>
              </w:rPr>
              <w:t>paid-in</w:t>
            </w:r>
          </w:p>
        </w:tc>
        <w:tc>
          <w:tcPr>
            <w:tcW w:w="940" w:type="dxa"/>
            <w:vAlign w:val="bottom"/>
            <w:gridSpan w:val="5"/>
            <w:vMerge w:val="continue"/>
          </w:tcPr>
          <w:p>
            <w:pPr>
              <w:spacing w:after="0"/>
              <w:rPr>
                <w:sz w:val="13"/>
                <w:szCs w:val="13"/>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6"/>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7"/>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80"/>
              <w:spacing w:after="0" w:line="129" w:lineRule="exact"/>
              <w:rPr>
                <w:sz w:val="20"/>
                <w:szCs w:val="20"/>
                <w:color w:val="auto"/>
              </w:rPr>
            </w:pPr>
            <w:r>
              <w:rPr>
                <w:rFonts w:ascii="Arial" w:cs="Arial" w:eastAsia="Arial" w:hAnsi="Arial"/>
                <w:sz w:val="13"/>
                <w:szCs w:val="13"/>
                <w:b w:val="1"/>
                <w:bCs w:val="1"/>
                <w:color w:val="auto"/>
                <w:w w:val="93"/>
              </w:rPr>
              <w:t>deficit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9"/>
              </w:rPr>
              <w:t>loss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3"/>
              </w:rPr>
              <w:t>(deficit)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96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color w:val="auto"/>
              </w:rPr>
              <w:t>Balances as of</w:t>
            </w:r>
          </w:p>
        </w:tc>
        <w:tc>
          <w:tcPr>
            <w:tcW w:w="2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December 31, 2021</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20,399,337</w:t>
            </w:r>
          </w:p>
        </w:tc>
        <w:tc>
          <w:tcPr>
            <w:tcW w:w="1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540,707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(394,754)</w:t>
            </w:r>
          </w:p>
        </w:tc>
        <w:tc>
          <w:tcPr>
            <w:tcW w:w="12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145,959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20" w:type="dxa"/>
            <w:vAlign w:val="bottom"/>
          </w:tcPr>
          <w:p>
            <w:pPr>
              <w:spacing w:after="0"/>
              <w:rPr>
                <w:sz w:val="11"/>
                <w:szCs w:val="11"/>
                <w:color w:val="auto"/>
              </w:rPr>
            </w:pPr>
          </w:p>
        </w:tc>
        <w:tc>
          <w:tcPr>
            <w:tcW w:w="9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119,131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Proceeds from Employee Stock</w:t>
            </w: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Purchase Plan</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57,681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line="135" w:lineRule="exact"/>
              <w:rPr>
                <w:sz w:val="20"/>
                <w:szCs w:val="20"/>
                <w:color w:val="auto"/>
              </w:rPr>
            </w:pPr>
            <w:r>
              <w:rPr>
                <w:rFonts w:ascii="Arial" w:cs="Arial" w:eastAsia="Arial" w:hAnsi="Arial"/>
                <w:sz w:val="13"/>
                <w:szCs w:val="13"/>
                <w:color w:val="auto"/>
              </w:rPr>
              <w:t>Employee stock compensation</w:t>
            </w:r>
          </w:p>
        </w:tc>
        <w:tc>
          <w:tcPr>
            <w:tcW w:w="20" w:type="dxa"/>
            <w:vAlign w:val="bottom"/>
          </w:tcPr>
          <w:p>
            <w:pPr>
              <w:spacing w:after="0"/>
              <w:rPr>
                <w:sz w:val="11"/>
                <w:szCs w:val="11"/>
                <w:color w:val="auto"/>
              </w:rPr>
            </w:pPr>
          </w:p>
        </w:tc>
        <w:tc>
          <w:tcPr>
            <w:tcW w:w="9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1,893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1,893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Net loss for the six months</w:t>
            </w: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ended June 30, 2022</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(21,062)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(21,062)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tcPr>
          <w:p>
            <w:pPr>
              <w:spacing w:after="0" w:line="117" w:lineRule="exact"/>
              <w:rPr>
                <w:sz w:val="20"/>
                <w:szCs w:val="20"/>
                <w:color w:val="auto"/>
              </w:rPr>
            </w:pPr>
            <w:r>
              <w:rPr>
                <w:rFonts w:ascii="Arial" w:cs="Arial" w:eastAsia="Arial" w:hAnsi="Arial"/>
                <w:sz w:val="13"/>
                <w:szCs w:val="13"/>
                <w:color w:val="auto"/>
              </w:rPr>
              <w:t>Cumulative translation</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80" w:type="dxa"/>
            <w:vAlign w:val="bottom"/>
            <w:gridSpan w:val="2"/>
          </w:tcPr>
          <w:p>
            <w:pPr>
              <w:ind w:left="20"/>
              <w:spacing w:after="0"/>
              <w:rPr>
                <w:sz w:val="20"/>
                <w:szCs w:val="20"/>
                <w:color w:val="auto"/>
              </w:rPr>
            </w:pPr>
            <w:r>
              <w:rPr>
                <w:rFonts w:ascii="Arial" w:cs="Arial" w:eastAsia="Arial" w:hAnsi="Arial"/>
                <w:sz w:val="13"/>
                <w:szCs w:val="13"/>
                <w:color w:val="auto"/>
              </w:rPr>
              <w:t>adjustment</w:t>
            </w:r>
          </w:p>
        </w:tc>
        <w:tc>
          <w:tcPr>
            <w:tcW w:w="2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as of June 30, 2022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60" w:type="dxa"/>
            <w:vAlign w:val="bottom"/>
            <w:tcBorders>
              <w:top w:val="single" w:sz="8" w:color="auto"/>
              <w:bottom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20,576,149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206</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542,967</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rPr>
              <w:t>(415,816)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rPr>
              <w:t>(211)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127,146</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9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Balances as of</w:t>
            </w: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December 31, 2020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9"/>
              </w:rPr>
              <w:t>223,541,754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329,983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360,412</w:t>
            </w:r>
          </w:p>
        </w:tc>
        <w:tc>
          <w:tcPr>
            <w:tcW w:w="1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58,624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(351,676)</w:t>
            </w:r>
          </w:p>
        </w:tc>
        <w:tc>
          <w:tcPr>
            <w:tcW w:w="12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(190)</w:t>
            </w:r>
          </w:p>
        </w:tc>
        <w:tc>
          <w:tcPr>
            <w:tcW w:w="1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(293,238)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20" w:type="dxa"/>
            <w:vAlign w:val="bottom"/>
          </w:tcPr>
          <w:p>
            <w:pPr>
              <w:spacing w:after="0"/>
              <w:rPr>
                <w:sz w:val="11"/>
                <w:szCs w:val="11"/>
                <w:color w:val="auto"/>
              </w:rPr>
            </w:pPr>
          </w:p>
        </w:tc>
        <w:tc>
          <w:tcPr>
            <w:tcW w:w="9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5,930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2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tcPr>
          <w:p>
            <w:pPr>
              <w:spacing w:after="0" w:line="117" w:lineRule="exact"/>
              <w:rPr>
                <w:sz w:val="20"/>
                <w:szCs w:val="20"/>
                <w:color w:val="auto"/>
              </w:rPr>
            </w:pPr>
            <w:r>
              <w:rPr>
                <w:rFonts w:ascii="Arial" w:cs="Arial" w:eastAsia="Arial" w:hAnsi="Arial"/>
                <w:sz w:val="13"/>
                <w:szCs w:val="13"/>
                <w:color w:val="auto"/>
              </w:rPr>
              <w:t>Net loss for the six months</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80" w:type="dxa"/>
            <w:vAlign w:val="bottom"/>
            <w:gridSpan w:val="2"/>
          </w:tcPr>
          <w:p>
            <w:pPr>
              <w:ind w:left="20"/>
              <w:spacing w:after="0"/>
              <w:rPr>
                <w:sz w:val="20"/>
                <w:szCs w:val="20"/>
                <w:color w:val="auto"/>
              </w:rPr>
            </w:pPr>
            <w:r>
              <w:rPr>
                <w:rFonts w:ascii="Arial" w:cs="Arial" w:eastAsia="Arial" w:hAnsi="Arial"/>
                <w:sz w:val="13"/>
                <w:szCs w:val="13"/>
                <w:color w:val="auto"/>
              </w:rPr>
              <w:t>ended June 30, 2021</w:t>
            </w:r>
          </w:p>
        </w:tc>
        <w:tc>
          <w:tcPr>
            <w:tcW w:w="2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(26,375)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(26,375)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Cumulative translation</w:t>
            </w: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adjustment</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as of June 30, 2021</w:t>
            </w:r>
          </w:p>
        </w:tc>
        <w:tc>
          <w:tcPr>
            <w:tcW w:w="2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223,541,754</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329,983</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366,342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59,311</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(378,051)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(195)</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(318,931)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(21,062)</w:t>
            </w:r>
          </w:p>
        </w:tc>
        <w:tc>
          <w:tcPr>
            <w:tcW w:w="40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(26,375)</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02"/>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fair value of convertible preferred stock warrants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15,140</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(1,954)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(1,080)</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(20,740)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2"/>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(480)</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(11,984)</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142,072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59,112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121,346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47,128</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r>
      <w:tr>
        <w:trPr>
          <w:trHeight w:val="239"/>
        </w:trPr>
        <w:tc>
          <w:tcPr>
            <w:tcW w:w="62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6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180"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condensed consolidated financial statements include the accounts of CVRx, Inc., its wholly owned subsidiary, CVRx Switzerland LLC, and its sales branch in Italy. All intercompany balances and transactions have been eliminated in consolidation.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June 30, 2022 and December 31, 2021, cash equivalents consisted of money market funds, which are stated at cost and approximate fair value.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do not record an allowance on our trade accounts receivable but monitor the collectability of individual customer accounts on an ongoing basis.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The Company sells its products primarily through a direct sales force and to a lesser extent through a combination of sales agents and independent distributors. The Company’s revenue consists primarily of the sale of its Barostim, which consists of two implantable components: a pulse generator and a stimulation lead.</w:t>
      </w:r>
    </w:p>
    <w:p>
      <w:pPr>
        <w:spacing w:after="0" w:line="15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 xml:space="preserve">Under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 We account for forfeitures as they occur. We expense the fair value of our equity-based compensation awards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granted to employees on a straight-line basis over the associated service period, which is generally the period in which the related services are received.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 xml:space="preserve">On January 1, 2022, the Company adopted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utilizing the alternative modified retrospective transition approach. Under the alternative modified retrospective transition approach, the reported results for 2022 reflect the application of Topic 842 guidance, whereas comparative periods and their respective disclosures prior to the adoption of Topic 842 are presented using the legacy guidance of ASC 840. As a result of adopting the new standard, the Company recognized ROU assets of $579,000 and lease liabilities of $561,000 as of January 1, 2022. The lease liabilities represent the present value of the remaining lease payments, discounted using the Company’s incremental borrowing rate as of January 1, 2022. The corresponding ROU assets are recorded based on the lease liabilities and the cumulative difference between rent expense and the amounts paid under the lease. The Company did not elect any practical expedients.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2,455</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1,593</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2,626</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5,834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6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3,635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679"/>
        <w:spacing w:after="0" w:line="301" w:lineRule="auto"/>
        <w:rPr>
          <w:sz w:val="20"/>
          <w:szCs w:val="20"/>
          <w:color w:val="auto"/>
        </w:rPr>
      </w:pPr>
      <w:r>
        <w:rPr>
          <w:rFonts w:ascii="Arial" w:cs="Arial" w:eastAsia="Arial" w:hAnsi="Arial"/>
          <w:sz w:val="17"/>
          <w:szCs w:val="17"/>
          <w:color w:val="auto"/>
        </w:rPr>
        <w:t>Depreciation expense was $95,000 and $37,000 for the three months ended June 30, 2022 and 2021, respectively, and $157,000 and $70,000 for the six months ended June 30, 2022 and 2021, respectively.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Clinical trial and other professional fees</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Bonuses</w:t>
            </w: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1,610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541</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5,301</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60" w:type="dxa"/>
            <w:vAlign w:val="bottom"/>
            <w:vMerge w:val="restart"/>
          </w:tcPr>
          <w:p>
            <w:pPr>
              <w:jc w:val="right"/>
              <w:ind w:right="197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7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Fair value measurements</w:t>
      </w:r>
    </w:p>
    <w:p>
      <w:pPr>
        <w:spacing w:after="0" w:line="21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Fair value is defined as the price that would be received upon the sale of an asset or paid to transfer a liability in an orderly transaction between market participants on the measurement date. Valuation techniques used to measure fair value maximize the use of observable inputs and minimize the use of unobservable inputs. The fair value hierarchy defines a three-level valuation hierarchy for disclosure of fair value measurements as follows:</w:t>
      </w:r>
    </w:p>
    <w:p>
      <w:pPr>
        <w:spacing w:after="0" w:line="176"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1 — Inputs are quoted prices in active markets for identical assets or liabilities.</w:t>
      </w:r>
    </w:p>
    <w:p>
      <w:pPr>
        <w:spacing w:after="0" w:line="224" w:lineRule="exact"/>
        <w:rPr>
          <w:rFonts w:ascii="Times New Roman" w:cs="Times New Roman" w:eastAsia="Times New Roman" w:hAnsi="Times New Roman"/>
          <w:sz w:val="18"/>
          <w:szCs w:val="18"/>
          <w:color w:val="auto"/>
        </w:rPr>
      </w:pPr>
    </w:p>
    <w:p>
      <w:pPr>
        <w:ind w:left="380" w:right="299" w:hanging="330"/>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70"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3 — Inputs are unobservable for the asset or liability.</w:t>
      </w:r>
    </w:p>
    <w:p>
      <w:pPr>
        <w:spacing w:after="0" w:line="224"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color w:val="auto"/>
        </w:rPr>
        <w:t>There was no convertible preferred stock warranty liability as of the periods ended June 30, 2022 and December 31, 2021.</w:t>
      </w:r>
    </w:p>
    <w:p>
      <w:pPr>
        <w:spacing w:after="0" w:line="14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Company’s recurring fair value measurements using significant unobservable inputs (Level 3) related solely to the Company’s convertible preferred stock warrant liability. The convertible preferred stock warrant liability was remeasured at each financial reporting period with any changes in fair value being recognized as a component of other expense, net in the condensed consolidated statements of operations and comprehensive loss. In connection with the closing of the initial public offering (“IPO”), all of the outstanding convertible preferred stock warrants were converted to common stock warrants. The related liability was remeasured at the time of the IPO and reclassed to additional paid-in capital.</w:t>
      </w:r>
    </w:p>
    <w:p>
      <w:pPr>
        <w:spacing w:after="0" w:line="185"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The following table sets forth a summary of changes in the estimated fair value of the Company’s convertible preferred stock warrants during the six months ended:</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the period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3"/>
        </w:trPr>
        <w:tc>
          <w:tcPr>
            <w:tcW w:w="6880" w:type="dxa"/>
            <w:vAlign w:val="bottom"/>
          </w:tcPr>
          <w:p>
            <w:pPr>
              <w:ind w:left="100"/>
              <w:spacing w:after="0" w:line="202" w:lineRule="exact"/>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15,140</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Conversion to common stock warrants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End of the period</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0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19,051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There were no transfers in or out of Level 1, Level 2 or Level 3 fair value measurements during the periods ended June 30, 2022 and 2021.</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lease 23,890 square feet of office space in Minneapolis, Minnesota, which houses our principal executive offices and our manufacturing facility. We lease this space under an operating lease agreement that commenced December 1, 2008 and expires July 31, 2024. We intend to add new facilities as we grow, and we believe that suitable additional or substitute space will be available as needed to accommodate any such expansion of our operations. Our operating lease agreement includes an option to renew for one additional period of five years. The exercise of the lease renewal option is at our sole discretion and was not included in the lease term for the calculation of the ROU asset and lease liability upon adoption of ASC 842 on January 1, 2022, as it is not reasonably certain of exercise.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 addition to base rent, we will also pay our proportionate share of operating expenses, as defined in the lease. These payments will be made monthly and will be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76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June 30, 2022:</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6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1"/>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73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76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6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left="60" w:right="359"/>
        <w:spacing w:after="0" w:line="271" w:lineRule="auto"/>
        <w:rPr>
          <w:sz w:val="20"/>
          <w:szCs w:val="20"/>
          <w:color w:val="auto"/>
        </w:rPr>
      </w:pPr>
      <w:r>
        <w:rPr>
          <w:rFonts w:ascii="Arial" w:cs="Arial" w:eastAsia="Arial" w:hAnsi="Arial"/>
          <w:sz w:val="18"/>
          <w:szCs w:val="18"/>
          <w:color w:val="auto"/>
        </w:rPr>
        <w:t>As of June 30, 2022, the remaining lease term was 2.1 years and the discount rate was 5.0%. The operating cash outflows from our operating lease were $0.6 million for the six months ended June 30, 2022.</w:t>
      </w:r>
    </w:p>
    <w:p>
      <w:pPr>
        <w:spacing w:after="0" w:line="3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1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On July 2, 2021, the Company closed its IPO of 8,050,000 shares of its common stock at a public offering price of $18.00 per share, which included 1,050,000 shares of common stock issued upon the exercise in full by the underwriters of their option to purchase additional shares, for net proceeds from the IPO, after deducting the underwriting discount and other offering expenses payable by the Company totaling $1.6 million, of $133.2 million.</w:t>
      </w:r>
    </w:p>
    <w:p>
      <w:pPr>
        <w:spacing w:after="0" w:line="17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Upon the closing of the IPO, all shares of convertible preferred stock were automatically converted into common stock. Series G convertible preferred stock was converted into common stock on a 15.819-for-1 basis, and all other shares of convertible preferred stock were automatically converted into common stock on a 39.548-for-1 basis. The conversion of the outstanding preferred stock resulted in an aggregate of 11,929,584 shares of common stock.</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Reverse Stock Split</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connection with the IPO, the Company’s Board of Directors and stockholders approved a 1-for-39.548 reverse stock split of the Company’s common stock. The reverse stock split became effective on June 22, 2021. The par value of the common stock was not adjusted as a result of the reverse stock split. Adjustments corresponding to the reverse stock split were made to the ratio at which the convertible preferred stock converted into common stock in connection with the closing of the IPO. Accordingly, all share and per-share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amounts for all periods presented in these financial statements and notes thereto have been adjusted retroactively, where applicable, to reflect the reverse stock split and the adjustment of the conversion ratio of the convertible preferred stock.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connection with the IPO, the warrants to purchase shares of convertible preferred stock automatically converted into warrants to purchase common stock, resulting in the reclassification of the related convertible preferred stock warrant liability to additional paid-in capital. Upon the closing of the IPO, these warrants to purchase convertible preferred stock became exercisable for 716,131 shares of common stock upon conversion at a weighted average exercise price of $2.39 per share.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connection with the IPO in 2021, the Company’s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will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1,019,967 shares being reserved for issuance under the 2021 Plan as of January 1, 2022.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June 30, 2022, there were 1,850,346 shares available for future issuance under the 2021 Plan.</w:t>
      </w:r>
    </w:p>
    <w:p>
      <w:pPr>
        <w:spacing w:after="0" w:line="186"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the Company’s common stock on the date of grant.</w:t>
      </w:r>
    </w:p>
    <w:p>
      <w:pPr>
        <w:spacing w:after="0" w:line="15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years 2008 through June 30, 2022, the Board of Directors authorized the grant of stock options for the purchase of shares of common stock to the employers of certain non-employee directors. The options were not granted under the 2001 Plan or the 2021 Plan, but terms are substantially the same as the Company’s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left="386"/>
              <w:spacing w:after="0"/>
              <w:rPr>
                <w:sz w:val="20"/>
                <w:szCs w:val="20"/>
                <w:color w:val="auto"/>
              </w:rPr>
            </w:pPr>
            <w:r>
              <w:rPr>
                <w:rFonts w:ascii="Arial" w:cs="Arial" w:eastAsia="Arial" w:hAnsi="Arial"/>
                <w:sz w:val="14"/>
                <w:szCs w:val="14"/>
                <w:b w:val="1"/>
                <w:bCs w:val="1"/>
                <w:color w:val="auto"/>
              </w:rPr>
              <w:t>Aggregate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left="386"/>
              <w:spacing w:after="0"/>
              <w:rPr>
                <w:sz w:val="20"/>
                <w:szCs w:val="20"/>
                <w:color w:val="auto"/>
              </w:rPr>
            </w:pPr>
            <w:r>
              <w:rPr>
                <w:rFonts w:ascii="Arial" w:cs="Arial" w:eastAsia="Arial" w:hAnsi="Arial"/>
                <w:sz w:val="14"/>
                <w:szCs w:val="14"/>
                <w:b w:val="1"/>
                <w:bCs w:val="1"/>
                <w:color w:val="auto"/>
              </w:rPr>
              <w:t>Intrinsic</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660" w:type="dxa"/>
            <w:vAlign w:val="bottom"/>
          </w:tcPr>
          <w:p>
            <w:pPr>
              <w:spacing w:after="0"/>
              <w:rPr>
                <w:sz w:val="16"/>
                <w:szCs w:val="16"/>
                <w:color w:val="auto"/>
              </w:rPr>
            </w:pPr>
          </w:p>
        </w:tc>
        <w:tc>
          <w:tcPr>
            <w:tcW w:w="560" w:type="dxa"/>
            <w:vAlign w:val="bottom"/>
          </w:tcPr>
          <w:p>
            <w:pPr>
              <w:jc w:val="center"/>
              <w:ind w:right="104"/>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2,749,441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spacing w:after="0"/>
              <w:rPr>
                <w:sz w:val="20"/>
                <w:szCs w:val="20"/>
                <w:color w:val="auto"/>
              </w:rPr>
            </w:pPr>
            <w:r>
              <w:rPr>
                <w:rFonts w:ascii="Arial" w:cs="Arial" w:eastAsia="Arial" w:hAnsi="Arial"/>
                <w:sz w:val="16"/>
                <w:szCs w:val="16"/>
                <w:color w:val="auto"/>
              </w:rPr>
              <w:t>1,062,318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7.56</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 / Forfeited</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(240,548)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(119,131)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0.62</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as of June 30, 2022</w:t>
            </w: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3,452,080</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8.18</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gridSpan w:val="2"/>
            <w:shd w:val="clear" w:color="auto" w:fill="CCEEFF"/>
          </w:tcPr>
          <w:p>
            <w:pPr>
              <w:jc w:val="right"/>
              <w:ind w:right="384"/>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4,095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Options exercisable as of June 30, 2022</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5.50</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1,417,978</w:t>
            </w:r>
          </w:p>
        </w:tc>
        <w:tc>
          <w:tcPr>
            <w:tcW w:w="2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560" w:type="dxa"/>
            <w:vAlign w:val="bottom"/>
          </w:tcPr>
          <w:p>
            <w:pPr>
              <w:jc w:val="right"/>
              <w:ind w:right="38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As of June 30, 2022, stock options outstanding included 8,796 options that were not granted under the 2001 Plan or the 2021 Plan. For options outstanding as of June 30, 2022, the weighted average remaining contractual life was 8.0 years. For options exercisable as of June 30, 2022, the weighted average remaining contractual life was 6.8 years.</w:t>
      </w:r>
    </w:p>
    <w:p>
      <w:pPr>
        <w:spacing w:after="0" w:line="17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connection with the IPO, the Company’s Board of Directors and stockholders also established an Employee Stock Purchase Plan (the “ESPP”). The number of shares of common stock initially reserved for issuance under the ESPP was 278,170. The shares available for issuance under the ESPP will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annual increase resulted in an additional 203,993 shares being reserved for issuance under the ESPP as of January 1, 2022. The ESPP will permit certain of the Company’s U.S. employees to purchase shares of the Company’s common stock at a price per share not less than 85% of the lower of (i) the closing market price per share of the Company’s common stock on the first day of the applicable purchase period or (ii) the closing market price per share of the Company’s common stock on the purchase date at the end of the applicable six-month purchase period. The first purchase date under the ESPP was June 30, 2022. Accordingly, as of June 30, 2022, 57,681 shares of common stock have been purchased under the ESPP for $0.3 million of employee contributions. As of June 30, 2022, there were 424,482 shares available for issuance under the ESPP.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Company uses the Black-Scholes option pricing model to determine the fair value of stock options and ESPP purchase rights on the grant date. The Company measures stock-based compensation expense based on the grant date fair value of the award and recognizes compensation expense over the requisite service period, which is 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59"/>
        <w:spacing w:after="0" w:line="271" w:lineRule="auto"/>
        <w:rPr>
          <w:sz w:val="20"/>
          <w:szCs w:val="20"/>
          <w:color w:val="auto"/>
        </w:rPr>
      </w:pPr>
      <w:r>
        <w:rPr>
          <w:rFonts w:ascii="Arial" w:cs="Arial" w:eastAsia="Arial" w:hAnsi="Arial"/>
          <w:sz w:val="18"/>
          <w:szCs w:val="18"/>
          <w:color w:val="auto"/>
        </w:rPr>
        <w:t>compensation expense recognized for ESPP purchase rights during a period is based on the estimated purchase rights as of the grant date. The Company accounts for forfeitures as they occur.</w:t>
      </w:r>
    </w:p>
    <w:p>
      <w:pPr>
        <w:spacing w:after="0" w:line="154" w:lineRule="exact"/>
        <w:rPr>
          <w:sz w:val="20"/>
          <w:szCs w:val="20"/>
          <w:color w:val="auto"/>
        </w:rPr>
      </w:pPr>
    </w:p>
    <w:p>
      <w:pPr>
        <w:ind w:left="60" w:right="319"/>
        <w:spacing w:after="0" w:line="301" w:lineRule="auto"/>
        <w:rPr>
          <w:sz w:val="20"/>
          <w:szCs w:val="20"/>
          <w:color w:val="auto"/>
        </w:rPr>
      </w:pPr>
      <w:r>
        <w:rPr>
          <w:rFonts w:ascii="Arial" w:cs="Arial" w:eastAsia="Arial" w:hAnsi="Arial"/>
          <w:sz w:val="17"/>
          <w:szCs w:val="17"/>
          <w:color w:val="auto"/>
        </w:rPr>
        <w:t>The following table provides the weighted average fair value of options granted to employees and the related assumptions used in the Black-Scholes option pricing model for the six months ended June 30, 2022:</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2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9"/>
                <w:szCs w:val="19"/>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 to 6.1</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1"/>
                <w:szCs w:val="21"/>
                <w:color w:val="auto"/>
              </w:rPr>
            </w:pPr>
          </w:p>
        </w:tc>
      </w:tr>
      <w:tr>
        <w:trPr>
          <w:trHeight w:val="24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to 6.1</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r>
    </w:tbl>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3500" w:type="dxa"/>
            <w:vAlign w:val="bottom"/>
          </w:tcPr>
          <w:p>
            <w:pPr>
              <w:jc w:val="right"/>
              <w:spacing w:after="0"/>
              <w:rPr>
                <w:sz w:val="20"/>
                <w:szCs w:val="20"/>
                <w:color w:val="auto"/>
              </w:rPr>
            </w:pPr>
            <w:r>
              <w:rPr>
                <w:rFonts w:ascii="Arial" w:cs="Arial" w:eastAsia="Arial" w:hAnsi="Arial"/>
                <w:sz w:val="18"/>
                <w:szCs w:val="18"/>
                <w:color w:val="auto"/>
              </w:rPr>
              <w:t>56.3% to 58.6 %</w:t>
            </w:r>
          </w:p>
        </w:tc>
        <w:tc>
          <w:tcPr>
            <w:tcW w:w="1440" w:type="dxa"/>
            <w:vAlign w:val="bottom"/>
          </w:tcPr>
          <w:p>
            <w:pPr>
              <w:jc w:val="right"/>
              <w:spacing w:after="0"/>
              <w:rPr>
                <w:sz w:val="20"/>
                <w:szCs w:val="20"/>
                <w:color w:val="auto"/>
              </w:rPr>
            </w:pPr>
            <w:r>
              <w:rPr>
                <w:rFonts w:ascii="Arial" w:cs="Arial" w:eastAsia="Arial" w:hAnsi="Arial"/>
                <w:sz w:val="18"/>
                <w:szCs w:val="18"/>
                <w:color w:val="auto"/>
              </w:rPr>
              <w:t>61.6 to 63.4 %</w:t>
            </w:r>
          </w:p>
        </w:tc>
      </w:tr>
      <w:tr>
        <w:trPr>
          <w:trHeight w:val="24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1"/>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tcPr>
          <w:p>
            <w:pPr>
              <w:jc w:val="right"/>
              <w:spacing w:after="0"/>
              <w:rPr>
                <w:sz w:val="20"/>
                <w:szCs w:val="20"/>
                <w:color w:val="auto"/>
              </w:rPr>
            </w:pPr>
            <w:r>
              <w:rPr>
                <w:rFonts w:ascii="Arial" w:cs="Arial" w:eastAsia="Arial" w:hAnsi="Arial"/>
                <w:sz w:val="18"/>
                <w:szCs w:val="18"/>
                <w:color w:val="auto"/>
              </w:rPr>
              <w:t>1.75% to 3.07 %</w:t>
            </w:r>
          </w:p>
        </w:tc>
        <w:tc>
          <w:tcPr>
            <w:tcW w:w="1440" w:type="dxa"/>
            <w:vAlign w:val="bottom"/>
          </w:tcPr>
          <w:p>
            <w:pPr>
              <w:jc w:val="right"/>
              <w:spacing w:after="0"/>
              <w:rPr>
                <w:sz w:val="20"/>
                <w:szCs w:val="20"/>
                <w:color w:val="auto"/>
              </w:rPr>
            </w:pPr>
            <w:r>
              <w:rPr>
                <w:rFonts w:ascii="Arial" w:cs="Arial" w:eastAsia="Arial" w:hAnsi="Arial"/>
                <w:sz w:val="18"/>
                <w:szCs w:val="18"/>
                <w:color w:val="auto"/>
              </w:rPr>
              <w:t>0.17% to 0.47 %</w:t>
            </w:r>
          </w:p>
        </w:tc>
      </w:tr>
    </w:tbl>
    <w:p>
      <w:pPr>
        <w:spacing w:after="0" w:line="369" w:lineRule="exact"/>
        <w:rPr>
          <w:sz w:val="20"/>
          <w:szCs w:val="20"/>
          <w:color w:val="auto"/>
        </w:rPr>
      </w:pPr>
    </w:p>
    <w:p>
      <w:pPr>
        <w:jc w:val="both"/>
        <w:ind w:left="60" w:right="919"/>
        <w:spacing w:after="0" w:line="301" w:lineRule="auto"/>
        <w:rPr>
          <w:sz w:val="20"/>
          <w:szCs w:val="20"/>
          <w:color w:val="auto"/>
        </w:rPr>
      </w:pPr>
      <w:r>
        <w:rPr>
          <w:rFonts w:ascii="Arial" w:cs="Arial" w:eastAsia="Arial" w:hAnsi="Arial"/>
          <w:sz w:val="17"/>
          <w:szCs w:val="17"/>
          <w:color w:val="auto"/>
        </w:rPr>
        <w:t>The following table provides the weighted average fair value of ESPP purchase rights and the related assumptions used in the Black-Scholes option pricing model for the six months ended June 30, 2022:</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74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196"/>
        </w:trPr>
        <w:tc>
          <w:tcPr>
            <w:tcW w:w="7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fair value per ESPP purchase right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Expected term (in years) </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180" w:type="dxa"/>
            <w:vAlign w:val="bottom"/>
          </w:tcPr>
          <w:p>
            <w:pPr>
              <w:spacing w:after="0"/>
              <w:rPr>
                <w:sz w:val="17"/>
                <w:szCs w:val="17"/>
                <w:color w:val="auto"/>
              </w:rPr>
            </w:pPr>
          </w:p>
        </w:tc>
      </w:tr>
      <w:tr>
        <w:trPr>
          <w:trHeight w:val="203"/>
        </w:trPr>
        <w:tc>
          <w:tcPr>
            <w:tcW w:w="7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51.3 %</w:t>
            </w: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 %</w:t>
            </w:r>
          </w:p>
        </w:tc>
      </w:tr>
      <w:tr>
        <w:trPr>
          <w:trHeight w:val="203"/>
        </w:trPr>
        <w:tc>
          <w:tcPr>
            <w:tcW w:w="7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0.22 %</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ESPP purchase rights for the six months ended June 30, 2021.</w:t>
      </w:r>
    </w:p>
    <w:p>
      <w:pPr>
        <w:spacing w:after="0" w:line="21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reviews these assumptions on a periodic basis and adjusts them, as necessary. The expected term of a stock option award was determined based on the Company’s analysis of historical exercise behavior while taking into consideration various participant demographics and option characteristics. The expected term of an ESPP purchase right is based on the offering period. We utilize the simplified method to develop the estimate of the expected term. The expected volatility is based upon observed volatility of comparable public 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spacing w:after="0" w:line="180"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4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1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1,893</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0" w:type="dxa"/>
            <w:vAlign w:val="bottom"/>
            <w:vMerge w:val="restart"/>
          </w:tcPr>
          <w:p>
            <w:pPr>
              <w:jc w:val="right"/>
              <w:ind w:right="59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38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As of June 30, 2022, unrecognized compensation expense related to unvested stock-based compensation arrangements was $8.7 million. As of June 30, 2022, the related weighted average period over which the expense is expected to be recognized is approximately 2.8 years.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Early exercise of stock options</w:t>
      </w:r>
    </w:p>
    <w:p>
      <w:pPr>
        <w:spacing w:after="0" w:line="212"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Under the 2001 Plan, the Company has issued options to certain executive officers with early-exercise provisions. The options may be exercised by the holder any time after they are granted. The Company has the right to repurchase, at the original option exercise price, shares issued pursuant to such early-exercise provisions, upon the termination of employment or death of the stockholder. This repurchase right expires based upon the original option vesting schedule. As of June 30, 2022 and 2021, there have been no early exercises and therefore there is no liability recorded for the early exercise of stock options.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As of June 30, 2022 and December 31, 2021, a valuation allowance was recorded against all deferred tax assets due to the Company’s cumulative net loss position. Provision for income taxes for the three months ended June 30, 2022 and 2021 was $23,000 and $26,000, respectively. Provision for income taxes for the six months ended June 30, 2022 and 2021 was $49,000 and $43,000, respectively.</w:t>
      </w:r>
    </w:p>
    <w:p>
      <w:pPr>
        <w:spacing w:after="0" w:line="174"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As of December 31, 2021, the Company had federal and state net operating loss carryforwards (“NOLs”) of approximately $324.8 million and $6.5 million, respectively. The federal NOLs began expiring in 2021 and the state NOLs began expiring in 2020. As of December 31, 2021, the Company had federal and state tax credit carryforwards of approximately $8.9 million and $1.6 million, respectively. The federal tax credit carryforwards began expiring in 2021 and the state tax credit carryforwards will begin expiring in 2028.</w:t>
      </w:r>
    </w:p>
    <w:p>
      <w:pPr>
        <w:spacing w:after="0" w:line="176"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and similar state provisions. The Company has not performed a detailed analysis to determine whether an ownership change has occurred. Such a change of ownership would limit the Company’s utilization of the NOLs and could be triggered by subsequent sales of securities by the Company or its stockholders.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Earnings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ind w:left="40"/>
        <w:spacing w:after="0" w:line="234" w:lineRule="auto"/>
        <w:rPr>
          <w:sz w:val="20"/>
          <w:szCs w:val="20"/>
          <w:color w:val="auto"/>
        </w:rPr>
      </w:pPr>
      <w:r>
        <w:rPr>
          <w:rFonts w:ascii="Arial" w:cs="Arial" w:eastAsia="Arial" w:hAnsi="Arial"/>
          <w:sz w:val="18"/>
          <w:szCs w:val="18"/>
          <w:b w:val="1"/>
          <w:bCs w:val="1"/>
          <w:color w:val="auto"/>
        </w:rPr>
        <w:t>Denominator:</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Weighted average common shares outstanding —  basic and diluted</w:t>
      </w:r>
    </w:p>
    <w:p>
      <w:pPr>
        <w:spacing w:after="0" w:line="1" w:lineRule="exact"/>
        <w:rPr>
          <w:sz w:val="20"/>
          <w:szCs w:val="20"/>
          <w:color w:val="auto"/>
        </w:rPr>
      </w:pPr>
    </w:p>
    <w:p>
      <w:pPr>
        <w:ind w:left="40" w:right="800"/>
        <w:spacing w:after="0" w:line="279" w:lineRule="auto"/>
        <w:rPr>
          <w:sz w:val="20"/>
          <w:szCs w:val="20"/>
          <w:color w:val="auto"/>
        </w:rPr>
      </w:pPr>
      <w:r>
        <w:rPr>
          <w:rFonts w:ascii="Arial" w:cs="Arial" w:eastAsia="Arial" w:hAnsi="Arial"/>
          <w:sz w:val="17"/>
          <w:szCs w:val="17"/>
          <w:color w:val="auto"/>
        </w:rPr>
        <w:t>Net loss per share attributable to common stockholders — basic and diluted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r>
      <w:tr>
        <w:trPr>
          <w:trHeight w:val="155"/>
        </w:trPr>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r>
      <w:tr>
        <w:trPr>
          <w:trHeight w:val="416"/>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(11,071)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(17,748)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(21,062)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(26,375)</w:t>
            </w:r>
          </w:p>
        </w:tc>
      </w:tr>
      <w:tr>
        <w:trPr>
          <w:trHeight w:val="577"/>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20,505,228</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366,066</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20,479,427</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363,397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4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58)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-925195</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-659765</wp:posOffset>
            </wp:positionV>
            <wp:extent cx="564896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-273685</wp:posOffset>
            </wp:positionV>
            <wp:extent cx="564896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4180" w:space="440"/>
            <w:col w:w="4399"/>
          </w:cols>
          <w:pgMar w:left="1440" w:top="513" w:right="1440" w:bottom="1440" w:gutter="0" w:footer="0" w:header="0"/>
          <w:type w:val="continuous"/>
        </w:sectPr>
      </w:pPr>
    </w:p>
    <w:p>
      <w:pPr>
        <w:ind w:left="60" w:right="79"/>
        <w:spacing w:after="0"/>
        <w:rPr>
          <w:sz w:val="20"/>
          <w:szCs w:val="20"/>
          <w:color w:val="auto"/>
        </w:rPr>
      </w:pPr>
      <w:r>
        <w:rPr>
          <w:rFonts w:ascii="Arial" w:cs="Arial" w:eastAsia="Arial" w:hAnsi="Arial"/>
          <w:sz w:val="18"/>
          <w:szCs w:val="18"/>
          <w:color w:val="auto"/>
        </w:rPr>
        <w:t>The Company’s potentially dilutive securities, which include stock options, shares of convertible preferred stock, warrants to purchase shares of convertible preferred stock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w:t>
      </w:r>
    </w:p>
    <w:p>
      <w:pPr>
        <w:sectPr>
          <w:pgSz w:w="11900" w:h="16838" w:orient="portrait"/>
          <w:cols w:equalWidth="0" w:num="1">
            <w:col w:w="9019"/>
          </w:cols>
          <w:pgMar w:left="1440" w:top="513" w:right="1440" w:bottom="1440" w:gutter="0" w:footer="0" w:header="0"/>
          <w:type w:val="continuous"/>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end, from the computation of diluted net loss per share attributable to common stockholders for the periods indicated because including them would have had an anti-dilutive effect:</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12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78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June 30,</w:t>
            </w:r>
          </w:p>
        </w:tc>
      </w:tr>
      <w:tr>
        <w:trPr>
          <w:trHeight w:val="156"/>
        </w:trPr>
        <w:tc>
          <w:tcPr>
            <w:tcW w:w="67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3,452,080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2,654,042</w:t>
            </w:r>
          </w:p>
        </w:tc>
      </w:tr>
      <w:tr>
        <w:trPr>
          <w:trHeight w:val="184"/>
        </w:trPr>
        <w:tc>
          <w:tcPr>
            <w:tcW w:w="6780" w:type="dxa"/>
            <w:vAlign w:val="bottom"/>
          </w:tcPr>
          <w:p>
            <w:pPr>
              <w:spacing w:after="0" w:line="183" w:lineRule="exact"/>
              <w:rPr>
                <w:sz w:val="20"/>
                <w:szCs w:val="20"/>
                <w:color w:val="auto"/>
              </w:rPr>
            </w:pPr>
            <w:r>
              <w:rPr>
                <w:rFonts w:ascii="Arial" w:cs="Arial" w:eastAsia="Arial" w:hAnsi="Arial"/>
                <w:sz w:val="18"/>
                <w:szCs w:val="18"/>
                <w:color w:val="auto"/>
              </w:rPr>
              <w:t>Warrants to purchase redeemable convertible preferred stock (as converted to</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1"/>
        </w:trPr>
        <w:tc>
          <w:tcPr>
            <w:tcW w:w="6780" w:type="dxa"/>
            <w:vAlign w:val="bottom"/>
          </w:tcPr>
          <w:p>
            <w:pPr>
              <w:spacing w:after="0"/>
              <w:rPr>
                <w:sz w:val="20"/>
                <w:szCs w:val="20"/>
                <w:color w:val="auto"/>
              </w:rPr>
            </w:pPr>
            <w:r>
              <w:rPr>
                <w:rFonts w:ascii="Arial" w:cs="Arial" w:eastAsia="Arial" w:hAnsi="Arial"/>
                <w:sz w:val="18"/>
                <w:szCs w:val="18"/>
                <w:color w:val="auto"/>
              </w:rPr>
              <w:t>common stock)</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108,406</w:t>
            </w: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716,131</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 (as converted to common stock)</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11,929,584</w:t>
            </w:r>
          </w:p>
        </w:tc>
      </w:tr>
      <w:tr>
        <w:trPr>
          <w:trHeight w:val="196"/>
        </w:trPr>
        <w:tc>
          <w:tcPr>
            <w:tcW w:w="67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4,168,211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14,692,032</w:t>
            </w:r>
          </w:p>
        </w:tc>
      </w:tr>
      <w:tr>
        <w:trPr>
          <w:trHeight w:val="20"/>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June 30, 2022 or December 31,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Company sponsors a voluntary defined-contribution employee retirement plan (the “401(k) plan”) for its U.S. employees. The 401(k) plan provides that each participant may contribute pre-tax or post-tax compensation up to the statutory limit allowable. Under the 401(k) plan, each participant is fully vested in his or her deferred salary contributions when contributed. The Company does not provide matching contributions to employees.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1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spacing w:after="0" w:line="18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Company derives all its revenues from sales to customers in Europe and the U.S. The following table provides revenue by country for each location accounting for more than 10% of the total revenue for the periods indicated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2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June 30,</w:t>
            </w:r>
          </w:p>
        </w:tc>
      </w:tr>
      <w:tr>
        <w:trPr>
          <w:trHeight w:val="155"/>
        </w:trPr>
        <w:tc>
          <w:tcPr>
            <w:tcW w:w="572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5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$ 3,938</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$ 2,105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$ 6,996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$ 3,717</w:t>
            </w: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1,008</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1,811</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1,907</w:t>
            </w:r>
          </w:p>
        </w:tc>
      </w:tr>
      <w:tr>
        <w:trPr>
          <w:trHeight w:val="202"/>
        </w:trPr>
        <w:tc>
          <w:tcPr>
            <w:tcW w:w="5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359</w:t>
            </w:r>
          </w:p>
        </w:tc>
      </w:tr>
      <w:tr>
        <w:trPr>
          <w:trHeight w:val="196"/>
        </w:trPr>
        <w:tc>
          <w:tcPr>
            <w:tcW w:w="572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$ 5,031</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$ 3,123</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$ 9,107</w:t>
            </w:r>
          </w:p>
        </w:tc>
        <w:tc>
          <w:tcPr>
            <w:tcW w:w="18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$ 5,983</w:t>
            </w:r>
          </w:p>
        </w:tc>
      </w:tr>
      <w:tr>
        <w:trPr>
          <w:trHeight w:val="20"/>
        </w:trPr>
        <w:tc>
          <w:tcPr>
            <w:tcW w:w="5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2022 and December 31, 2021, long-lived assets were located primarily in the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approved by the U.S. Food and Drug Administration (the “FDA”) to improve the symptoms of patients with HFrEF and is CE Marked for HFrEF and resistant hypertension.</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Since our inception we have generated minimal revenue, as our activities have consisted primarily of developing Barostim Therapy, conducting our BeAT-HF pre-market and post-market pivotal studies in the U.S. and filing for regulatory approvals. Our ability to generate revenue from product sales and become profitable will depend on our ability to successfully commercialize Barostim and any product enhancements we may advance in the future. We expect to derive future revenue by expanding our own dedicated salesforce and increasing awareness of Barostim among payors, physicians and patients.</w:t>
      </w:r>
    </w:p>
    <w:p>
      <w:pPr>
        <w:spacing w:after="0" w:line="179"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Our sales and marketing efforts are directed at electrophysiologists, HF specialists,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Barostim. As a result, we have prioritized coverage by the Centers for Medicare and Medicaid Services (“CMS”) while simultaneously developing processes to engage commercial payors. All Medicare Administrative Contractors have retired automatic coverage denial policies for our Current Procedural Terminology codes, thereby allowing hospitals to be paid for the Barostim procedure. Our reimbursement strategy involves continuing to broaden our current coverage and build our in-house market access team to assist patients and physicians in obtaining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Union (“EU”), such as Germany, where annual healthcare budgets for the hospital generally determine the number of patients to be treated and the prices to be paid for the related devices that may be purchased.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68"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From our inception until the IPO, we financed our operations primarily through preferred stock financings, and additionally, from sales of our Barostim products and amounts borrowed under our past credit facilities. We have devoted substantially all of our resources to research and development activities related to Barostim Therapy, including clinical and regulatory initiatives to obtain marketing approval and sales and marketing activities.</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intend to use a portion of the IPO proceeds to continue funding the expansion of our direct sales force and commercial organization related to Barostim in the U.S. We also intend to continue investing in research and development in the near term to improve clinical outcomes, optimize patient adoption and comfort, increase patient access and enhance the physician and patient experience. Longer term, we plan to explore Barostim’s potential to expand its indications for use to other cardiovascular diseases. As a result of these investments and our commercialization efforts, we expect to continue to incur net losses for the next several years, which may require additional funding and could include future equity and debt financings.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Since it was reported to have surfaced in December 2019, a novel strain of coronavirus (“COVID-19”) has spread across the world and has been declared a pandemic by the World Health Organization. Efforts to contain the spread of COVID-19 have been significant and governments around the world, including in the U.S., have implemented severe travel restrictions, social distancing requirements, quarantines, stay-at-home orders and other significant restrictions. As a result, the current COVID-19 pandemic has presented a substantial public health and economic challenge and is affecting hospitals, physicians, patients, communities and business operations, as well as contributing to significant volatility and negative pressure on the U.S. and world economy and in financial markets.</w:t>
      </w:r>
    </w:p>
    <w:p>
      <w:pPr>
        <w:spacing w:after="0" w:line="180"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The COVID-19 pandemic has negatively impacted our business, financial condition and results of operations by decreasing and delaying procedures performed to implant Barostim, and we expect the pandemic will continue to negatively impact our business, financial condition and results of operations. Beginning in March 2020, our revenue was negatively impacted by COVID-19 as healthcare facilities and clinics began restricting in-person access to their clinicians, reducing patient consultations and treatments or temporarily closing their facilities. As a result, substantially all of our then-scheduled procedures were postponed, and numerous other cases could not be scheduled. During May 2020, the widespread shutdown resulted in key physician-society conferences being moved to a virtual setting, which directly impacted our planned commercial launch in the U.S.</w:t>
      </w:r>
    </w:p>
    <w:p>
      <w:pPr>
        <w:spacing w:after="0" w:line="168" w:lineRule="exact"/>
        <w:rPr>
          <w:sz w:val="20"/>
          <w:szCs w:val="20"/>
          <w:color w:val="auto"/>
        </w:rPr>
      </w:pPr>
    </w:p>
    <w:p>
      <w:pPr>
        <w:ind w:left="60" w:right="619"/>
        <w:spacing w:after="0" w:line="253" w:lineRule="auto"/>
        <w:rPr>
          <w:sz w:val="20"/>
          <w:szCs w:val="20"/>
          <w:color w:val="auto"/>
        </w:rPr>
      </w:pPr>
      <w:r>
        <w:rPr>
          <w:rFonts w:ascii="Arial" w:cs="Arial" w:eastAsia="Arial" w:hAnsi="Arial"/>
          <w:sz w:val="18"/>
          <w:szCs w:val="18"/>
          <w:color w:val="auto"/>
        </w:rPr>
        <w:t>In response to the COVID-19 pandemic, we have implemented a variety of measures intended to help us manage its impact while maintaining business continuity to support our customers and patients. These measures include:</w:t>
      </w:r>
    </w:p>
    <w:p>
      <w:pPr>
        <w:spacing w:after="0" w:line="169" w:lineRule="exact"/>
        <w:rPr>
          <w:sz w:val="20"/>
          <w:szCs w:val="20"/>
          <w:color w:val="auto"/>
        </w:rPr>
      </w:pPr>
    </w:p>
    <w:p>
      <w:pPr>
        <w:ind w:left="380" w:right="87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safety protocols, facility enhancements and work-from-home strategies to protect our employees;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Ensuring that our manufacturing and supply chain operations remain intact and operational;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459" w:hanging="330"/>
        <w:spacing w:after="0" w:line="270" w:lineRule="auto"/>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Keeping our workforce intact, including our experienced and specialized U.S. sales and clinical support team;</w:t>
      </w:r>
    </w:p>
    <w:p>
      <w:pPr>
        <w:spacing w:after="0" w:line="154" w:lineRule="exact"/>
        <w:rPr>
          <w:rFonts w:ascii="Times New Roman" w:cs="Times New Roman" w:eastAsia="Times New Roman" w:hAnsi="Times New Roman"/>
          <w:sz w:val="18"/>
          <w:szCs w:val="18"/>
          <w:color w:val="231F20"/>
        </w:rPr>
      </w:pPr>
    </w:p>
    <w:p>
      <w:pPr>
        <w:ind w:left="380" w:right="79" w:hanging="330"/>
        <w:spacing w:after="0" w:line="270" w:lineRule="auto"/>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Implementing virtual physician education programs to support opening new accounts with minimal in person interaction; and</w:t>
      </w:r>
    </w:p>
    <w:p>
      <w:pPr>
        <w:spacing w:after="0" w:line="154" w:lineRule="exact"/>
        <w:rPr>
          <w:rFonts w:ascii="Times New Roman" w:cs="Times New Roman" w:eastAsia="Times New Roman" w:hAnsi="Times New Roman"/>
          <w:sz w:val="18"/>
          <w:szCs w:val="18"/>
          <w:color w:val="231F20"/>
        </w:rPr>
      </w:pPr>
    </w:p>
    <w:p>
      <w:pPr>
        <w:ind w:left="380" w:right="619" w:hanging="330"/>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231F20"/>
        </w:rPr>
        <w:t>Increasing our capital resources through the completion of the IPO, which resulted in net proceeds of $133.2 million.</w:t>
      </w:r>
    </w:p>
    <w:p>
      <w:pPr>
        <w:spacing w:after="0" w:line="15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Our hospital customers in the U.S. and Europe began to gradually perform elective procedures again during the fourth quarter of 2020. We believe the recovery of our business in the fourth quarter of 2020 and through most of fiscal year 2021 is an encouraging sign for when remaining shelter-in-place and hospital limitations are lifted. As the pandemic eased throughout 2021, we experienced the following positive trends:</w:t>
      </w:r>
    </w:p>
    <w:p>
      <w:pPr>
        <w:spacing w:after="0" w:line="174"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Strong physician participation in our virtual educational events;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Expansion into new accounts;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Hospitals accepting patients for elective procedures at closer to pre-pandemic levels in the U.S.</w:t>
      </w:r>
    </w:p>
    <w:p>
      <w:pPr>
        <w:spacing w:after="0" w:line="22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However, procedure volumes were again negatively impacted by the Delta and Omicron variants of COVID-19 in the third and fourth quarters of 2021 and continuing into the first quarter of 2022. By March 2022, and continuing into the second quarter of 2022, implant centers resumed procedures at more normal levels. We believe the challenges resulting from COVID-19 will likely continue for the duration of the pandemic. The extent to which the COVID-19 pandemic impacts our business will depend on future developments, which are highly uncertain and cannot be predicted, including new information that may emerge concerning the severity and spread of COVID-19 and its variants and the actions to contain the spread of COVID-19 and its variants or treat its impact.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payors to build upon reimbursement for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231F20"/>
        </w:rPr>
      </w:pPr>
      <w:r>
        <w:rPr>
          <w:rFonts w:ascii="Arial" w:cs="Arial" w:eastAsia="Arial" w:hAnsi="Arial"/>
          <w:sz w:val="18"/>
          <w:szCs w:val="18"/>
          <w:color w:val="231F20"/>
        </w:rPr>
        <w:t>Investing in research and development to foster innovation and further simplify the Barostim procedure;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ind w:left="60" w:right="219"/>
        <w:spacing w:after="0" w:line="244" w:lineRule="auto"/>
        <w:rPr>
          <w:sz w:val="20"/>
          <w:szCs w:val="20"/>
          <w:color w:val="auto"/>
        </w:rPr>
      </w:pPr>
      <w:r>
        <w:rPr>
          <w:rFonts w:ascii="Arial" w:cs="Arial" w:eastAsia="Arial" w:hAnsi="Arial"/>
          <w:sz w:val="18"/>
          <w:szCs w:val="18"/>
          <w:color w:val="auto"/>
        </w:rPr>
        <w:t>Our U.S. sales have increased since the pre-market approval of Barostim by the FDA in August 2019, and the subsequent reimbursement changes in 2020. We expect to continue to drive increases in revenue through our efforts to increase awareness of Barostim among physicians, patients and payors and by the expansion of our U.S. sales force. As a result, we expect that U.S. sales will continue to account for the majority of our revenue going forward.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17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 related to Barostim in HFrEF.</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We also expect our administrative expenses will increase as we increase our headcount and information technology to support our operations as a public company. Additionally, we anticipate increased expenses related to audit, legal, regulatory and tax-related services associated with maintaining compliance with exchange listing and SEC requirements, director and officer insurance premiums and investor relations costs associated with being a public company. However, we expect our SG&amp;A expenses to decrease as a percentage of revenue as our revenue grows.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debt discount.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Other expense, net consists primarily of the fair value adjustments related to our formerly outstanding convertible preferred stock warrants, which were accounted for as a liability and marked-to-market at each reporting period. The final fair value adjustment of the warrant liability was recorded upon the closing of the IPO in connection with the conversion of the warrants to common stock warrants. Other items include losses on the extinguishment of debt, interest income earned on our cash and cash equivalents and the effect of exchange rates on our foreign currency-denominated asset and liability balances.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41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June 30, 2022, compared to the three months ended June 30, 2021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10"/>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5,031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3,123</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1,201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3,830</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2,210</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76</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2,355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12,489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5,627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6,862</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14,844</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7,882</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6,962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(11,014)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(5,672)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(5,342)</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(608)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8"/>
              </w:rPr>
              <w:t>(11,442)</w:t>
            </w:r>
          </w:p>
        </w:tc>
        <w:tc>
          <w:tcPr>
            <w:tcW w:w="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11,408</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(11,048)</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8"/>
              </w:rPr>
              <w:t>(17,722)</w:t>
            </w:r>
          </w:p>
        </w:tc>
        <w:tc>
          <w:tcPr>
            <w:tcW w:w="1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6,674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2"/>
        </w:trPr>
        <w:tc>
          <w:tcPr>
            <w:tcW w:w="506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(11,071)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 (17,748)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6,677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92"/>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60" w:type="dxa"/>
            <w:vAlign w:val="bottom"/>
            <w:gridSpan w:val="2"/>
          </w:tcPr>
          <w:p>
            <w:pPr>
              <w:ind w:left="20"/>
              <w:spacing w:after="0"/>
              <w:rPr>
                <w:sz w:val="20"/>
                <w:szCs w:val="20"/>
                <w:color w:val="auto"/>
              </w:rPr>
            </w:pPr>
            <w:r>
              <w:rPr>
                <w:rFonts w:ascii="Arial" w:cs="Arial" w:eastAsia="Arial" w:hAnsi="Arial"/>
                <w:sz w:val="18"/>
                <w:szCs w:val="18"/>
                <w:i w:val="1"/>
                <w:iCs w:val="1"/>
                <w:color w:val="auto"/>
              </w:rPr>
              <w:t>Revenue</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gridSpan w:val="9"/>
          </w:tcPr>
          <w:p>
            <w:pPr>
              <w:ind w:left="20"/>
              <w:spacing w:after="0"/>
              <w:rPr>
                <w:sz w:val="20"/>
                <w:szCs w:val="20"/>
                <w:color w:val="auto"/>
              </w:rPr>
            </w:pPr>
            <w:r>
              <w:rPr>
                <w:rFonts w:ascii="Arial" w:cs="Arial" w:eastAsia="Arial" w:hAnsi="Arial"/>
                <w:sz w:val="14"/>
                <w:szCs w:val="14"/>
                <w:b w:val="1"/>
                <w:bCs w:val="1"/>
                <w:color w:val="auto"/>
              </w:rPr>
              <w:t>Revenue by Geography</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6"/>
          </w:tcPr>
          <w:p>
            <w:pPr>
              <w:ind w:left="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860" w:type="dxa"/>
            <w:vAlign w:val="bottom"/>
            <w:gridSpan w:val="4"/>
          </w:tcPr>
          <w:p>
            <w:pPr>
              <w:ind w:left="30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52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$ 3,938</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$ 2,105</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lef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$ 1,833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7"/>
                <w:szCs w:val="17"/>
                <w:color w:val="auto"/>
              </w:rPr>
            </w:pPr>
          </w:p>
        </w:tc>
        <w:tc>
          <w:tcPr>
            <w:tcW w:w="11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1,093</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$ 5,031</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$ 3,123</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left w:val="single" w:sz="8" w:color="CCEEFF"/>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$ 1,908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Revenue was $5.0 million for the three months ended June 30, 2022, an increase of $1.9 million, or 61%, over the three months ended June 30, 2021.</w:t>
      </w:r>
    </w:p>
    <w:p>
      <w:pPr>
        <w:spacing w:after="0" w:line="154"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Revenue generated in the U.S. was $3.9 million for the three months ended June 30, 2022, an increase of $1.8 million, or 87%, over the three months ended June 30, 2021. Total HF revenue units in the U.S. totaled 128 and 67 for the three months ended June 30, 2022 and 2021, respectively.</w:t>
      </w:r>
    </w:p>
    <w:p>
      <w:pPr>
        <w:spacing w:after="0" w:line="169"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HF revenue in the U.S. totaled $3.8 million for the three months ended June 30, 2022, an increase of $1.8 million, or 90%, over the three months ended June 30, 2021. The increase was primarily driven by continued growth as a result of the expansion into new sales territories, new accounts and increased physician and patient awareness of Barostim.</w:t>
      </w:r>
    </w:p>
    <w:p>
      <w:pPr>
        <w:spacing w:after="0" w:line="174"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As of June 30, 2022, we had a total of 71 active implanting centers as compared to 31 as of June 30, 2021. Active implanting centers are customers that have completed at least one commercial HF implant in the last 12 months. As of June 30, 2022, we had a total of 20 sales territories as compared to eight as of June 30, 2021.</w:t>
      </w:r>
    </w:p>
    <w:p>
      <w:pPr>
        <w:spacing w:after="0" w:line="152"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Revenue generated in Europe was $1.1 million for the three months ended June 30, 2022, an increase of $0.1 million, or 7%, over the three months ended June 30, 2021. Total revenue units in Europe were 52 for the three months ended June 30, 2022 as compared to 47 in the prior year period. The slight revenue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301" w:lineRule="auto"/>
        <w:rPr>
          <w:sz w:val="20"/>
          <w:szCs w:val="20"/>
          <w:color w:val="auto"/>
        </w:rPr>
      </w:pPr>
      <w:r>
        <w:rPr>
          <w:rFonts w:ascii="Arial" w:cs="Arial" w:eastAsia="Arial" w:hAnsi="Arial"/>
          <w:sz w:val="17"/>
          <w:szCs w:val="17"/>
          <w:color w:val="auto"/>
        </w:rPr>
        <w:t>increase was primarily due to the lessening impact of the COVID-19 pandemic in Germany, partially offset by an unfavorable currency impact on net sales. As of June 30, 2022, we had a total of six sales territories in Europe.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Cost of goods sold increased $0.3 million, or 32%, to $1.2 million for the three months ended June 30, 2022, compared to the three months ended June 30, 2021. This increase was primarily due to higher sales of Barostim.</w:t>
      </w:r>
    </w:p>
    <w:p>
      <w:pPr>
        <w:spacing w:after="0" w:line="16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Gross profit was $3.8 million for the three months ended June 30, 2022, an increase of $1.6 million, or 73%, over the three months ended June 30, 2021. Gross margin increased to 76% for the three months ended June 30, 2022, compared to 71% for the three months ended June 30, 2021. Gross margin for the three months ended June 30, 2022 was higher due to a decrease in the cost per unit and an increase in the average selling price. This was partially offset by a larger percentage of our revenue units coming from full systems versus battery replacements. New patients receive a full system that includes an IPG and a stimulation lead, which has a lower gross margin than a stand-alone IPG used for a battery replacement.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R&amp;D expenses increased $0.1 million, or 4%, to $2.4 million for the three months ended June 30, 2022, compared to the three months ended June 30, 2021. This change was primarily driven by a $0.4 million increase in compensation expenses, mainly as a result of increased headcount, partially offset by a $0.2 million decrease in consulting expenses and a $0.1 million decrease in non-cash stock-based compensation expense.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SG&amp;A expenses increased $6.9 million, or 122%, to $12.5 million for the three months ended June 30, 2022, compared to the three months ended June 30, 2021. This was primarily driven by a $3.4 million increase in compensation expenses, mainly as a result of increased headcount, a $0.7 million increase in travel expenses, a $0.6 million increase in public company costs, a $0.6 million increase in marketing and advertising expenses associated with the commercialization of Barostim in the U.S., and a $0.5 million increase in non-cash stock-based compensation expense.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Interest expense decreased $0.6 million for the three months ended June 30, 2022, compared to the three months ended June 30, 2021. This decrease was driven by the repayment of the outstanding debt under the loan agreement with Horizon Technology Finance Corporation (the “Horizon loan agreement”) in November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10"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Other expense, net was nominal for the three months ended June 30, 2022, compared to $11.4 million for the three months ended June 30, 2021. The expense in the second quarter of 2021 was primarily driven by the increase in fair value of the convertible preferred stock warrant liability from March 31, 2021 to June 30, 2021. As these preferred stock warrants converted to common stock warrants upon the IPO, there is no longer a change in fair value recorded in other expense, net.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Provision for income taxes was nominal for each of the three months ended June 30, 2022 and June 30, 2021.</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right="9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six months ended June 30, 2022, compared to the six months ended June 30, 2021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11"/>
          </w:tcPr>
          <w:p>
            <w:pPr>
              <w:ind w:left="3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gridSpan w:val="2"/>
            <w:vMerge w:val="continue"/>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9,107</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5,983</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3,124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2,150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1,780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8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6,957</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4,203</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2,754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76</w:t>
            </w:r>
          </w:p>
        </w:tc>
        <w:tc>
          <w:tcPr>
            <w:tcW w:w="280" w:type="dxa"/>
            <w:vAlign w:val="bottom"/>
            <w:gridSpan w:val="2"/>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70</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4,613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4,005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23,266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10,087</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13,179</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27,879</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14,092</w:t>
            </w:r>
          </w:p>
        </w:tc>
        <w:tc>
          <w:tcPr>
            <w:tcW w:w="2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13,787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(20,922)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(9,889)</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(11,033)</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7"/>
                <w:szCs w:val="17"/>
                <w:color w:val="auto"/>
              </w:rPr>
            </w:pP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4"/>
          </w:tcPr>
          <w:p>
            <w:pPr>
              <w:jc w:val="right"/>
              <w:ind w:right="150"/>
              <w:spacing w:after="0" w:line="202" w:lineRule="exact"/>
              <w:rPr>
                <w:sz w:val="20"/>
                <w:szCs w:val="20"/>
                <w:color w:val="auto"/>
              </w:rPr>
            </w:pPr>
            <w:r>
              <w:rPr>
                <w:rFonts w:ascii="Arial" w:cs="Arial" w:eastAsia="Arial" w:hAnsi="Arial"/>
                <w:sz w:val="18"/>
                <w:szCs w:val="18"/>
                <w:color w:val="auto"/>
              </w:rPr>
              <w:t>(1,209)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98"/>
              </w:rPr>
              <w:t>(15,234)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15,143</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gridSpan w:val="2"/>
            <w:vMerge w:val="continue"/>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(21,013)</w:t>
            </w:r>
          </w:p>
        </w:tc>
        <w:tc>
          <w:tcPr>
            <w:tcW w:w="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8"/>
              </w:rPr>
              <w:t>(26,332)</w:t>
            </w:r>
          </w:p>
        </w:tc>
        <w:tc>
          <w:tcPr>
            <w:tcW w:w="2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5,319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2"/>
        </w:trPr>
        <w:tc>
          <w:tcPr>
            <w:tcW w:w="500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 (21,062)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 (26,375)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92"/>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0" w:type="dxa"/>
            <w:vAlign w:val="bottom"/>
            <w:gridSpan w:val="2"/>
          </w:tcPr>
          <w:p>
            <w:pPr>
              <w:ind w:left="20"/>
              <w:spacing w:after="0"/>
              <w:rPr>
                <w:sz w:val="20"/>
                <w:szCs w:val="20"/>
                <w:color w:val="auto"/>
              </w:rPr>
            </w:pPr>
            <w:r>
              <w:rPr>
                <w:rFonts w:ascii="Arial" w:cs="Arial" w:eastAsia="Arial" w:hAnsi="Arial"/>
                <w:sz w:val="18"/>
                <w:szCs w:val="18"/>
                <w:i w:val="1"/>
                <w:iCs w:val="1"/>
                <w:color w:val="auto"/>
              </w:rPr>
              <w:t>Revenue</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60" w:type="dxa"/>
            <w:vAlign w:val="bottom"/>
            <w:gridSpan w:val="10"/>
          </w:tcPr>
          <w:p>
            <w:pPr>
              <w:ind w:left="20"/>
              <w:spacing w:after="0"/>
              <w:rPr>
                <w:sz w:val="20"/>
                <w:szCs w:val="20"/>
                <w:color w:val="auto"/>
              </w:rPr>
            </w:pPr>
            <w:r>
              <w:rPr>
                <w:rFonts w:ascii="Arial" w:cs="Arial" w:eastAsia="Arial" w:hAnsi="Arial"/>
                <w:sz w:val="14"/>
                <w:szCs w:val="14"/>
                <w:b w:val="1"/>
                <w:bCs w:val="1"/>
                <w:color w:val="auto"/>
              </w:rPr>
              <w:t>Revenue by Geography</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36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2"/>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2022</w:t>
            </w:r>
          </w:p>
        </w:tc>
        <w:tc>
          <w:tcPr>
            <w:tcW w:w="920" w:type="dxa"/>
            <w:vAlign w:val="bottom"/>
            <w:tcBorders>
              <w:top w:val="single" w:sz="8" w:color="auto"/>
            </w:tcBorders>
            <w:gridSpan w:val="4"/>
          </w:tcPr>
          <w:p>
            <w:pPr>
              <w:jc w:val="right"/>
              <w:ind w:right="9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$ 6,996</w:t>
            </w: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$ 3,717</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$ 3,279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3"/>
              </w:rPr>
              <w:t>2,111</w:t>
            </w: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2,266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$ 9,107</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$ 5,983</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$ 3,124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0" w:right="99"/>
        <w:spacing w:after="0" w:line="271" w:lineRule="auto"/>
        <w:rPr>
          <w:sz w:val="20"/>
          <w:szCs w:val="20"/>
          <w:color w:val="auto"/>
        </w:rPr>
      </w:pPr>
      <w:r>
        <w:rPr>
          <w:rFonts w:ascii="Arial" w:cs="Arial" w:eastAsia="Arial" w:hAnsi="Arial"/>
          <w:sz w:val="18"/>
          <w:szCs w:val="18"/>
          <w:color w:val="auto"/>
        </w:rPr>
        <w:t>Revenue was $9.1 million for the six months ended June 30, 2022, an increase of $3.1 million, or 52%, over the six months ended June 30, 2021.</w:t>
      </w:r>
    </w:p>
    <w:p>
      <w:pPr>
        <w:spacing w:after="0" w:line="154"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Revenue generated in the U.S. was $7.0 million for the six months ended June 30, 2022, an increase of $3.3 million, or 88%, over the six months ended June 30, 2021. Total HF revenue units in the U.S. totaled 227 and 111 for the six months ended June 30, 2022 and 2021, respectively.</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HF revenue in the U.S. totaled $6.7 million for the six months ended June 30, 2022, an increase of $3.5 million, or 106%, over the six months ended June 30, 2021. The increase was primarily driven by continued growth as a result of the expansion into new sales territories, new accounts and increased physician and patient awareness of Barostim.</w:t>
      </w:r>
    </w:p>
    <w:p>
      <w:pPr>
        <w:spacing w:after="0" w:line="174" w:lineRule="exact"/>
        <w:rPr>
          <w:sz w:val="20"/>
          <w:szCs w:val="20"/>
          <w:color w:val="auto"/>
        </w:rPr>
      </w:pPr>
    </w:p>
    <w:p>
      <w:pPr>
        <w:ind w:left="60" w:right="79"/>
        <w:spacing w:after="0" w:line="266" w:lineRule="auto"/>
        <w:rPr>
          <w:sz w:val="20"/>
          <w:szCs w:val="20"/>
          <w:color w:val="auto"/>
        </w:rPr>
      </w:pPr>
      <w:r>
        <w:rPr>
          <w:rFonts w:ascii="Arial" w:cs="Arial" w:eastAsia="Arial" w:hAnsi="Arial"/>
          <w:sz w:val="17"/>
          <w:szCs w:val="17"/>
          <w:color w:val="auto"/>
        </w:rPr>
        <w:t>Revenue generated in Europe was $2.1 million for the six months ended June 30, 2022, a decrease of $ 0.2 million, or 7%, over the six months ended June 30, 2021. Total revenue units in Europe were 102 for the six months ended June 30, 2022 as compared to 99 in the prior year period. The decrease is due to an unfavorable currency impact on net sales. As of June 30, 2022, the Company had a total of six sales territories in Europe.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159"/>
        <w:spacing w:after="0" w:line="301" w:lineRule="auto"/>
        <w:rPr>
          <w:sz w:val="20"/>
          <w:szCs w:val="20"/>
          <w:color w:val="auto"/>
        </w:rPr>
      </w:pPr>
      <w:r>
        <w:rPr>
          <w:rFonts w:ascii="Arial" w:cs="Arial" w:eastAsia="Arial" w:hAnsi="Arial"/>
          <w:sz w:val="17"/>
          <w:szCs w:val="17"/>
          <w:color w:val="auto"/>
        </w:rPr>
        <w:t>Cost of goods sold increased $0.4 million, or 21%, to $2.2 million for the six months ended June 30, 2022, compared to the six months ended June 30, 2021. This increase was primarily due to higher sales of Barostim.</w:t>
      </w:r>
    </w:p>
    <w:p>
      <w:pPr>
        <w:spacing w:after="0" w:line="131"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Gross profit was $7.0 million for the six months ended June 30, 2022, an increase of $2.8 million, or 66%, over the six months ended June 30, 2021. Gross margin increased to 76% for the six months ended June 30, 2022, compared to 70% for the six months ended June 30, 2021. Gross margin for the six months ended June 30, 2022 was higher due to a decrease in the cost per unit and an increase in the average selling price. This was partially offset by a larger percentage of our revenue units coming from full systems versus battery replacements.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left="60" w:right="839"/>
        <w:spacing w:after="0" w:line="253" w:lineRule="auto"/>
        <w:rPr>
          <w:sz w:val="20"/>
          <w:szCs w:val="20"/>
          <w:color w:val="auto"/>
        </w:rPr>
      </w:pPr>
      <w:r>
        <w:rPr>
          <w:rFonts w:ascii="Arial" w:cs="Arial" w:eastAsia="Arial" w:hAnsi="Arial"/>
          <w:sz w:val="18"/>
          <w:szCs w:val="18"/>
          <w:color w:val="auto"/>
        </w:rPr>
        <w:t>R&amp;D expenses increased $0.6 million, or 15%, to $4.6 million for the six months ended June 30, 2022, compared to the six months ended June 30, 2021. This change was primarily driven by an increase in compensation expenses, mainly as a result of increased headcount.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SG&amp;A expenses increased $13.2 million, or 131%, to $23.3 million for the six months ended June 30, 2022, compared to the six months ended June 30, 2021. This was primarily driven by a $ 6.7 million increase in compensation expenses, mainly as a result of increased headcount, a $1.3 million increase in travel expenses, a $1.3 million increase in public company costs, a $1.2 million increase in marketing and advertising expenses associated with the commercialization of Barostim in the U.S., and a $1.1 million increase in non-cash stock-based compensation expense.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jc w:val="both"/>
        <w:ind w:left="60" w:right="259"/>
        <w:spacing w:after="0" w:line="253" w:lineRule="auto"/>
        <w:rPr>
          <w:sz w:val="20"/>
          <w:szCs w:val="20"/>
          <w:color w:val="auto"/>
        </w:rPr>
      </w:pPr>
      <w:r>
        <w:rPr>
          <w:rFonts w:ascii="Arial" w:cs="Arial" w:eastAsia="Arial" w:hAnsi="Arial"/>
          <w:sz w:val="18"/>
          <w:szCs w:val="18"/>
          <w:color w:val="auto"/>
        </w:rPr>
        <w:t>Interest expense decreased $1.2 million for the six months ended June 30, 2022, compared to the six months ended June 30, 2021. This decrease was driven by the repayment of the outstanding debt under the Horizon loan agreement in November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10" w:lineRule="exact"/>
        <w:rPr>
          <w:sz w:val="20"/>
          <w:szCs w:val="20"/>
          <w:color w:val="auto"/>
        </w:rPr>
      </w:pPr>
    </w:p>
    <w:p>
      <w:pPr>
        <w:jc w:val="both"/>
        <w:ind w:left="60" w:right="119"/>
        <w:spacing w:after="0" w:line="244" w:lineRule="auto"/>
        <w:rPr>
          <w:sz w:val="20"/>
          <w:szCs w:val="20"/>
          <w:color w:val="auto"/>
        </w:rPr>
      </w:pPr>
      <w:r>
        <w:rPr>
          <w:rFonts w:ascii="Arial" w:cs="Arial" w:eastAsia="Arial" w:hAnsi="Arial"/>
          <w:sz w:val="18"/>
          <w:szCs w:val="18"/>
          <w:color w:val="auto"/>
        </w:rPr>
        <w:t>Other expense, net was $0.1 million for the six months ended June 30, 2022, compared to $15.2 million for the six months ended June 30, 2021. The expense for the six months ended June 30, 2021 was primarily driven by the increase in fair value of the convertible preferred stock warrant liability from December 31, 2020 to June 30, 2021. As these preferred stock warrants converted to common stock warrants upon the IPO, there is no longer a change in fair value recorded in other expense, net.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was nominal for each of the six months ended June 30, 2022 and June 30, 2021.</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June 30, 2022 and December 31, 2021, we had cash and cash equivalents of $121.3 million and $142.1 million, respectively. For the three months ended June 30, 2022 and 2021, our net losses were $11.1 million and $17.7 million, respectively. For the six months ended June 30, 2022 and 2021, our net losses were $ 21.1 million and $26.4 million, respectively. Our net cash used in operating activities for the six months ended June 30, 2022 and 2021 were $20.7 million and $11.5 million,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Prior to the IPO, our operations were financed primarily by aggregate net proceeds from the sale of our convertible preferred stock of $383.1 million, as well as debt financings. In September 2019, we entered into the Horizon loan agreement to borrow $20.0 million, which was fully repaid on November 3, 2021. In July 2020, we completed an equity financing pursuant to which we issued 62,500,000 shares of Series G convertible preferred stock at a price of $0.80 per share, for net proceeds of $49.8 million after deducting offering expenses. On July 2, 2021, we closed our IPO for net proceeds from the offering, after deducting the underwriting discount and other offering expenses payable by us, of $133.2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rFonts w:ascii="Times New Roman" w:cs="Times New Roman" w:eastAsia="Times New Roman" w:hAnsi="Times New Roman"/>
          <w:sz w:val="18"/>
          <w:szCs w:val="18"/>
          <w:color w:val="231F20"/>
        </w:rPr>
      </w:pPr>
    </w:p>
    <w:p>
      <w:pPr>
        <w:ind w:left="380" w:right="379" w:hanging="330"/>
        <w:spacing w:after="0" w:line="270" w:lineRule="auto"/>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believe that our existing cash resources together with revenue will be sufficient to meet our forecasted requirements for operating liquidity, capital expenditures and debt services for at least the next three years. If these sources are insufficient to satisfy our liquidity requirements, however, we may seek to sell additional equity or enter into a loan agreement. If we raise additional funds by issuing equity securities, our stockholders would experience dilution. Debt financing, if available, may involve covenants further restricting our operations or our ability to incur additional debt. Any debt financing or additional equity that we raise may contain terms that are not favorable to us or our stockholders.</w:t>
      </w:r>
    </w:p>
    <w:p>
      <w:pPr>
        <w:spacing w:after="0" w:line="18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indicated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center"/>
              <w:ind w:right="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4"/>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left="458"/>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(20,740)</w:t>
            </w:r>
          </w:p>
        </w:tc>
        <w:tc>
          <w:tcPr>
            <w:tcW w:w="160" w:type="dxa"/>
            <w:vAlign w:val="bottom"/>
          </w:tcPr>
          <w:p>
            <w:pPr>
              <w:spacing w:after="0"/>
              <w:rPr>
                <w:sz w:val="17"/>
                <w:szCs w:val="17"/>
                <w:color w:val="auto"/>
              </w:rPr>
            </w:pPr>
          </w:p>
        </w:tc>
        <w:tc>
          <w:tcPr>
            <w:tcW w:w="2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(11,502)</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(20,726)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(11,984)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Net cash used in operating activities for the six months ended June 30, 2022 was $20.7 million and consisted primarily of a net loss of $21.1 million and a decrease in net operating assets of $1.7 million, partially offset by a non-cash charge of $1.9 million related to stock-based compensation expense. Net operating assets consisted primarily of inventory, accounts receivable, prepaid expenses and other current assets, accounts payable and accrued expenses to support the growth of our operations.</w:t>
      </w:r>
    </w:p>
    <w:p>
      <w:pPr>
        <w:spacing w:after="0" w:line="176"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Net cash used in operating activities for the six months ended June 30, 2021 was $11.5 million and consisted primarily of a net loss of $26.4 million and a decrease in net operating assets of $1.2 million, partially offset by non-cash charges of $15.1 million related to the fair value adjustment to our convertible preferred stock warrants and $0.7 million from non-cash stock-based compensation expense. Net operating assets consisted primarily of inventory, accounts receivable, prepaid expenses and other current assets, accounts payable and accrued expenses to support the growth of our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Cash used in investing activities was $0.3 million and $0.5 million for the six months ended June 30, 2022 and 2021, respectively, and consisted of purchases of property and equipment.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Net cash provided by financing activities for the six months ended June 30, 2022 was $0.4 million and consisted of $0.3 million related to proceeds from the ESPP and $0.1 million related to proceeds from the exercise of common stock options. Net cash provided by financing activities for the six months ended June 30, 2021 was nominal.</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1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There have been no material changes to our contractual obligations as of June 30, 2022, as compared to those disclosed in our Annual Report on Form 10-K for the year ended December 31,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our management to make estimates and judgments that affect the amounts reported in our condensed consolidated financial statements and accompanying notes included elsewhere in this Quarterly Report on Form 10-Q. We base our estimates on historical experience and on various other assumptions that we believe to be reasonable and supportable under the circumstances. The results of this evaluation then form the basis for making judgments about the carrying values of assets and liabilities that are not readily apparent</w:t>
      </w:r>
    </w:p>
    <w:p>
      <w:pPr>
        <w:sectPr>
          <w:pgSz w:w="11900" w:h="16838" w:orient="portrait"/>
          <w:cols w:equalWidth="0" w:num="1">
            <w:col w:w="9019"/>
          </w:cols>
          <w:pgMar w:left="1440" w:top="513"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from other sources. Actual results may differ from these estimates under different assumptions or conditions, and such differences may be material to our condensed consolidated financial statements.</w:t>
      </w:r>
    </w:p>
    <w:p>
      <w:pPr>
        <w:spacing w:after="0" w:line="154" w:lineRule="exact"/>
        <w:rPr>
          <w:sz w:val="20"/>
          <w:szCs w:val="20"/>
          <w:color w:val="auto"/>
        </w:rPr>
      </w:pPr>
    </w:p>
    <w:p>
      <w:pPr>
        <w:ind w:left="60" w:right="539"/>
        <w:spacing w:after="0" w:line="244" w:lineRule="auto"/>
        <w:rPr>
          <w:sz w:val="20"/>
          <w:szCs w:val="20"/>
          <w:color w:val="auto"/>
        </w:rPr>
      </w:pPr>
      <w:r>
        <w:rPr>
          <w:rFonts w:ascii="Arial" w:cs="Arial" w:eastAsia="Arial" w:hAnsi="Arial"/>
          <w:sz w:val="18"/>
          <w:szCs w:val="18"/>
          <w:color w:val="auto"/>
        </w:rPr>
        <w:t>While our significant accounting policies are more fully described in Note 2 to our condensed consolidated financial statements included elsewhere in this Quarterly Report on Form 10-Q,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maintain an equity incentive plan that was adopted in 2001 to provide long-term incentives for employees, consultants, and members of the Board of Directors. The plan allows for the issuance of non-statutory and incentive stock options to employees and non-statutory stock options to consultants and non-employee directors. In connection with the IPO, we adopted the 2021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18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recognize equity-based compensation expense for awards of equity instruments to employees and non-employees based on the grant date fair value of those awards in accordance with ASC 718. ASC 718 requires all equity-based compensation awards to employees and non-employee directors, including grants of restricted shares and stock options, to be recognized as expense in the condensed consolidated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185"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Black-Scholes option pricing model requires the input of certain subjective assumptions, including (i) the fair value of common stock, (ii) the expected share price volatility, (iii) the expected term of the award, (iv) the risk-free interest rate and (v) the expected dividend yield.</w:t>
      </w:r>
    </w:p>
    <w:p>
      <w:pPr>
        <w:spacing w:after="0" w:line="169" w:lineRule="exact"/>
        <w:rPr>
          <w:sz w:val="20"/>
          <w:szCs w:val="20"/>
          <w:color w:val="auto"/>
        </w:rPr>
      </w:pPr>
    </w:p>
    <w:p>
      <w:pPr>
        <w:ind w:left="380" w:right="79" w:hanging="330"/>
        <w:spacing w:after="0" w:line="235" w:lineRule="auto"/>
        <w:tabs>
          <w:tab w:leader="none" w:pos="38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231F20"/>
        </w:rPr>
        <w:t xml:space="preserve">Fair value of common stock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Given the absence of a public trading market for our common stock prior to the IPO, the fair value of our common stock was determined by our Board of Directors with the assistance of an unrelated third-party valuation firm. The valuation was determined in accordance with the guidance provided by the American Institute of Certified Public Accountants Practice Guide, Valuation of Privately-Held Company Equity Securities Issued as Compensation. For the valuation as of the date of pricing of the IPO, the fair value of our common stock was determined by our Board of Directors to be the public offering price of the shares of common stock issued in the IPO. For valuations after the completion of the IPO, our Board of Directors will determine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182" w:lineRule="exact"/>
        <w:rPr>
          <w:rFonts w:ascii="Times New Roman" w:cs="Times New Roman" w:eastAsia="Times New Roman" w:hAnsi="Times New Roman"/>
          <w:sz w:val="22"/>
          <w:szCs w:val="22"/>
          <w:color w:val="auto"/>
        </w:rPr>
      </w:pPr>
    </w:p>
    <w:p>
      <w:pPr>
        <w:ind w:left="380" w:right="79" w:hanging="330"/>
        <w:spacing w:after="0" w:line="245"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Expected share price volatility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Due to the lack of a public market for the trading of our common stock and a lack of company-specific historical and implied volatility data, we have based our estimate of expected volatility on the historical volatility of a group of similar (guideline) companies that are publicly traded. The historical volatility is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75"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11"/>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Expected term of an award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Determined based on our analysis of historical exercise behavior while taking into consideration various participant demographics and option characteristics. We utilize the simplified method to develop the estimate of the expected term.</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279" w:hanging="330"/>
        <w:spacing w:after="0" w:line="286" w:lineRule="auto"/>
        <w:tabs>
          <w:tab w:leader="none" w:pos="38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Risk-free interest rate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Based on a treasury instrument whose term is consistent with the expected term of the stock options.</w:t>
      </w:r>
    </w:p>
    <w:p>
      <w:pPr>
        <w:spacing w:after="0" w:line="140" w:lineRule="exact"/>
        <w:rPr>
          <w:rFonts w:ascii="Times New Roman" w:cs="Times New Roman" w:eastAsia="Times New Roman" w:hAnsi="Times New Roman"/>
          <w:sz w:val="18"/>
          <w:szCs w:val="18"/>
          <w:color w:val="231F20"/>
        </w:rPr>
      </w:pPr>
    </w:p>
    <w:p>
      <w:pPr>
        <w:ind w:left="380" w:right="859" w:hanging="330"/>
        <w:spacing w:after="0" w:line="286" w:lineRule="auto"/>
        <w:tabs>
          <w:tab w:leader="none" w:pos="38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Expected dividend yield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We assume an expected dividend yield of zero, as we have never paid dividends and have no current plans to pay any dividends on our common stock.</w:t>
      </w:r>
    </w:p>
    <w:p>
      <w:pPr>
        <w:spacing w:after="0" w:line="140"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179"/>
        <w:spacing w:after="0" w:line="301" w:lineRule="auto"/>
        <w:rPr>
          <w:sz w:val="20"/>
          <w:szCs w:val="20"/>
          <w:color w:val="auto"/>
        </w:rPr>
      </w:pPr>
      <w:r>
        <w:rPr>
          <w:rFonts w:ascii="Arial" w:cs="Arial" w:eastAsia="Arial" w:hAnsi="Arial"/>
          <w:sz w:val="17"/>
          <w:szCs w:val="17"/>
          <w:color w:val="auto"/>
        </w:rPr>
        <w:t>The risk associated with fluctuating interest rates is primarily limited to our cash equivalents, which are carried at quoted market prices. We do not currently use or plan to use financial derivatives in our investment portfolio.</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Portions of our revenue and operating expenses that are incurred outside the U.S. are thus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As of June 30, 2022 and December 31, 2021, our cash and cash equivalents were maintained with one financial institution in the U.S., and our current deposits are likely in excess of insured limits. We believe this institution has sufficient assets and liquidity to conduct its operations in the ordinary course of business with little or no credit risk to us.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Legal Proceedings</w:t>
      </w:r>
    </w:p>
    <w:p>
      <w:pPr>
        <w:spacing w:after="0" w:line="108"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1A. Risk Factors</w:t>
      </w:r>
    </w:p>
    <w:p>
      <w:pPr>
        <w:spacing w:after="0" w:line="121" w:lineRule="exact"/>
        <w:rPr>
          <w:sz w:val="20"/>
          <w:szCs w:val="20"/>
          <w:color w:val="auto"/>
        </w:rPr>
      </w:pPr>
    </w:p>
    <w:p>
      <w:pPr>
        <w:ind w:left="60" w:right="79"/>
        <w:spacing w:after="0" w:line="316" w:lineRule="auto"/>
        <w:rPr>
          <w:sz w:val="20"/>
          <w:szCs w:val="20"/>
          <w:color w:val="auto"/>
        </w:rPr>
      </w:pPr>
      <w:r>
        <w:rPr>
          <w:rFonts w:ascii="Arial" w:cs="Arial" w:eastAsia="Arial" w:hAnsi="Arial"/>
          <w:sz w:val="17"/>
          <w:szCs w:val="17"/>
          <w:color w:val="auto"/>
        </w:rPr>
        <w:t>For a discussion of our potential risks and uncertainties, see the information in Part I, Item IA. “Risk Factors” in our Annual Report on Form 10-K for the year ended December 31, 2021. There have been no material changes to the risk factors disclosed in our Annual Report on Form 10-K for the year ended December 31, 2021.</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gridSpan w:val="9"/>
          </w:tcPr>
          <w:p>
            <w:pPr>
              <w:jc w:val="center"/>
              <w:ind w:right="1040"/>
              <w:spacing w:after="0"/>
              <w:rPr>
                <w:sz w:val="20"/>
                <w:szCs w:val="20"/>
                <w:color w:val="auto"/>
              </w:rPr>
            </w:pPr>
            <w:r>
              <w:rPr>
                <w:rFonts w:ascii="Arial" w:cs="Arial" w:eastAsia="Arial" w:hAnsi="Arial"/>
                <w:sz w:val="22"/>
                <w:szCs w:val="22"/>
                <w:b w:val="1"/>
                <w:bCs w:val="1"/>
                <w:color w:val="auto"/>
                <w:w w:val="98"/>
              </w:rPr>
              <w:t>EXHIBIT INDEX</w:t>
            </w:r>
          </w:p>
        </w:tc>
      </w:tr>
      <w:tr>
        <w:trPr>
          <w:trHeight w:val="437"/>
        </w:trPr>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8020" w:type="dxa"/>
            <w:vAlign w:val="bottom"/>
            <w:gridSpan w:val="10"/>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71"/>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7860" w:type="dxa"/>
            <w:vAlign w:val="bottom"/>
            <w:gridSpan w:val="9"/>
          </w:tcPr>
          <w:p>
            <w:pPr>
              <w:spacing w:after="0"/>
              <w:rPr>
                <w:rFonts w:ascii="Arial" w:cs="Arial" w:eastAsia="Arial" w:hAnsi="Arial"/>
                <w:sz w:val="18"/>
                <w:szCs w:val="18"/>
                <w:color w:val="0000EE"/>
              </w:rPr>
            </w:pPr>
            <w:hyperlink r:id="rId50">
              <w:r>
                <w:rPr>
                  <w:rFonts w:ascii="Arial" w:cs="Arial" w:eastAsia="Arial" w:hAnsi="Arial"/>
                  <w:sz w:val="18"/>
                  <w:szCs w:val="18"/>
                  <w:color w:val="0000EE"/>
                </w:rPr>
                <w:t>Amended and Restated Certificate of Incorporation of CVRx, Inc. (incorporated by reference to</w:t>
              </w:r>
            </w:hyperlink>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Exhibit 3.1 to the Company’s Current Report on Form 8-K filed on July 7, 2021)</w:t>
              </w:r>
            </w:hyperlink>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860" w:type="dxa"/>
            <w:vAlign w:val="bottom"/>
            <w:gridSpan w:val="9"/>
          </w:tcPr>
          <w:p>
            <w:pPr>
              <w:spacing w:after="0"/>
              <w:rPr>
                <w:rFonts w:ascii="Arial" w:cs="Arial" w:eastAsia="Arial" w:hAnsi="Arial"/>
                <w:sz w:val="18"/>
                <w:szCs w:val="18"/>
                <w:color w:val="0000EE"/>
              </w:rPr>
            </w:pPr>
            <w:hyperlink r:id="rId51">
              <w:r>
                <w:rPr>
                  <w:rFonts w:ascii="Arial" w:cs="Arial" w:eastAsia="Arial" w:hAnsi="Arial"/>
                  <w:sz w:val="18"/>
                  <w:szCs w:val="18"/>
                  <w:color w:val="0000EE"/>
                </w:rPr>
                <w:t>Amended and Restated By-Laws of CVRx, Inc. (incorporated by reference to Exhibit 3.2 to the</w:t>
              </w:r>
            </w:hyperlink>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51">
              <w:r>
                <w:rPr>
                  <w:rFonts w:ascii="Arial" w:cs="Arial" w:eastAsia="Arial" w:hAnsi="Arial"/>
                  <w:sz w:val="18"/>
                  <w:szCs w:val="18"/>
                  <w:color w:val="0000EE"/>
                  <w:w w:val="99"/>
                </w:rPr>
                <w:t>Company’s Current Report on Form 8-K filed on July 7, 2021)</w:t>
              </w:r>
            </w:hyperlink>
          </w:p>
        </w:tc>
        <w:tc>
          <w:tcPr>
            <w:tcW w:w="2580" w:type="dxa"/>
            <w:vAlign w:val="bottom"/>
            <w:tcBorders>
              <w:top w:val="single" w:sz="8" w:color="0000EE"/>
            </w:tcBorders>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25"/>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60" w:type="dxa"/>
            <w:vAlign w:val="bottom"/>
            <w:gridSpan w:val="9"/>
          </w:tcPr>
          <w:p>
            <w:pPr>
              <w:spacing w:after="0"/>
              <w:rPr>
                <w:sz w:val="20"/>
                <w:szCs w:val="20"/>
                <w:color w:val="auto"/>
              </w:rPr>
            </w:pPr>
            <w:r>
              <w:rPr>
                <w:rFonts w:ascii="Arial" w:cs="Arial" w:eastAsia="Arial" w:hAnsi="Arial"/>
                <w:sz w:val="18"/>
                <w:szCs w:val="18"/>
                <w:color w:val="0000EE"/>
              </w:rPr>
              <w:t>Certification of Chief Executive Officer Pursuant to Section 302 of the Sarbanes-Oxley Act of 2002</w:t>
            </w:r>
          </w:p>
        </w:tc>
      </w:tr>
      <w:tr>
        <w:trPr>
          <w:trHeight w:val="39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7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Certification of Chief Financial Officer Pursuant to Section 302 of the Sarbanes-Oxley Act of 2002</w:t>
            </w:r>
          </w:p>
        </w:tc>
        <w:tc>
          <w:tcPr>
            <w:tcW w:w="80" w:type="dxa"/>
            <w:vAlign w:val="bottom"/>
          </w:tcPr>
          <w:p>
            <w:pPr>
              <w:spacing w:after="0"/>
              <w:rPr>
                <w:sz w:val="24"/>
                <w:szCs w:val="24"/>
                <w:color w:val="auto"/>
              </w:rPr>
            </w:pPr>
          </w:p>
        </w:tc>
      </w:tr>
      <w:tr>
        <w:trPr>
          <w:trHeight w:val="39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6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Executive Officer Pursuant to 18 U.S.C. Section 1350, as adopted pursuant</w:t>
            </w:r>
          </w:p>
        </w:tc>
        <w:tc>
          <w:tcPr>
            <w:tcW w:w="60" w:type="dxa"/>
            <w:vAlign w:val="bottom"/>
            <w:tcBorders>
              <w:top w:val="single" w:sz="8" w:color="0000EE"/>
            </w:tcBorders>
          </w:tcPr>
          <w:p>
            <w:pPr>
              <w:spacing w:after="0"/>
              <w:rPr>
                <w:sz w:val="24"/>
                <w:szCs w:val="24"/>
                <w:color w:val="auto"/>
              </w:rPr>
            </w:pPr>
          </w:p>
        </w:tc>
        <w:tc>
          <w:tcPr>
            <w:tcW w:w="1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9"/>
              </w:rPr>
              <w:t>to Section 906 of the Sarbanes-Oxley Act of 2002</w:t>
            </w:r>
          </w:p>
        </w:tc>
        <w:tc>
          <w:tcPr>
            <w:tcW w:w="3920" w:type="dxa"/>
            <w:vAlign w:val="bottom"/>
            <w:gridSpan w:val="8"/>
          </w:tcPr>
          <w:p>
            <w:pPr>
              <w:spacing w:after="0"/>
              <w:rPr>
                <w:sz w:val="17"/>
                <w:szCs w:val="17"/>
                <w:color w:val="auto"/>
              </w:rPr>
            </w:pPr>
          </w:p>
        </w:tc>
      </w:tr>
      <w:tr>
        <w:trPr>
          <w:trHeight w:val="65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00" w:type="dxa"/>
            <w:vAlign w:val="bottom"/>
            <w:gridSpan w:val="2"/>
          </w:tcPr>
          <w:p>
            <w:pPr>
              <w:jc w:val="right"/>
              <w:ind w:right="348"/>
              <w:spacing w:after="0"/>
              <w:rPr>
                <w:sz w:val="20"/>
                <w:szCs w:val="20"/>
                <w:color w:val="auto"/>
              </w:rPr>
            </w:pPr>
            <w:r>
              <w:rPr>
                <w:rFonts w:ascii="Arial" w:cs="Arial" w:eastAsia="Arial" w:hAnsi="Arial"/>
                <w:sz w:val="18"/>
                <w:szCs w:val="18"/>
                <w:color w:val="auto"/>
              </w:rPr>
              <w:t>33</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0"/>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1040" w:type="dxa"/>
            <w:vAlign w:val="bottom"/>
          </w:tcPr>
          <w:p>
            <w:pPr>
              <w:spacing w:after="0"/>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p>
        </w:tc>
        <w:tc>
          <w:tcPr>
            <w:tcW w:w="78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Certification of Chief Financial Officer Pursuant to 18 U.S.C. Section 1350, as adopted pursuant to</w:t>
            </w:r>
          </w:p>
        </w:tc>
      </w:tr>
      <w:tr>
        <w:trPr>
          <w:trHeight w:val="196"/>
        </w:trPr>
        <w:tc>
          <w:tcPr>
            <w:tcW w:w="1040" w:type="dxa"/>
            <w:vAlign w:val="bottom"/>
          </w:tcPr>
          <w:p>
            <w:pPr>
              <w:spacing w:after="0"/>
              <w:rPr>
                <w:sz w:val="17"/>
                <w:szCs w:val="17"/>
                <w:color w:val="auto"/>
              </w:rPr>
            </w:pPr>
          </w:p>
        </w:tc>
        <w:tc>
          <w:tcPr>
            <w:tcW w:w="37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9"/>
              </w:rPr>
              <w:t>Section 906 of the Sarbanes-Oxley Act of 2002</w:t>
            </w:r>
          </w:p>
        </w:tc>
        <w:tc>
          <w:tcPr>
            <w:tcW w:w="4060" w:type="dxa"/>
            <w:vAlign w:val="bottom"/>
          </w:tcPr>
          <w:p>
            <w:pPr>
              <w:spacing w:after="0"/>
              <w:rPr>
                <w:sz w:val="17"/>
                <w:szCs w:val="17"/>
                <w:color w:val="auto"/>
              </w:rPr>
            </w:pPr>
          </w:p>
        </w:tc>
      </w:tr>
      <w:tr>
        <w:trPr>
          <w:trHeight w:val="420"/>
        </w:trPr>
        <w:tc>
          <w:tcPr>
            <w:tcW w:w="1040" w:type="dxa"/>
            <w:vAlign w:val="bottom"/>
          </w:tcPr>
          <w:p>
            <w:pPr>
              <w:spacing w:after="0"/>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p>
        </w:tc>
        <w:tc>
          <w:tcPr>
            <w:tcW w:w="7800" w:type="dxa"/>
            <w:vAlign w:val="bottom"/>
            <w:gridSpan w:val="2"/>
          </w:tcPr>
          <w:p>
            <w:pPr>
              <w:spacing w:after="0"/>
              <w:rPr>
                <w:sz w:val="20"/>
                <w:szCs w:val="20"/>
                <w:color w:val="auto"/>
              </w:rPr>
            </w:pPr>
            <w:r>
              <w:rPr>
                <w:rFonts w:ascii="Arial" w:cs="Arial" w:eastAsia="Arial" w:hAnsi="Arial"/>
                <w:sz w:val="18"/>
                <w:szCs w:val="18"/>
                <w:color w:val="auto"/>
              </w:rPr>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w:t>
            </w:r>
          </w:p>
        </w:tc>
      </w:tr>
      <w:tr>
        <w:trPr>
          <w:trHeight w:val="239"/>
        </w:trPr>
        <w:tc>
          <w:tcPr>
            <w:tcW w:w="1040" w:type="dxa"/>
            <w:vAlign w:val="bottom"/>
          </w:tcPr>
          <w:p>
            <w:pPr>
              <w:spacing w:after="0"/>
              <w:rPr>
                <w:sz w:val="20"/>
                <w:szCs w:val="20"/>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r>
      <w:tr>
        <w:trPr>
          <w:trHeight w:val="405"/>
        </w:trPr>
        <w:tc>
          <w:tcPr>
            <w:tcW w:w="1040" w:type="dxa"/>
            <w:vAlign w:val="bottom"/>
          </w:tcPr>
          <w:p>
            <w:pPr>
              <w:spacing w:after="0"/>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p>
        </w:tc>
        <w:tc>
          <w:tcPr>
            <w:tcW w:w="780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p>
        </w:tc>
        <w:tc>
          <w:tcPr>
            <w:tcW w:w="780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p>
        </w:tc>
        <w:tc>
          <w:tcPr>
            <w:tcW w:w="780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p>
        </w:tc>
        <w:tc>
          <w:tcPr>
            <w:tcW w:w="780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p>
        </w:tc>
        <w:tc>
          <w:tcPr>
            <w:tcW w:w="780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p>
        </w:tc>
        <w:tc>
          <w:tcPr>
            <w:tcW w:w="780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0"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 2022</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Nadim Yared</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Nadim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Nadim Yared, certify that:</w:t>
      </w:r>
    </w:p>
    <w:p>
      <w:pPr>
        <w:spacing w:after="0" w:line="117" w:lineRule="exact"/>
        <w:rPr>
          <w:sz w:val="20"/>
          <w:szCs w:val="20"/>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01,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Nadim Yared</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Nadim Yared</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01, 2022</w:t>
      </w:r>
    </w:p>
    <w:p>
      <w:pPr>
        <w:spacing w:after="0" w:line="200" w:lineRule="exact"/>
        <w:rPr>
          <w:sz w:val="20"/>
          <w:szCs w:val="20"/>
          <w:color w:val="auto"/>
        </w:rPr>
      </w:pPr>
    </w:p>
    <w:p>
      <w:pPr>
        <w:spacing w:after="0" w:line="322"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June 30,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01, 2022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Nadim Yared</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Nadim Yared</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June 30,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01, 2022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0" Type="http://schemas.openxmlformats.org/officeDocument/2006/relationships/hyperlink" Target="https://www.sec.gov/Archives/edgar/data/1235912/000110465921089779/tm2121505d1_ex3-1.htm" TargetMode="External"/><Relationship Id="rId51" Type="http://schemas.openxmlformats.org/officeDocument/2006/relationships/hyperlink" Target="https://www.sec.gov/Archives/edgar/data/1235912/000110465921089779/tm212150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2022-08-01T15:17:27Z</dcterms:created>
  <dcterms:modified xsi:type="dcterms:W3CDTF">2022-08-01T15:17:27Z</dcterms:modified>
</cp:coreProperties>
</file>