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2024</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200" w:type="dxa"/>
            <w:vAlign w:val="bottom"/>
            <w:gridSpan w:val="4"/>
          </w:tcPr>
          <w:p>
            <w:pPr>
              <w:jc w:val="center"/>
              <w:ind w:left="904"/>
              <w:spacing w:after="0"/>
              <w:rPr>
                <w:sz w:val="20"/>
                <w:szCs w:val="20"/>
                <w:color w:val="auto"/>
              </w:rPr>
            </w:pPr>
            <w:r>
              <w:rPr>
                <w:rFonts w:ascii="Arial" w:cs="Arial" w:eastAsia="Arial" w:hAnsi="Arial"/>
                <w:sz w:val="16"/>
                <w:szCs w:val="16"/>
                <w:b w:val="1"/>
                <w:bCs w:val="1"/>
                <w:color w:val="auto"/>
                <w:w w:val="99"/>
              </w:rPr>
              <w:t>Delaware</w:t>
            </w: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left="204"/>
              <w:spacing w:after="0"/>
              <w:rPr>
                <w:sz w:val="20"/>
                <w:szCs w:val="20"/>
                <w:color w:val="auto"/>
              </w:rPr>
            </w:pPr>
            <w:r>
              <w:rPr>
                <w:rFonts w:ascii="Arial" w:cs="Arial" w:eastAsia="Arial" w:hAnsi="Arial"/>
                <w:sz w:val="14"/>
                <w:szCs w:val="14"/>
                <w:b w:val="1"/>
                <w:bCs w:val="1"/>
                <w:color w:val="auto"/>
              </w:rPr>
              <w:t>41-1983744</w:t>
            </w:r>
          </w:p>
        </w:tc>
        <w:tc>
          <w:tcPr>
            <w:tcW w:w="1940" w:type="dxa"/>
            <w:vAlign w:val="bottom"/>
          </w:tcPr>
          <w:p>
            <w:pPr>
              <w:spacing w:after="0"/>
              <w:rPr>
                <w:sz w:val="16"/>
                <w:szCs w:val="16"/>
                <w:color w:val="auto"/>
              </w:rPr>
            </w:pPr>
          </w:p>
        </w:tc>
      </w:tr>
      <w:tr>
        <w:trPr>
          <w:trHeight w:val="162"/>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(State or other jurisdiction of</w:t>
            </w: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2"/>
          </w:tcPr>
          <w:p>
            <w:pPr>
              <w:jc w:val="center"/>
              <w:ind w:right="16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incorporation or organization)</w:t>
            </w: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6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rPr>
              <w:t>9201 West Broadway Avenue</w:t>
            </w: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rPr>
              <w:t>Suite 650</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Minneapolis, MN 55445</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jc w:val="center"/>
              <w:ind w:right="239"/>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3840" w:type="dxa"/>
            <w:vAlign w:val="bottom"/>
            <w:gridSpan w:val="7"/>
          </w:tcPr>
          <w:p>
            <w:pPr>
              <w:jc w:val="center"/>
              <w:ind w:left="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5"/>
        </w:trPr>
        <w:tc>
          <w:tcPr>
            <w:tcW w:w="3860" w:type="dxa"/>
            <w:vAlign w:val="bottom"/>
            <w:gridSpan w:val="3"/>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8"/>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8"/>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Name of each exchange</w:t>
            </w:r>
          </w:p>
        </w:tc>
      </w:tr>
      <w:tr>
        <w:trPr>
          <w:trHeight w:val="230"/>
        </w:trPr>
        <w:tc>
          <w:tcPr>
            <w:tcW w:w="4200" w:type="dxa"/>
            <w:vAlign w:val="bottom"/>
            <w:gridSpan w:val="4"/>
          </w:tcPr>
          <w:p>
            <w:pPr>
              <w:jc w:val="center"/>
              <w:ind w:right="919"/>
              <w:spacing w:after="0"/>
              <w:rPr>
                <w:sz w:val="20"/>
                <w:szCs w:val="20"/>
                <w:color w:val="auto"/>
              </w:rPr>
            </w:pPr>
            <w:r>
              <w:rPr>
                <w:rFonts w:ascii="Arial" w:cs="Arial" w:eastAsia="Arial" w:hAnsi="Arial"/>
                <w:sz w:val="16"/>
                <w:szCs w:val="16"/>
                <w:color w:val="auto"/>
                <w:w w:val="99"/>
              </w:rPr>
              <w:t>Title of each class</w:t>
            </w:r>
          </w:p>
        </w:tc>
        <w:tc>
          <w:tcPr>
            <w:tcW w:w="2820" w:type="dxa"/>
            <w:vAlign w:val="bottom"/>
            <w:gridSpan w:val="4"/>
          </w:tcPr>
          <w:p>
            <w:pPr>
              <w:jc w:val="center"/>
              <w:ind w:right="1180"/>
              <w:spacing w:after="0"/>
              <w:rPr>
                <w:sz w:val="20"/>
                <w:szCs w:val="20"/>
                <w:color w:val="auto"/>
              </w:rPr>
            </w:pPr>
            <w:r>
              <w:rPr>
                <w:rFonts w:ascii="Arial" w:cs="Arial" w:eastAsia="Arial" w:hAnsi="Arial"/>
                <w:sz w:val="16"/>
                <w:szCs w:val="16"/>
                <w:color w:val="auto"/>
              </w:rPr>
              <w:t>Trading Symbol(s)</w:t>
            </w: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2"/>
          </w:tcPr>
          <w:p>
            <w:pPr>
              <w:jc w:val="center"/>
              <w:ind w:right="78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2"/>
          </w:tcPr>
          <w:p>
            <w:pPr>
              <w:jc w:val="center"/>
              <w:ind w:right="108"/>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4200" w:type="dxa"/>
            <w:vAlign w:val="bottom"/>
            <w:gridSpan w:val="4"/>
          </w:tcPr>
          <w:p>
            <w:pPr>
              <w:jc w:val="center"/>
              <w:ind w:right="939"/>
              <w:spacing w:after="0"/>
              <w:rPr>
                <w:sz w:val="20"/>
                <w:szCs w:val="20"/>
                <w:color w:val="auto"/>
              </w:rPr>
            </w:pPr>
            <w:r>
              <w:rPr>
                <w:rFonts w:ascii="Arial" w:cs="Arial" w:eastAsia="Arial" w:hAnsi="Arial"/>
                <w:sz w:val="16"/>
                <w:szCs w:val="16"/>
                <w:b w:val="1"/>
                <w:bCs w:val="1"/>
                <w:color w:val="auto"/>
              </w:rPr>
              <w:t>par value $0.01 per share</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96"/>
        </w:trPr>
        <w:tc>
          <w:tcPr>
            <w:tcW w:w="4200" w:type="dxa"/>
            <w:vAlign w:val="bottom"/>
            <w:gridSpan w:val="4"/>
          </w:tcPr>
          <w:p>
            <w:pPr>
              <w:ind w:left="40"/>
              <w:spacing w:after="0"/>
              <w:rPr>
                <w:sz w:val="20"/>
                <w:szCs w:val="20"/>
                <w:color w:val="auto"/>
              </w:rPr>
            </w:pPr>
            <w:r>
              <w:rPr>
                <w:rFonts w:ascii="Arial" w:cs="Arial" w:eastAsia="Arial" w:hAnsi="Arial"/>
                <w:sz w:val="14"/>
                <w:szCs w:val="14"/>
                <w:color w:val="auto"/>
              </w:rPr>
              <w:t>Securities registered pursuant to Section 12(g) of the Act: None</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4"/>
        </w:trPr>
        <w:tc>
          <w:tcPr>
            <w:tcW w:w="8100" w:type="dxa"/>
            <w:vAlign w:val="bottom"/>
            <w:gridSpan w:val="9"/>
          </w:tcPr>
          <w:p>
            <w:pPr>
              <w:ind w:left="40"/>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p>
        </w:tc>
        <w:tc>
          <w:tcPr>
            <w:tcW w:w="194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83"/>
        </w:trPr>
        <w:tc>
          <w:tcPr>
            <w:tcW w:w="8100" w:type="dxa"/>
            <w:vAlign w:val="bottom"/>
            <w:gridSpan w:val="9"/>
          </w:tcPr>
          <w:p>
            <w:pPr>
              <w:ind w:left="40"/>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p>
        </w:tc>
        <w:tc>
          <w:tcPr>
            <w:tcW w:w="194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bl>
    <w:p>
      <w:pPr>
        <w:spacing w:after="0" w:line="73"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88"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No</w:t>
      </w:r>
      <w:r>
        <w:rPr>
          <w:sz w:val="20"/>
          <w:szCs w:val="20"/>
          <w:color w:val="auto"/>
        </w:rPr>
        <w:tab/>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181"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left="40"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left="40" w:right="20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left="40" w:right="6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ind w:left="40"/>
        <w:spacing w:after="0" w:line="188" w:lineRule="exact"/>
        <w:tabs>
          <w:tab w:leader="none" w:pos="664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ind w:left="40" w:right="140"/>
        <w:spacing w:after="0" w:line="26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28, 2024, the last business day of the registrant’s most recently completed second fiscal quarter was approximately $152.5 million.</w:t>
      </w: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As of February 11, 2025, there were 26,036,032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512445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92075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135255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Cautionary Note on Forward-Looking Statements</w:t>
            </w:r>
          </w:p>
        </w:tc>
        <w:tc>
          <w:tcPr>
            <w:tcW w:w="446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Summary Risk Factors</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0000EE"/>
            </w:tcBorders>
            <w:gridSpan w:val="13"/>
          </w:tcPr>
          <w:p>
            <w:pPr>
              <w:spacing w:after="0"/>
              <w:rPr>
                <w:sz w:val="20"/>
                <w:szCs w:val="20"/>
                <w:color w:val="auto"/>
              </w:rPr>
            </w:pPr>
            <w:r>
              <w:rPr>
                <w:rFonts w:ascii="Arial" w:cs="Arial" w:eastAsia="Arial" w:hAnsi="Arial"/>
                <w:sz w:val="14"/>
                <w:szCs w:val="14"/>
                <w:b w:val="1"/>
                <w:bCs w:val="1"/>
                <w:color w:val="0000EE"/>
              </w:rPr>
              <w:t>PART I</w:t>
            </w:r>
          </w:p>
        </w:tc>
        <w:tc>
          <w:tcPr>
            <w:tcW w:w="6140" w:type="dxa"/>
            <w:vAlign w:val="bottom"/>
            <w:gridSpan w:val="16"/>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Item 1.</w:t>
            </w:r>
          </w:p>
        </w:tc>
        <w:tc>
          <w:tcPr>
            <w:tcW w:w="360" w:type="dxa"/>
            <w:vAlign w:val="bottom"/>
            <w:gridSpan w:val="6"/>
          </w:tcPr>
          <w:p>
            <w:pPr>
              <w:spacing w:after="0"/>
              <w:rPr>
                <w:sz w:val="24"/>
                <w:szCs w:val="24"/>
                <w:color w:val="auto"/>
              </w:rPr>
            </w:pPr>
          </w:p>
        </w:tc>
        <w:tc>
          <w:tcPr>
            <w:tcW w:w="6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Business</w:t>
            </w:r>
          </w:p>
        </w:tc>
        <w:tc>
          <w:tcPr>
            <w:tcW w:w="7000" w:type="dxa"/>
            <w:vAlign w:val="bottom"/>
            <w:gridSpan w:val="2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1A.</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Risk Factors</w:t>
            </w: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1B.</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Unresolved Staff Comments</w:t>
            </w: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4"/>
        </w:trPr>
        <w:tc>
          <w:tcPr>
            <w:tcW w:w="56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w w:val="98"/>
              </w:rPr>
              <w:t>Item 1C.</w:t>
            </w: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0" w:type="dxa"/>
            <w:vAlign w:val="bottom"/>
            <w:tcBorders>
              <w:top w:val="single" w:sz="8" w:color="0000EE"/>
            </w:tcBorders>
            <w:gridSpan w:val="16"/>
          </w:tcPr>
          <w:p>
            <w:pPr>
              <w:spacing w:after="0"/>
              <w:rPr>
                <w:sz w:val="20"/>
                <w:szCs w:val="20"/>
                <w:color w:val="auto"/>
              </w:rPr>
            </w:pPr>
            <w:r>
              <w:rPr>
                <w:rFonts w:ascii="Arial" w:cs="Arial" w:eastAsia="Arial" w:hAnsi="Arial"/>
                <w:sz w:val="14"/>
                <w:szCs w:val="14"/>
                <w:color w:val="0000EE"/>
              </w:rPr>
              <w:t>Cybersecurity</w:t>
            </w:r>
          </w:p>
        </w:tc>
        <w:tc>
          <w:tcPr>
            <w:tcW w:w="58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4"/>
        </w:trPr>
        <w:tc>
          <w:tcPr>
            <w:tcW w:w="58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Item 2.</w:t>
            </w:r>
          </w:p>
        </w:tc>
        <w:tc>
          <w:tcPr>
            <w:tcW w:w="240" w:type="dxa"/>
            <w:vAlign w:val="bottom"/>
            <w:gridSpan w:val="2"/>
          </w:tcPr>
          <w:p>
            <w:pPr>
              <w:spacing w:after="0"/>
              <w:rPr>
                <w:sz w:val="24"/>
                <w:szCs w:val="24"/>
                <w:color w:val="auto"/>
              </w:rPr>
            </w:pPr>
          </w:p>
        </w:tc>
        <w:tc>
          <w:tcPr>
            <w:tcW w:w="88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0000EE"/>
              </w:rPr>
              <w:t>Properties</w:t>
            </w:r>
          </w:p>
        </w:tc>
        <w:tc>
          <w:tcPr>
            <w:tcW w:w="672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3.</w:t>
            </w:r>
          </w:p>
        </w:tc>
        <w:tc>
          <w:tcPr>
            <w:tcW w:w="7600" w:type="dxa"/>
            <w:vAlign w:val="bottom"/>
            <w:gridSpan w:val="29"/>
          </w:tcPr>
          <w:p>
            <w:pPr>
              <w:spacing w:after="0"/>
              <w:rPr>
                <w:sz w:val="20"/>
                <w:szCs w:val="20"/>
                <w:color w:val="auto"/>
              </w:rPr>
            </w:pPr>
            <w:r>
              <w:rPr>
                <w:rFonts w:ascii="Arial" w:cs="Arial" w:eastAsia="Arial" w:hAnsi="Arial"/>
                <w:sz w:val="14"/>
                <w:szCs w:val="14"/>
                <w:color w:val="0000EE"/>
              </w:rPr>
              <w:t>Legal Proceedings</w:t>
            </w: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4.</w:t>
            </w:r>
          </w:p>
        </w:tc>
        <w:tc>
          <w:tcPr>
            <w:tcW w:w="7600" w:type="dxa"/>
            <w:vAlign w:val="bottom"/>
            <w:gridSpan w:val="29"/>
          </w:tcPr>
          <w:p>
            <w:pPr>
              <w:spacing w:after="0"/>
              <w:rPr>
                <w:sz w:val="20"/>
                <w:szCs w:val="20"/>
                <w:color w:val="auto"/>
              </w:rPr>
            </w:pPr>
            <w:r>
              <w:rPr>
                <w:rFonts w:ascii="Arial" w:cs="Arial" w:eastAsia="Arial" w:hAnsi="Arial"/>
                <w:sz w:val="14"/>
                <w:szCs w:val="14"/>
                <w:color w:val="0000EE"/>
              </w:rPr>
              <w:t>Mine Safety Disclosures</w:t>
            </w: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Borders>
              <w:top w:val="single" w:sz="8" w:color="0000EE"/>
            </w:tcBorders>
            <w:gridSpan w:val="14"/>
          </w:tcPr>
          <w:p>
            <w:pPr>
              <w:spacing w:after="0"/>
              <w:rPr>
                <w:sz w:val="20"/>
                <w:szCs w:val="20"/>
                <w:color w:val="auto"/>
              </w:rPr>
            </w:pPr>
            <w:r>
              <w:rPr>
                <w:rFonts w:ascii="Arial" w:cs="Arial" w:eastAsia="Arial" w:hAnsi="Arial"/>
                <w:sz w:val="14"/>
                <w:szCs w:val="14"/>
                <w:b w:val="1"/>
                <w:bCs w:val="1"/>
                <w:color w:val="0000EE"/>
              </w:rPr>
              <w:t>PART II</w:t>
            </w:r>
          </w:p>
        </w:tc>
        <w:tc>
          <w:tcPr>
            <w:tcW w:w="604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5.</w:t>
            </w:r>
          </w:p>
        </w:tc>
        <w:tc>
          <w:tcPr>
            <w:tcW w:w="7600" w:type="dxa"/>
            <w:vAlign w:val="bottom"/>
            <w:gridSpan w:val="29"/>
          </w:tcPr>
          <w:p>
            <w:pPr>
              <w:spacing w:after="0"/>
              <w:rPr>
                <w:sz w:val="20"/>
                <w:szCs w:val="20"/>
                <w:color w:val="auto"/>
              </w:rPr>
            </w:pPr>
            <w:r>
              <w:rPr>
                <w:rFonts w:ascii="Arial" w:cs="Arial" w:eastAsia="Arial" w:hAnsi="Arial"/>
                <w:sz w:val="14"/>
                <w:szCs w:val="14"/>
                <w:color w:val="0000EE"/>
              </w:rPr>
              <w:t>Market for Registrant’s Common Equity, Related Stockholder Matters and Issuer Purchases of Equity Securities</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6.</w:t>
            </w:r>
          </w:p>
        </w:tc>
        <w:tc>
          <w:tcPr>
            <w:tcW w:w="380" w:type="dxa"/>
            <w:vAlign w:val="bottom"/>
            <w:gridSpan w:val="7"/>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[Reserved]</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7.</w:t>
            </w:r>
          </w:p>
        </w:tc>
        <w:tc>
          <w:tcPr>
            <w:tcW w:w="380" w:type="dxa"/>
            <w:vAlign w:val="bottom"/>
            <w:gridSpan w:val="7"/>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7A.</w:t>
            </w:r>
          </w:p>
        </w:tc>
        <w:tc>
          <w:tcPr>
            <w:tcW w:w="260" w:type="dxa"/>
            <w:vAlign w:val="bottom"/>
            <w:gridSpan w:val="3"/>
          </w:tcPr>
          <w:p>
            <w:pPr>
              <w:spacing w:after="0"/>
              <w:rPr>
                <w:sz w:val="24"/>
                <w:szCs w:val="24"/>
                <w:color w:val="auto"/>
              </w:rPr>
            </w:pPr>
          </w:p>
        </w:tc>
        <w:tc>
          <w:tcPr>
            <w:tcW w:w="37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Quantitative and Qualitative Disclosures About Market Risk</w:t>
            </w:r>
          </w:p>
        </w:tc>
        <w:tc>
          <w:tcPr>
            <w:tcW w:w="38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8.</w:t>
            </w:r>
          </w:p>
        </w:tc>
        <w:tc>
          <w:tcPr>
            <w:tcW w:w="7600" w:type="dxa"/>
            <w:vAlign w:val="bottom"/>
            <w:gridSpan w:val="29"/>
          </w:tcPr>
          <w:p>
            <w:pPr>
              <w:spacing w:after="0"/>
              <w:rPr>
                <w:sz w:val="20"/>
                <w:szCs w:val="20"/>
                <w:color w:val="auto"/>
              </w:rPr>
            </w:pPr>
            <w:r>
              <w:rPr>
                <w:rFonts w:ascii="Arial" w:cs="Arial" w:eastAsia="Arial" w:hAnsi="Arial"/>
                <w:sz w:val="14"/>
                <w:szCs w:val="14"/>
                <w:color w:val="0000EE"/>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9.</w:t>
            </w:r>
          </w:p>
        </w:tc>
        <w:tc>
          <w:tcPr>
            <w:tcW w:w="7600" w:type="dxa"/>
            <w:vAlign w:val="bottom"/>
            <w:gridSpan w:val="29"/>
          </w:tcPr>
          <w:p>
            <w:pPr>
              <w:spacing w:after="0"/>
              <w:rPr>
                <w:sz w:val="20"/>
                <w:szCs w:val="20"/>
                <w:color w:val="auto"/>
              </w:rPr>
            </w:pPr>
            <w:r>
              <w:rPr>
                <w:rFonts w:ascii="Arial" w:cs="Arial" w:eastAsia="Arial" w:hAnsi="Arial"/>
                <w:sz w:val="14"/>
                <w:szCs w:val="14"/>
                <w:color w:val="0000EE"/>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9A.</w:t>
            </w:r>
          </w:p>
        </w:tc>
        <w:tc>
          <w:tcPr>
            <w:tcW w:w="260" w:type="dxa"/>
            <w:vAlign w:val="bottom"/>
            <w:gridSpan w:val="3"/>
          </w:tcPr>
          <w:p>
            <w:pPr>
              <w:spacing w:after="0"/>
              <w:rPr>
                <w:sz w:val="24"/>
                <w:szCs w:val="24"/>
                <w:color w:val="auto"/>
              </w:rPr>
            </w:pPr>
          </w:p>
        </w:tc>
        <w:tc>
          <w:tcPr>
            <w:tcW w:w="16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Controls and Procedures</w:t>
            </w:r>
          </w:p>
        </w:tc>
        <w:tc>
          <w:tcPr>
            <w:tcW w:w="600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9B.</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Other Information</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8"/>
              </w:rPr>
              <w:t>Item 9C.</w:t>
            </w: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Disclosure Regarding Foreign Jurisdictions that Prevent Inspections</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Borders>
              <w:top w:val="single" w:sz="8" w:color="0000EE"/>
            </w:tcBorders>
            <w:gridSpan w:val="23"/>
          </w:tcPr>
          <w:p>
            <w:pPr>
              <w:spacing w:after="0"/>
              <w:rPr>
                <w:sz w:val="20"/>
                <w:szCs w:val="20"/>
                <w:color w:val="auto"/>
              </w:rPr>
            </w:pPr>
            <w:r>
              <w:rPr>
                <w:rFonts w:ascii="Arial" w:cs="Arial" w:eastAsia="Arial" w:hAnsi="Arial"/>
                <w:sz w:val="14"/>
                <w:szCs w:val="14"/>
                <w:b w:val="1"/>
                <w:bCs w:val="1"/>
                <w:color w:val="0000EE"/>
              </w:rPr>
              <w:t>PART III</w:t>
            </w:r>
          </w:p>
        </w:tc>
        <w:tc>
          <w:tcPr>
            <w:tcW w:w="32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10.</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5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0000EE"/>
                <w:w w:val="94"/>
              </w:rPr>
              <w:t>Item 11.</w:t>
            </w:r>
          </w:p>
        </w:tc>
        <w:tc>
          <w:tcPr>
            <w:tcW w:w="20" w:type="dxa"/>
            <w:vAlign w:val="bottom"/>
            <w:tcBorders>
              <w:top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Executive Compensation</w:t>
            </w:r>
          </w:p>
        </w:tc>
        <w:tc>
          <w:tcPr>
            <w:tcW w:w="2000" w:type="dxa"/>
            <w:vAlign w:val="bottom"/>
            <w:tcBorders>
              <w:top w:val="single" w:sz="8" w:color="0000EE"/>
            </w:tcBorders>
            <w:gridSpan w:val="6"/>
          </w:tcPr>
          <w:p>
            <w:pPr>
              <w:spacing w:after="0"/>
              <w:rPr>
                <w:sz w:val="24"/>
                <w:szCs w:val="24"/>
                <w:color w:val="auto"/>
              </w:rPr>
            </w:pPr>
          </w:p>
        </w:tc>
        <w:tc>
          <w:tcPr>
            <w:tcW w:w="400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52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12.</w:t>
            </w:r>
          </w:p>
        </w:tc>
        <w:tc>
          <w:tcPr>
            <w:tcW w:w="300" w:type="dxa"/>
            <w:vAlign w:val="bottom"/>
            <w:gridSpan w:val="4"/>
          </w:tcPr>
          <w:p>
            <w:pPr>
              <w:spacing w:after="0"/>
              <w:rPr>
                <w:sz w:val="24"/>
                <w:szCs w:val="24"/>
                <w:color w:val="auto"/>
              </w:rPr>
            </w:pPr>
          </w:p>
        </w:tc>
        <w:tc>
          <w:tcPr>
            <w:tcW w:w="64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Security Ownership of Certain Beneficial Owners and Management and Related Stockholder Matters</w:t>
            </w:r>
          </w:p>
        </w:tc>
        <w:tc>
          <w:tcPr>
            <w:tcW w:w="11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13.</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5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14.</w:t>
            </w:r>
          </w:p>
        </w:tc>
        <w:tc>
          <w:tcPr>
            <w:tcW w:w="300" w:type="dxa"/>
            <w:vAlign w:val="bottom"/>
            <w:gridSpan w:val="4"/>
          </w:tcPr>
          <w:p>
            <w:pPr>
              <w:spacing w:after="0"/>
              <w:rPr>
                <w:sz w:val="24"/>
                <w:szCs w:val="2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Principal Accountant Fees and Services</w:t>
            </w:r>
          </w:p>
        </w:tc>
        <w:tc>
          <w:tcPr>
            <w:tcW w:w="2300" w:type="dxa"/>
            <w:vAlign w:val="bottom"/>
            <w:tcBorders>
              <w:top w:val="single" w:sz="8" w:color="0000EE"/>
            </w:tcBorders>
            <w:gridSpan w:val="7"/>
          </w:tcPr>
          <w:p>
            <w:pPr>
              <w:spacing w:after="0"/>
              <w:rPr>
                <w:sz w:val="24"/>
                <w:szCs w:val="24"/>
                <w:color w:val="auto"/>
              </w:rPr>
            </w:pPr>
          </w:p>
        </w:tc>
        <w:tc>
          <w:tcPr>
            <w:tcW w:w="27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b w:val="1"/>
                <w:bCs w:val="1"/>
                <w:color w:val="0000EE"/>
              </w:rPr>
              <w:t>PART IV</w:t>
            </w:r>
          </w:p>
        </w:tc>
        <w:tc>
          <w:tcPr>
            <w:tcW w:w="440" w:type="dxa"/>
            <w:vAlign w:val="bottom"/>
          </w:tcPr>
          <w:p>
            <w:pPr>
              <w:spacing w:after="0"/>
              <w:rPr>
                <w:sz w:val="24"/>
                <w:szCs w:val="24"/>
                <w:color w:val="auto"/>
              </w:rPr>
            </w:pPr>
          </w:p>
        </w:tc>
      </w:tr>
      <w:tr>
        <w:trPr>
          <w:trHeight w:val="20"/>
        </w:trPr>
        <w:tc>
          <w:tcPr>
            <w:tcW w:w="6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15.</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Exhibit and Financial Statement Schedules</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5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w w:val="98"/>
              </w:rPr>
              <w:t>Item 16.</w:t>
            </w:r>
          </w:p>
        </w:tc>
        <w:tc>
          <w:tcPr>
            <w:tcW w:w="300" w:type="dxa"/>
            <w:vAlign w:val="bottom"/>
            <w:gridSpan w:val="4"/>
          </w:tcPr>
          <w:p>
            <w:pPr>
              <w:spacing w:after="0"/>
              <w:rPr>
                <w:sz w:val="24"/>
                <w:szCs w:val="24"/>
                <w:color w:val="auto"/>
              </w:rPr>
            </w:pPr>
          </w:p>
        </w:tc>
        <w:tc>
          <w:tcPr>
            <w:tcW w:w="274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Form 10-K Summary</w:t>
            </w:r>
          </w:p>
        </w:tc>
        <w:tc>
          <w:tcPr>
            <w:tcW w:w="486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5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6"/>
        </w:trPr>
        <w:tc>
          <w:tcPr>
            <w:tcW w:w="68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8"/>
              </w:rPr>
              <w:t>Signatures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107</w:t>
            </w: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19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This Annual Report on Form 10 -K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but not limited to, the important factors discussed in Part I, Item 1A. “Risk Factors” in this Annual Report on Form 10-K, which are summarized below. Moreover, we operate in an evolving environment. New risk factors and uncertainties may emerge from time to time, and it is not possible for management to predict all risk factors and uncertainties.</w:t>
      </w:r>
    </w:p>
    <w:p>
      <w:pPr>
        <w:spacing w:after="0" w:line="177"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0"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174"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7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62" w:lineRule="exact"/>
        <w:rPr>
          <w:rFonts w:ascii="Times New Roman" w:cs="Times New Roman" w:eastAsia="Times New Roman" w:hAnsi="Times New Roman"/>
          <w:sz w:val="18"/>
          <w:szCs w:val="18"/>
          <w:color w:val="auto"/>
        </w:rPr>
      </w:pPr>
    </w:p>
    <w:p>
      <w:pPr>
        <w:ind w:left="720" w:right="8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CVRx is a commercial-stage medical device company focused on developing, manufacturing, and commercializing innovative and minimally invasive neuromodulation solutions for patients with cardiovascular disease. Barostim is the first medical technology approved by the U.S. Food and Drug Administration (the “FDA”) that uses neuromodulation to improve the symptoms of patients with heart failure (“HF”). Barostim is an implantable device that delivers electrical pulses to baroreceptors located in the wall of the carotid artery to counteract decreased baroreceptor signaling, which creates an imbalance in the brain’s Autonomic Nervous System (“ANS”) resulting in excess neurohormones that drive HF progression. Barostim provides Baroreflex Activation Therapy (“BAT,” or “Barostim Therapy”), which links the cardiovascular system to the ANS. This therapy complements the pharmaceutical neurohormonal blockade, or Guideline Directed Medical Therapy (“GDMT”), by increasing the signaling of the baroreceptors, thereby, reducing symptoms of HF. Barostim received the FDA Breakthrough Device designation and is FDA-approved for use in HF patients in the U.S. We estimate that our annual market opportunity for HFrEF is $2.2 billion in the U.S. and $2.8 billion in select European Markets (Germany, France, Italy, Spain, and the United Kingdom, or “European Five”).</w:t>
      </w:r>
    </w:p>
    <w:p>
      <w:pPr>
        <w:spacing w:after="0" w:line="167"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HF is one of the most prevalent and devastating cardiovascular diseases. We estimate that there are approximately 64 million people worldwide suffering from HF, including approximately 6.7 million people in the U.S. and 10.5 million people in the European Five. HF is characterized by the heart’s inability to effectively circulate blood throughout the body resulting in insufficient levels of oxygen and nourishment to various body parts. This impacts a patient’s ability to function and leads to a variety of symptoms such as shortness of breath, extreme fatigue, exercise intolerance, swelling, and fluid retention that affects the patient’s quality of life, both physically and emotionally. HF worsens over time due to maladaptive responses from the body’s control systems, mediated by the ANS, that lead to excessive neural and hormonal activation. Autonomic activation is also a significant mechanism involved with multiple other cardiovascular diseases, such as hypertension, angina pectoris, and cardiac arrhythmia, as well as other diseases, such as chronic kidney disease.</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currently focused on the treatment of patients with HF with reduced Ejection Fraction (“HFrEF”), which represent approximately 31% of the patients with HF. In HFrEF, the left ventricle loses its ability to contract properly, resulting in insufficient power to pump and push the necessary quantities of blood into circulation. Approximately 75% of HFrEF patients die within five years of being admitted to the hospital for HFrEF. Patients with HFrEF are typically placed on a treatment progression plan during which they are initially given Guideline Directed Medical Therapy (“GDMT”) to help manage symptoms, and then progress to more invasive and costly treatment options involving other implantable devices with the most severe patients often requiring Left Ventricular Assist Devices (“LVADs”) or heart transplants. These other implantable devices mostly target different HFrEF patient populations, may require an invasive procedure that places hardware directly inside the heart, and are not designed to address the imbalance of the ANS that causes the disease. We believe there is a significant need and market opportunity for a safe, effective, and minimally invasive device-based treatment option for HFrEF.</w:t>
      </w:r>
    </w:p>
    <w:p>
      <w:pPr>
        <w:spacing w:after="0" w:line="169"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We believe Barostim offers meaningful benefits for patients, physicians and payers that will continue to drive adoption of our therapy. The primary benefits include:</w:t>
      </w:r>
    </w:p>
    <w:p>
      <w:pPr>
        <w:spacing w:after="0" w:line="140" w:lineRule="exact"/>
        <w:rPr>
          <w:sz w:val="20"/>
          <w:szCs w:val="20"/>
          <w:color w:val="auto"/>
        </w:rPr>
      </w:pPr>
    </w:p>
    <w:p>
      <w:pPr>
        <w:ind w:left="180" w:right="119" w:hanging="130"/>
        <w:spacing w:after="0" w:line="275" w:lineRule="auto"/>
        <w:tabs>
          <w:tab w:leader="none" w:pos="180" w:val="left"/>
        </w:tabs>
        <w:numPr>
          <w:ilvl w:val="0"/>
          <w:numId w:val="5"/>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59" w:hanging="130"/>
        <w:spacing w:after="0" w:line="247"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399" w:hanging="135"/>
        <w:spacing w:after="0" w:line="242"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 Minute Hall Walk (“6MHW”) distance test): </w:t>
      </w:r>
      <w:r>
        <w:rPr>
          <w:rFonts w:ascii="Arial" w:cs="Arial" w:eastAsia="Arial" w:hAnsi="Arial"/>
          <w:sz w:val="18"/>
          <w:szCs w:val="18"/>
          <w:color w:val="auto"/>
        </w:rPr>
        <w:t>Our therapy demonstrated that patients in the Barostim group were able to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8" w:lineRule="exact"/>
        <w:rPr>
          <w:rFonts w:ascii="Arial" w:cs="Arial" w:eastAsia="Arial" w:hAnsi="Arial"/>
          <w:sz w:val="18"/>
          <w:szCs w:val="18"/>
          <w:color w:val="231F20"/>
        </w:rPr>
      </w:pPr>
    </w:p>
    <w:p>
      <w:pPr>
        <w:ind w:left="860" w:hanging="135"/>
        <w:spacing w:after="0"/>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Quality of life (measured by Minnesota Living with Heart Failure (“MLWHF”)</w:t>
      </w:r>
    </w:p>
    <w:p>
      <w:pPr>
        <w:spacing w:after="0" w:line="13" w:lineRule="exact"/>
        <w:rPr>
          <w:rFonts w:ascii="Arial" w:cs="Arial" w:eastAsia="Arial" w:hAnsi="Arial"/>
          <w:sz w:val="18"/>
          <w:szCs w:val="18"/>
          <w:color w:val="231F20"/>
        </w:rPr>
      </w:pPr>
    </w:p>
    <w:p>
      <w:pPr>
        <w:ind w:left="860" w:right="179"/>
        <w:spacing w:after="0" w:line="238" w:lineRule="auto"/>
        <w:rPr>
          <w:rFonts w:ascii="Arial" w:cs="Arial" w:eastAsia="Arial" w:hAnsi="Arial"/>
          <w:sz w:val="18"/>
          <w:szCs w:val="18"/>
          <w:color w:val="231F20"/>
        </w:rPr>
      </w:pPr>
      <w:r>
        <w:rPr>
          <w:rFonts w:ascii="Arial" w:cs="Arial" w:eastAsia="Arial" w:hAnsi="Arial"/>
          <w:sz w:val="18"/>
          <w:szCs w:val="18"/>
          <w:b w:val="1"/>
          <w:bCs w:val="1"/>
          <w:color w:val="auto"/>
        </w:rPr>
        <w:t xml:space="preserve">questionnaire): </w:t>
      </w:r>
      <w:r>
        <w:rPr>
          <w:rFonts w:ascii="Arial" w:cs="Arial" w:eastAsia="Arial" w:hAnsi="Arial"/>
          <w:sz w:val="18"/>
          <w:szCs w:val="18"/>
          <w:color w:val="auto"/>
        </w:rPr>
        <w:t>Our therapy improved quality of life by 14-points at six months, 8-points at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and 10-points after two years of therapy compared to patients receiving GDMT alone. Patients receiving Barostim Therapy for two years reported persistent improvement in their ability to work around the house, sleep, their sense of control, and their mobility, while feeling like less of a burden to their family or friends. A 5-point improvement in the MLWHF questionnaire is considered clinically meaningful.</w:t>
      </w:r>
    </w:p>
    <w:p>
      <w:pPr>
        <w:spacing w:after="0" w:line="167" w:lineRule="exact"/>
        <w:rPr>
          <w:rFonts w:ascii="Arial" w:cs="Arial" w:eastAsia="Arial" w:hAnsi="Arial"/>
          <w:sz w:val="18"/>
          <w:szCs w:val="18"/>
          <w:color w:val="231F20"/>
        </w:rPr>
      </w:pPr>
    </w:p>
    <w:p>
      <w:pPr>
        <w:ind w:left="860" w:right="99" w:hanging="135"/>
        <w:spacing w:after="0"/>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New York Heart Association (“NYHA”) classification):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demonstrated the following improvements in NYHA functional status versus the control group at the specific points in time, meaning Barostim demonstrated greater and sustained improvement: at six months, 67% in the Barostim group and 37% in the control group, favoring the Barostim group by 30 percentage points; at one year, 73% in the Barostim group and 41% in the control group, favoring the Barostim group by 32 percentage points; and, at two years, 68% in the Barostim group and 41% in the control group, favoring the Barostim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8" w:lineRule="exact"/>
        <w:rPr>
          <w:rFonts w:ascii="Arial" w:cs="Arial" w:eastAsia="Arial" w:hAnsi="Arial"/>
          <w:sz w:val="18"/>
          <w:szCs w:val="18"/>
          <w:color w:val="231F20"/>
        </w:rPr>
      </w:pPr>
    </w:p>
    <w:p>
      <w:pPr>
        <w:jc w:val="both"/>
        <w:ind w:left="860" w:right="13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cardiovascular (“CV”) mortality, LVAD/transplant, HF hospitalization and quality of life), the Win Ratio (defined below) was 1.26 in favor of the Barostim group.</w:t>
      </w:r>
    </w:p>
    <w:p>
      <w:pPr>
        <w:spacing w:after="0" w:line="168" w:lineRule="exact"/>
        <w:rPr>
          <w:rFonts w:ascii="Arial" w:cs="Arial" w:eastAsia="Arial" w:hAnsi="Arial"/>
          <w:sz w:val="18"/>
          <w:szCs w:val="18"/>
          <w:color w:val="231F20"/>
        </w:rPr>
      </w:pPr>
    </w:p>
    <w:p>
      <w:pPr>
        <w:ind w:left="860" w:right="13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Implant safety. </w:t>
      </w:r>
      <w:r>
        <w:rPr>
          <w:rFonts w:ascii="Arial" w:cs="Arial" w:eastAsia="Arial" w:hAnsi="Arial"/>
          <w:sz w:val="18"/>
          <w:szCs w:val="18"/>
          <w:color w:val="auto"/>
        </w:rPr>
        <w:t>The major adverse neurological or cardiovascular system or procedure-related event</w:t>
      </w:r>
      <w:r>
        <w:rPr>
          <w:rFonts w:ascii="Arial" w:cs="Arial" w:eastAsia="Arial" w:hAnsi="Arial"/>
          <w:sz w:val="18"/>
          <w:szCs w:val="18"/>
          <w:b w:val="1"/>
          <w:bCs w:val="1"/>
          <w:color w:val="auto"/>
        </w:rPr>
        <w:t xml:space="preserve"> </w:t>
      </w:r>
      <w:r>
        <w:rPr>
          <w:rFonts w:ascii="Arial" w:cs="Arial" w:eastAsia="Arial" w:hAnsi="Arial"/>
          <w:sz w:val="18"/>
          <w:szCs w:val="18"/>
          <w:color w:val="auto"/>
        </w:rPr>
        <w:t>(“MANCE”) free rate exceeded the performance criteria of 85%, with 121 out of 125 implanted patients being event free, resulting in an event-free rate of 97% (p &lt; 0.001; 95% 1-sided CI: 93% to 100%).</w:t>
      </w:r>
    </w:p>
    <w:p>
      <w:pPr>
        <w:spacing w:after="0" w:line="174"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In summary, the primary safety endpoint in the pre-market phase was previously met and subsequently confirmed in the post-market phase. In the pre-market phase, all effectiveness endpoints were previously met, demonstrating 6-month improvements in 6MHW, quality of life, NYHA Class and NT-proBNP (defined below). The post-market phase effectiveness primary endpoint of CV mortality and HF hospitalization was not met. Additional post-market phase effectiveness analyses (Win Ratio, freedom from all-cause mortality) suggested a favorable effect of Barostim Therapy. The totality of the 6, 12 and 24-month data demonstrated symptomatic improvements for HF patients who are NYHA Class III or Class II (who had a recent history of Class III) despite treatment with guideline-directed therapies and who have a LVEF ≤ 35% and a NT-proBNP&lt;1600 pg/ml.</w:t>
      </w:r>
    </w:p>
    <w:p>
      <w:pPr>
        <w:spacing w:after="0" w:line="154" w:lineRule="exact"/>
        <w:rPr>
          <w:sz w:val="20"/>
          <w:szCs w:val="20"/>
          <w:color w:val="auto"/>
        </w:rPr>
      </w:pPr>
    </w:p>
    <w:p>
      <w:pPr>
        <w:ind w:left="180" w:right="139" w:hanging="130"/>
        <w:spacing w:after="0" w:line="247"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complement GDMT to further address the imbalance of the ANS and the consequent excess of neurohormones that cause HFrEF and other cardiovascular diseases to worsen over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19" w:hanging="130"/>
        <w:spacing w:after="0"/>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Barostim Therapy’s trial results have been published in more than 65 peer-reviewed publications, approximately 25 of which relate to the treatment of HF, including, among others, the Journal of the American College of Cardiology and the European Journal of Heart Failure.</w:t>
      </w:r>
    </w:p>
    <w:p>
      <w:pPr>
        <w:spacing w:after="0" w:line="184" w:lineRule="exact"/>
        <w:rPr>
          <w:rFonts w:ascii="Arial" w:cs="Arial" w:eastAsia="Arial" w:hAnsi="Arial"/>
          <w:sz w:val="18"/>
          <w:szCs w:val="18"/>
          <w:color w:val="231F20"/>
        </w:rPr>
      </w:pPr>
    </w:p>
    <w:p>
      <w:pPr>
        <w:ind w:left="180" w:right="119" w:hanging="130"/>
        <w:spacing w:after="0" w:line="242"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implantable pulse generator (“IPG”) and stimulation lead</w:t>
      </w:r>
      <w:r>
        <w:rPr>
          <w:rFonts w:ascii="Arial" w:cs="Arial" w:eastAsia="Arial" w:hAnsi="Arial"/>
          <w:sz w:val="18"/>
          <w:szCs w:val="18"/>
          <w:b w:val="1"/>
          <w:bCs w:val="1"/>
          <w:color w:val="auto"/>
        </w:rPr>
        <w:t xml:space="preserve"> </w:t>
      </w:r>
      <w:r>
        <w:rPr>
          <w:rFonts w:ascii="Arial" w:cs="Arial" w:eastAsia="Arial" w:hAnsi="Arial"/>
          <w:sz w:val="18"/>
          <w:szCs w:val="18"/>
          <w:color w:val="auto"/>
        </w:rPr>
        <w:t>are implanted during a 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17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A Company-sponsored and co-authored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3"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is a minimally invasive neuromodulation device that consists of two implantable components, an IPG and a stimulation lead and is programmed by a wireless clinician-controlled programmer that communicates with the IPG. The IPG contains the electronics and battery in a hermetic enclosure and controls and delivers the imperceptible and persistent electrical pulses to the carotid baroreceptors through the stimulation lead attached to the exterior wall of the carotid artery. Barostim has no intravascular components. These electrical pulses delivered to the baroreceptors increase signals to the brain to modulate the cardiovascular function, thereby improving symptoms of HFrEF. Our wireless programmer allows physicians to verify and customize the therapy to the patient’s needs by adjusting the intensity and frequency of the electrical pulses.</w:t>
      </w:r>
    </w:p>
    <w:p>
      <w:pPr>
        <w:spacing w:after="0" w:line="167"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have developed a significant clinical data set that demonstrates the safety, effectiveness, patient adherence, and durable benefits of Barostim Therapy. Our BeAT-HF pivotal trial, which was a multi-center, prospective, randomized, controlled trial, met the primary safety and effectiveness endpoints and demonstrated meaningful improvement in the quality of life, both physically and emotionally, for patients suffering from HFrEF. These results led to FDA Premarket Approval (“PMA”) approval of Barostim in August 2019 on an accelerated basis of only four months from the submission of the clinical trial report.</w:t>
      </w:r>
    </w:p>
    <w:p>
      <w:pPr>
        <w:spacing w:after="0" w:line="16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BeAT-HF pivotal trial continued enrolling patients in the post-market stage of the trial in order to gather and evaluate additional, long-term data. In December 2023, the FDA approved expanded labeling for Barostim based on the BeAT-HF trial data, resulting in simplification and clarification of the indications for use, as well as inclusion of the primary endpoint results, the 6, 12 and 24 month symptomatic data, the Win Ratio and the all-cause mortality data in the “Clinical Summary” discussion included in Barostim’s indications for use. We currently believe our annual market opportunity in the U.S. is an estimated $2.2 billion, or 76,000 patients, based on this new long-term safety and effectiveness data as well as our commercial experience and, as discussed below, the new reimbursement assignment for Barostim in 2025.</w:t>
      </w:r>
    </w:p>
    <w:p>
      <w:pPr>
        <w:spacing w:after="0" w:line="167"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We continue to develop and expand upon our significant body of published clinical evidence that supports the meaningful benefits of Barostim Therapy. We are continuing to collect data through the U.S. patient registry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that we have established in order to evaluate and assess real world outcomes from HFrEF patients who have been implanted with Barostim.</w:t>
      </w:r>
    </w:p>
    <w:p>
      <w:pPr>
        <w:spacing w:after="0" w:line="14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electrophysiologists (“EPs”), HF specialists, interventional cardiologists, general cardiologists, and vascular surgeons. We are prioritizing our sales and marketing efforts on high volume cardiology centers that are strategically located and on educating and training physicians. We support all aspects of the patient journey, which includes initial diagnosis, surgical support, and patient follow-up. We also highlight our compelling clinical benefits and value proposition to build awareness and adoption among physicians through targeted key opinion leader (“KOL”) development, referral network education and direct-to-consumer marketing. We utilize direct communication channels to inform and educate patients about Barostim Therapy and utilize a qualification process to aid in the identification of the appropriate patients for our therapy. In the U.S., Barostim is reimbursed by the Centers for Medicare and Medicaid Services (“CMS”) across all regions. We assist with reimbursement approvals, if required. We plan to continue actively expanding our direct sales force and commercial organization in the U.S., which is where we expect to focus most of our sales and marketing efforts in the near-term.</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 the future, we plan to explore Barostim’s potential to expand its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71"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Our primary activities include continuing to increase education and awareness among physicians, advanced practice providers and patients, develop a more robust portfolio of clinical evidence, and improve patient access to Barostim Therapy. We generated revenue of $51.3 million, a gross margin of 84% and a net loss of</w:t>
      </w:r>
    </w:p>
    <w:p>
      <w:pPr>
        <w:spacing w:after="0" w:line="2"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$60.0 million for the year ended December 31, 2024, compared to revenue of $39.3 million, a gross margin of 84% and a net loss of $41.2 million for the year ended December 31, 2023. Our accumulated deficit as of December 31, 2024 and 2023, was $537.3 million and $477.4 million,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estimated that HF currently affects approximately 64 million people globally, including approximately</w:t>
      </w:r>
    </w:p>
    <w:p>
      <w:pPr>
        <w:spacing w:after="0" w:line="1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6.7 million people in the U.S. and approximately 10.5 million people in the European Five. HF is associated with a five-fold increase in sudden cardiac death. There is no known prevention for HF other than the treatment of the common risk factors associated with the disease, such as hypertension, diabetes, and obesity.</w:t>
      </w:r>
    </w:p>
    <w:p>
      <w:pPr>
        <w:spacing w:after="0" w:line="16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HF is a debilitating, progressive and potentially life-threatening condition where the heart does not pump enough blood throughout the body. Without proper blood circulation, insufficient levels of oxygen and nourishment are delivered to various body parts, impacting a person’s ability to function and leading to a variety of symptoms that affect quality of life, both physically and emotionally, such as shortness of breath, extreme fatigue, exercise intolerance, swelling and fluid retention. HF worsens over time due to maladaptive responses from the body’s control systems, mediated by the ANS, that lead to excessive neural and hormonal activation. Autonomic activation is also a significant mechanism involved with multiple other cardiovascular diseases, such as hypertension, angina pectoris and cardiac arrhythmia, as well as other diseases, such as chronic kidney disease.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the imbalance of ANS in HF</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ANS, which is a part of the peripheral nervous system, plays a vital role in the function of the heart. It is a collection of receptors and neurons that acts outside of a person’s conscious awareness, regulating bodily functions such as bodily fluid production, urination and sexual responses. There are two primary components of the ANS that impact heart functionality: the sympathetic system and the parasympathetic system.</w:t>
      </w:r>
    </w:p>
    <w:p>
      <w:pPr>
        <w:spacing w:after="0" w:line="160"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7"/>
          <w:szCs w:val="17"/>
          <w:color w:val="auto"/>
        </w:rPr>
        <w:t>The sympathetic system of the ANS is responsible for preparing the body for action through the “fight or flight” response, which consists of the release of specific neurohormones that act across the cardiovascular system. When the body perceives a threat in the environment, the sympathetic system stimulates the release of these neurohormones, which increase the heart rate, widen the airways to allow for easier breathing, release stored energy, increase strength in the muscles, and slow digestion and other bodily processes that are not as critical for taking action. These changes prepare the body to respond appropriately to a threat in its environment.</w:t>
      </w:r>
    </w:p>
    <w:p>
      <w:pPr>
        <w:spacing w:after="0" w:line="15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parasympathetic system of the ANS is responsible for restoring the body to a state of calm through the “rest and digest” counter response in order to maintain homeostasis. This is done by decreasing the heart rate, conserving energy, constricting the airways, relaxing the muscles, and increasing digestion.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110490</wp:posOffset>
            </wp:positionV>
            <wp:extent cx="2331720" cy="1929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317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These two systems are strongly influenced by baroreceptors that are located in carotid artery walls. The baroreceptors regulate the baroreflex, which is one of the mechanisms of the ANS that help to maintain blood pressure at nearly constant levels (i.e., homeostasis). Baroreceptors provide beat-by-beat regulation of the body’s circulatory system by sending electrical signals to the brain.</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Healthy individuals have balanced sympathetic and parasympathetic activities due to normal baroreceptor signaling, promoting the effective function of the heart. However, there are many factors, including a person’s diet, lifestyle, and underlying conditions such as diabetes and obesity that can contribute to an imbalance of the ANS and an excess of neurohormones. This imbalance, or the elevated levels of sympathetic activity and reduced levels of parasympathetic activity, may result in additional stress on the heart, leading to HF and potentially death.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HFrEF</w:t>
      </w:r>
    </w:p>
    <w:p>
      <w:pPr>
        <w:spacing w:after="0" w:line="196"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When the heart pumps, oxygen-rich blood travels from the lungs, through the left atrium and into the left ventricle from where it is pumped to the rest of the body. Given that the left ventricle is responsible for the majority of the heart’s pumping power, it is larger than the other chambers and critical for proper heart functionality. In left-sided or left-ventricular HF, the left side of the heart must work much harder to pump the same amount of blood it would under healthy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two types of left-sided HF, HFrEF, or systolic heart failure, and HF with preserved Ejection Fraction (“HFpEF”), or diastolic heart failure. In HFrEF, the left ventricle loses its ability to contract properly, resulting in insufficient power to pump and push the necessary quantities of blood into circulation. In HFpEF, the left ventricle loses its ability to relax properly (due to muscle stiffness), leading to the improper filling of blood in the heart during the resting period between heartbeats.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115570</wp:posOffset>
            </wp:positionV>
            <wp:extent cx="4834890" cy="2263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348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We are currently focused on the treatment of patients with HFrEF, which represents approximately 31% of the patients with HF. These patients currently have limited commercially available device-based treatment options that improve HFrEF symptoms such as shortness of breath, fatigue, weakness, swelling of the legs and feet, reduced ability to exercise, a persistent cough, an increased need to urinate and sudden weight gain. Approximately 75% of HFrEF patients die within five years of being admitted to the hospital for HFrEF.</w:t>
      </w:r>
    </w:p>
    <w:p>
      <w:pPr>
        <w:spacing w:after="0" w:line="16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Given HFrEF is a multifactorial and heterogeneous disease, physicians use a variety of indicators in the underlying pathology, severity of symptoms and a patient’s functional limitations to classify HF patients. Below are some of the common indicators used by cardiologists to diagnose HF:</w:t>
      </w:r>
    </w:p>
    <w:p>
      <w:pPr>
        <w:spacing w:after="0" w:line="155" w:lineRule="exact"/>
        <w:rPr>
          <w:sz w:val="20"/>
          <w:szCs w:val="20"/>
          <w:color w:val="auto"/>
        </w:rPr>
      </w:pPr>
    </w:p>
    <w:p>
      <w:pPr>
        <w:ind w:left="180" w:right="179" w:hanging="130"/>
        <w:spacing w:after="0"/>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NYHA classification: </w:t>
      </w:r>
      <w:r>
        <w:rPr>
          <w:rFonts w:ascii="Arial" w:cs="Arial" w:eastAsia="Arial" w:hAnsi="Arial"/>
          <w:sz w:val="18"/>
          <w:szCs w:val="18"/>
          <w:color w:val="auto"/>
        </w:rPr>
        <w:t>The NYHA classification guidelines are the most common measure of HF severity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 physicians to classify patients into four groups based on observed symptoms and functional limitations. The least severe functional status is NYHA Class I (mild) with the most advanced being NYHA Class IV (critical). The majority of patients are initially identified as NYHA Class I or II and typically progress into subsequently worse states of the disease despite current treatment options. On average, patients who progress to a NYHA Class III either worsen to Class IV or die after 3.3 years. HFrEF patients are typically classified as NYHA Class II (moderate) or Class III (severe).</w:t>
      </w:r>
    </w:p>
    <w:p>
      <w:pPr>
        <w:spacing w:after="0" w:line="171" w:lineRule="exact"/>
        <w:rPr>
          <w:rFonts w:ascii="Arial" w:cs="Arial" w:eastAsia="Arial" w:hAnsi="Arial"/>
          <w:sz w:val="18"/>
          <w:szCs w:val="18"/>
          <w:color w:val="231F20"/>
        </w:rPr>
      </w:pPr>
    </w:p>
    <w:p>
      <w:pPr>
        <w:ind w:left="180" w:right="159" w:hanging="130"/>
        <w:spacing w:after="0" w:line="244"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Level of N-terminal prohormone B-type natriuretic peptide (“NT-proBNP”): </w:t>
      </w:r>
      <w:r>
        <w:rPr>
          <w:rFonts w:ascii="Arial" w:cs="Arial" w:eastAsia="Arial" w:hAnsi="Arial"/>
          <w:sz w:val="18"/>
          <w:szCs w:val="18"/>
          <w:color w:val="auto"/>
        </w:rPr>
        <w:t>NT-proBNP, a non-active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prohormone in the heart, is released due to pressure changes inside the heart. NT-proBNP is considered to be at a normal level when it is &lt; 125pg/ml for patients 0-74 years old and &lt; 450pg/ml for patients 75-99 years old. Generally, patients with HF have elevated NT-proBNP levels, with those &gt; 1600pg/ml associated with an extremely poor prognosis and low responses to treatments.</w:t>
      </w:r>
    </w:p>
    <w:p>
      <w:pPr>
        <w:spacing w:after="0" w:line="176" w:lineRule="exact"/>
        <w:rPr>
          <w:rFonts w:ascii="Arial" w:cs="Arial" w:eastAsia="Arial" w:hAnsi="Arial"/>
          <w:sz w:val="18"/>
          <w:szCs w:val="18"/>
          <w:color w:val="231F20"/>
        </w:rPr>
      </w:pPr>
    </w:p>
    <w:p>
      <w:pPr>
        <w:ind w:left="180" w:right="99" w:hanging="130"/>
        <w:spacing w:after="0" w:line="253"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w:t>
      </w:r>
      <w:r>
        <w:rPr>
          <w:rFonts w:ascii="Arial" w:cs="Arial" w:eastAsia="Arial" w:hAnsi="Arial"/>
          <w:sz w:val="18"/>
          <w:szCs w:val="18"/>
          <w:color w:val="auto"/>
        </w:rPr>
        <w:t>LVEF is a widely utilized indicator of systolic heart function,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heart’s ability to pump blood throughout the body. It measures the percentage of blood that is ejected from the left ventricle with each beat. An LVEF &lt; 50% is considered dysfunctional and indicative of HFrEF.</w:t>
      </w:r>
    </w:p>
    <w:p>
      <w:pPr>
        <w:spacing w:after="0" w:line="168" w:lineRule="exact"/>
        <w:rPr>
          <w:rFonts w:ascii="Arial" w:cs="Arial" w:eastAsia="Arial" w:hAnsi="Arial"/>
          <w:sz w:val="18"/>
          <w:szCs w:val="18"/>
          <w:color w:val="231F20"/>
        </w:rPr>
      </w:pPr>
    </w:p>
    <w:p>
      <w:pPr>
        <w:ind w:left="180" w:right="479" w:hanging="130"/>
        <w:spacing w:after="0" w:line="301" w:lineRule="auto"/>
        <w:tabs>
          <w:tab w:leader="none" w:pos="180" w:val="left"/>
        </w:tabs>
        <w:numPr>
          <w:ilvl w:val="0"/>
          <w:numId w:val="9"/>
        </w:numPr>
        <w:rPr>
          <w:rFonts w:ascii="Arial" w:cs="Arial" w:eastAsia="Arial" w:hAnsi="Arial"/>
          <w:sz w:val="17"/>
          <w:szCs w:val="17"/>
          <w:color w:val="231F20"/>
        </w:rPr>
      </w:pPr>
      <w:r>
        <w:rPr>
          <w:rFonts w:ascii="Arial" w:cs="Arial" w:eastAsia="Arial" w:hAnsi="Arial"/>
          <w:sz w:val="17"/>
          <w:szCs w:val="17"/>
          <w:b w:val="1"/>
          <w:bCs w:val="1"/>
          <w:color w:val="auto"/>
        </w:rPr>
        <w:t xml:space="preserve">Co-morbidities / clinical fit: </w:t>
      </w:r>
      <w:r>
        <w:rPr>
          <w:rFonts w:ascii="Arial" w:cs="Arial" w:eastAsia="Arial" w:hAnsi="Arial"/>
          <w:sz w:val="17"/>
          <w:szCs w:val="17"/>
          <w:color w:val="auto"/>
        </w:rPr>
        <w:t>A patient’s co-morbidities, such as severe chronic obstructive pulmonary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(“COPD”), kidney disease or carotid stenosis, as well as a patient’s physical and psychological fit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39"/>
        <w:spacing w:after="0" w:line="271" w:lineRule="auto"/>
        <w:rPr>
          <w:sz w:val="20"/>
          <w:szCs w:val="20"/>
          <w:color w:val="auto"/>
        </w:rPr>
      </w:pPr>
      <w:r>
        <w:rPr>
          <w:rFonts w:ascii="Arial" w:cs="Arial" w:eastAsia="Arial" w:hAnsi="Arial"/>
          <w:sz w:val="18"/>
          <w:szCs w:val="18"/>
          <w:color w:val="auto"/>
        </w:rPr>
        <w:t>contribute to a physician’s treatment recommendation given the use of general anesthesia in most HF-related device-based treatment options.</w:t>
      </w:r>
    </w:p>
    <w:p>
      <w:pPr>
        <w:spacing w:after="0" w:line="154" w:lineRule="exact"/>
        <w:rPr>
          <w:sz w:val="20"/>
          <w:szCs w:val="20"/>
          <w:color w:val="auto"/>
        </w:rPr>
      </w:pPr>
    </w:p>
    <w:p>
      <w:pPr>
        <w:ind w:left="180" w:right="119" w:hanging="130"/>
        <w:spacing w:after="0"/>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QRS complex: </w:t>
      </w:r>
      <w:r>
        <w:rPr>
          <w:rFonts w:ascii="Arial" w:cs="Arial" w:eastAsia="Arial" w:hAnsi="Arial"/>
          <w:sz w:val="18"/>
          <w:szCs w:val="18"/>
          <w:color w:val="auto"/>
        </w:rPr>
        <w:t>The QRS complex is a classification of ventricle depolarization, or the heart’s ability to open</w:t>
      </w:r>
      <w:r>
        <w:rPr>
          <w:rFonts w:ascii="Arial" w:cs="Arial" w:eastAsia="Arial" w:hAnsi="Arial"/>
          <w:sz w:val="18"/>
          <w:szCs w:val="18"/>
          <w:b w:val="1"/>
          <w:bCs w:val="1"/>
          <w:color w:val="auto"/>
        </w:rPr>
        <w:t xml:space="preserve"> </w:t>
      </w:r>
      <w:r>
        <w:rPr>
          <w:rFonts w:ascii="Arial" w:cs="Arial" w:eastAsia="Arial" w:hAnsi="Arial"/>
          <w:sz w:val="18"/>
          <w:szCs w:val="18"/>
          <w:color w:val="auto"/>
        </w:rPr>
        <w:t>once contracted. It measures the way in which electrical signals travel through the heart and considers the mechanics and duration of the ventricle depolarization. A narrow QRS complex, or a QRS &lt; 120 milliseconds, is usually driven by a right bundle branch block, which is a blockage along the pathway that electrical pulses travel through to the right ventricle in order to generate a heartbeat. A wide QRS complex, or a QRS ≥ 150 milliseconds, is usually driven by a left bundle branch block, which is a blockage impacting the pathway to the left ventricle.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Existing treatments for HFrEF</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Patients with HFrEF are typically placed on a treatment progression plan during which they are initially given GDMT to help manage symptoms. GDMT usually includes a progression or combination of prescribed drugs such as diuretics, beta-blockers, ACE Inhibitors, ARBs, ARNIs, SGLT2 inhibitors and sinus node inhibitors. After being treated with pharmaceuticals for a short period, if the symptoms persist, patients move to more invasive and costly treatment options involving other implantable devices, with the most severe patients often requiring LVADs or heart transplants.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commercially available implantable devices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Cardiac Defibrillators (“ICD”)</w:t>
      </w:r>
    </w:p>
    <w:p>
      <w:pPr>
        <w:spacing w:after="0" w:line="19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ICDs are indicated for patients with NYHA Class II or III and LVEF ≤ 35% for both wide and narrow QRS. However, these devices are generally used to prevent sudden cardiac arrest rather than reduce HFrEF symptoms, as their electrical shocks focus on restoring a normal heartbeat when a heart beats too quickly or randomly. Given their purpose and mechanism of action, these devices are not a treatment for HFrEF but are used in conjunction with other treatment options that focus on reducing HF symptoms.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Resynchronization Therapy (“CRT”)</w:t>
      </w:r>
    </w:p>
    <w:p>
      <w:pPr>
        <w:spacing w:after="0" w:line="19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CRTs, or biventricular pacing, are indicated for patients with NYHA Class II or III, LVEF ≤ 35% and wide QRS. These devices are primarily used to reduce symptoms of HFrEF by generating electrical pulses to regulate the pace of a heartbeat. While CRTs can alleviate symptoms for patients with a wide QRS, they are not eligible for patients with a narrow QRS, which represents approximately 59% of patients with NYHA Class II or III and LVEF ≤ 35%. These devices can be combined with an ICD, which are referred to as CRT-D.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Contractility Modulation (“CCM”)</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CCM is eligible for patients with NYHA Class III, LVEF 25-45%, narrow QRS and normal sinus rhythm. CCM requires an invasive procedure whereby an IPG is implanted under the skin of the upper chest with electrical leads running through the veins and attached inside the heart’s ventricles, sending electrical pulses to the heart after it contracts. The device is rechargeable and therefore requires patients to recharge the battery on a regular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Left Ventricular Assist Device (“LVAD”)</w:t>
      </w:r>
    </w:p>
    <w:p>
      <w:pPr>
        <w:spacing w:after="0" w:line="19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LVAD is an irreversible, invasive surgery generally reserved for critical HFrEF patients with NYHA Class IV. An LVAD is a mechanical pump that is implanted inside a patient’s chest and helps pump blood throughout the body. While LVADs do not replace the heart, they do require open chest surgery and often result in the destruction of a portion of the heart. Patients who do not respond to LVADs usually have no other treatment options and become candidates for heart transplants.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Despite currently available pharmaceutical and device-based treatments, HF remains underpenetrated and imposes significant direct and indirect costs on the healthcare system through patient care, morbidity, unpaid care costs, premature mortality and lost productivity. We estimate there are approximately 1.2 million HF hospitalizations every year in the U.S., representing approximately $39.5 billion in annual spending.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Barostim’s market opportunity</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late 2023, we revised our U.S. annual market opportunity – based on the long-term safety and effectiveness data of BeAT-HF, our commercial experience and to account for the new reimbursement assignment for Barostim – to $ 2.2 billion, or 76,000 new patients per year. We have since also revised our estimate of the European Five annual HFrEF market opportunity to $2.8 billion, or 98,000 patients per year. This yields a total combined market of $5.0 billion, or 174,000 patients per year.</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developed our Barostim platform technology to transform the treatment of HFrEF and other cardiovascular diseases and become the standard of care for this vulnerable and underpenetrated patient population. We believe Barostim offers meaningful benefits for patients, physicians and payers that will continue to drive adoption of our therapy.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Barostim Therapy</w:t>
      </w:r>
    </w:p>
    <w:p>
      <w:pPr>
        <w:spacing w:after="0" w:line="21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integrated platform technology, Barostim, leverages the power of the brain and its ANS to address the primary cause of HFrEF and other cardiovascular diseases. Our product, Barostim, is the first and only commercially available neuromodulation device indicated to improve symptoms for patients with HFrEF. Barostim Therapy utilizes a widely accepted mechanism of action and works by sending imperceptible and persistent electrical pulses to baroreceptors located in the wall of the carotid artery to counteract decreased baroreceptor signaling, which results in an excess of neurohormones that drives HF progression. Barostim provides BAT, which complements the neurohormonal blockade, or GDMT, by increasing the signaling of the baroreceptors. This increased signaling is well understood to normalize blood pressure, improve remodeling of the heart, increase vasodilation (widening of blood vessels), and improve kidney function. Based on the results of our BeAT-HF pivotal trial, Barostim has demonstrated its ability to meaningfully improve the quality of daily life, both physically and emotionally, for patients suffering from HFrEF.</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w:t>
      </w:r>
    </w:p>
    <w:p>
      <w:pPr>
        <w:spacing w:after="0" w:line="210"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Barostim consists of two implantable components: an IPG and a stimulation lead. The image below depicts the relative location and size of Barostim under the patient’s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-27305</wp:posOffset>
            </wp:positionV>
            <wp:extent cx="1920240" cy="1920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pulse generator</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current IPG contains the electronics and battery in a hermetic enclosure, has an average service life of five to six years and includes a battery that does not require any recharging. The IPG provides control and delivery of electrical pulses to baroreceptors located in the wall of the carotid artery through the stimulation lead. Nominal dimensions for the current IPG are listed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113665</wp:posOffset>
            </wp:positionV>
            <wp:extent cx="1663065" cy="1851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0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Stimulation lead</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stimulation lead is attached via six suture points to the exterior wall of the carotid artery and is connected to the current IPG. This allows the stimulation lead to carry the electrical pulses from the IPG to the baroreceptors located in the wall of the carotid artery. The stimulation lead terminates with a two-millimeter electrode. There are two lengths of the stimulation lead available to allow for anatomical variations to be used at the physician’s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115570</wp:posOffset>
            </wp:positionV>
            <wp:extent cx="4972050" cy="154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surgical accessories</w:t>
      </w:r>
    </w:p>
    <w:p>
      <w:pPr>
        <w:spacing w:after="0" w:line="19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In addition to the IPG and stimulation lead, we provide physicians with single-use surgical tools, including the port plug, torque wrench, implant tool and implant adaptor, all of which were designed to facilitate the implantation of Barostim.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Programmer</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Once implanted, Barostim is managed wirelessly by a programmer that communicates with the IPG. The programmer can be used to assist in verifying the desired location of the stimulation electrode during the implant procedure and allows physicians to input their patient’s therapy parameters and retrieve information on the status of the IPG, including the remaining battery life, without touching the IPG 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113665</wp:posOffset>
            </wp:positionV>
            <wp:extent cx="3326130" cy="2082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613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patients with Barostim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Patient selection</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Barostim is indicated for patients who are NYHA Class III or II (who had a recent history of Class III) despite treatment with guideline-directed medical therapies (medications and devices), have a LVEF ≤ 35% and a NT-proBNP &lt; 1600 pg/ml. Barostim delivers BAT to improve patients’ NYHA functional status, 6MHW and quality of life.</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Once a patient is diagnosed with HFrEF and recommended for an ICD and/or CRT, interventional or general cardiologists will often refer them to EPs, who often conduct a series of diagnostic tests, including an electrocardiogram, ultrasound, and various blood tests, from which they will determine the patient’s eligibility for our therapy. Many of our indicated patients may have already been pre-indicated for an ICD, whether or not they chose to undergo the ICD implantation procedure.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Barostim is implanted during a short, minimally invasive procedure that is typically performed on an outpatient basis by a vascular surgeon and possibly an EP. The procedure has two steps. During the first step, a small incision is made on the right side of the neck to expose the carotid sinus. The physician uses the implant tool to hold the lead electrode in contact with the outside wall of the carotid artery while the lead is temporarily connected to the IPG to verify the location of the electrode. After the electrode is sutured in place, the second step begins by making a small incision below the right clavicle where a pocket is created under the skin to hold the IPG. The main body of the stimulation lead is tunneled under the skin, but over the clavicle, from the neck to the pocket. The lead connector is inserted and secured into the IPG header. Lastly, the IPG is placed in the pocket and a few stiches are used to close each incision.</w:t>
      </w:r>
    </w:p>
    <w:p>
      <w:pPr>
        <w:spacing w:after="0" w:line="17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This implantation procedure, which typically lasts one hour, is usually performed under general anesthesia and may require a short hospital stay. While patients may experience mild discomfort and swelling at the incision sites for a few days, this often can be managed with over-the-counter pain medications. Patients typically recover quickly and are discharged from the hospital within 24 hours of the procedure.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Activation/Titration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After Barostim is implanted and activated, the patient attends a few follow-up visits with their doctor, during which the device is progressively titrated from a moderate level to a higher amplitude of electrical stimulation. The primary objective of these follow-up visits is for the patient to reach the optimal level of stimulation, which is typically achieved approximately three months after implantation. The exact level of stimulation varies from patient to patient based on the response to Barostim Therapy. Barostim can be adjusted through a digital wireless programmer, allowing the clinician to monitor and customize the therapy to the patient’s needs by adjusting the intensity and frequency of the electrical pulses being sent to the carotid artery. After the titration period, it is recommended that the patient attend a clinical visit two times each year to check impedance, battery longevity and adequacy of programming.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benefits for patients, physicians and payers</w:t>
      </w:r>
    </w:p>
    <w:p>
      <w:pPr>
        <w:spacing w:after="0" w:line="21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Barostim is designed to advance patient care and provide a safe, effective, and economically attractive treatment option to an underserved patient population suffering from HFrEF. We believe the following factors offer meaningful benefits for patients, physicians and payers that will continue to drive broad adoption of our therapy:</w:t>
      </w:r>
    </w:p>
    <w:p>
      <w:pPr>
        <w:spacing w:after="0" w:line="160" w:lineRule="exact"/>
        <w:rPr>
          <w:sz w:val="20"/>
          <w:szCs w:val="20"/>
          <w:color w:val="auto"/>
        </w:rPr>
      </w:pPr>
    </w:p>
    <w:p>
      <w:pPr>
        <w:ind w:left="180" w:right="119" w:hanging="130"/>
        <w:spacing w:after="0" w:line="275" w:lineRule="auto"/>
        <w:tabs>
          <w:tab w:leader="none" w:pos="180" w:val="left"/>
        </w:tabs>
        <w:numPr>
          <w:ilvl w:val="0"/>
          <w:numId w:val="11"/>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1" w:lineRule="exact"/>
        <w:rPr>
          <w:rFonts w:ascii="Arial" w:cs="Arial" w:eastAsia="Arial" w:hAnsi="Arial"/>
          <w:sz w:val="17"/>
          <w:szCs w:val="17"/>
          <w:color w:val="231F20"/>
        </w:rPr>
      </w:pPr>
    </w:p>
    <w:p>
      <w:pPr>
        <w:ind w:left="180" w:right="199" w:hanging="130"/>
        <w:spacing w:after="0" w:line="247"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99" w:hanging="135"/>
        <w:spacing w:after="0" w:line="244"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that patients in the Barostim group were able to improve the 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6" w:lineRule="exact"/>
        <w:rPr>
          <w:rFonts w:ascii="Arial" w:cs="Arial" w:eastAsia="Arial" w:hAnsi="Arial"/>
          <w:sz w:val="18"/>
          <w:szCs w:val="18"/>
          <w:color w:val="231F20"/>
        </w:rPr>
      </w:pPr>
    </w:p>
    <w:p>
      <w:pPr>
        <w:ind w:left="860" w:right="99" w:hanging="135"/>
        <w:spacing w:after="0" w:line="242"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Our therapy improved quality of life by 14-points at six months, 8-points at one year and 10-points after two years of therapy compared to patients receiving GDMT alone. Patients receiving Barostim Therapy for two years reported persistent improvement in their ability to work around the house, sleep, their sense of control, and their mobility, while feeling like less of a burden to their family or friends. A 5-point improvement in the MLWHF questionnaire is considered clinically meaningful.</w:t>
      </w:r>
    </w:p>
    <w:p>
      <w:pPr>
        <w:spacing w:after="0" w:line="178" w:lineRule="exact"/>
        <w:rPr>
          <w:rFonts w:ascii="Arial" w:cs="Arial" w:eastAsia="Arial" w:hAnsi="Arial"/>
          <w:sz w:val="18"/>
          <w:szCs w:val="18"/>
          <w:color w:val="231F20"/>
        </w:rPr>
      </w:pPr>
    </w:p>
    <w:p>
      <w:pPr>
        <w:ind w:left="860" w:right="139" w:hanging="135"/>
        <w:spacing w:after="0"/>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Our therapy demonstrated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NYHA functional status versus the control group at the specific points in time, meaning Barostim demonstrated greater and sustained improvement: at six months, 67% in the Barostim group and 37% in the control group, favoring the Barostim group by 30 percentage points; at one year, 73% in the Barostim group and 41% in the control group, favoring the Barostim group by 32 percentage points; and, at two years, 68% in the Barostim group and 41% in the control group, favoring the Barostim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60" w:right="99" w:hanging="135"/>
        <w:spacing w:after="0" w:line="253"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CV mortality, LVAD/transplant, HF hospitalization and quality of life), the Win Ratio was 1.26 in favor of the Barostim group.</w:t>
      </w:r>
    </w:p>
    <w:p>
      <w:pPr>
        <w:spacing w:after="0" w:line="168" w:lineRule="exact"/>
        <w:rPr>
          <w:rFonts w:ascii="Arial" w:cs="Arial" w:eastAsia="Arial" w:hAnsi="Arial"/>
          <w:sz w:val="18"/>
          <w:szCs w:val="18"/>
          <w:color w:val="231F20"/>
        </w:rPr>
      </w:pPr>
    </w:p>
    <w:p>
      <w:pPr>
        <w:ind w:left="860" w:right="119" w:hanging="135"/>
        <w:spacing w:after="0" w:line="253"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Implant safety. </w:t>
      </w:r>
      <w:r>
        <w:rPr>
          <w:rFonts w:ascii="Arial" w:cs="Arial" w:eastAsia="Arial" w:hAnsi="Arial"/>
          <w:sz w:val="18"/>
          <w:szCs w:val="18"/>
          <w:color w:val="auto"/>
        </w:rPr>
        <w:t>The MANCE-free rate exceeded the performance criteria of 85%, with 121 out of 125</w:t>
      </w:r>
      <w:r>
        <w:rPr>
          <w:rFonts w:ascii="Arial" w:cs="Arial" w:eastAsia="Arial" w:hAnsi="Arial"/>
          <w:sz w:val="18"/>
          <w:szCs w:val="18"/>
          <w:b w:val="1"/>
          <w:bCs w:val="1"/>
          <w:color w:val="auto"/>
        </w:rPr>
        <w:t xml:space="preserve"> </w:t>
      </w:r>
      <w:r>
        <w:rPr>
          <w:rFonts w:ascii="Arial" w:cs="Arial" w:eastAsia="Arial" w:hAnsi="Arial"/>
          <w:sz w:val="18"/>
          <w:szCs w:val="18"/>
          <w:color w:val="auto"/>
        </w:rPr>
        <w:t>implanted patients being event free, resulting in an event-free rate of 97% (p &lt; 0.001; 95% 1-sided CI: 93% to 100%).</w:t>
      </w:r>
    </w:p>
    <w:p>
      <w:pPr>
        <w:spacing w:after="0" w:line="169"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significant benefits of our therapy were observed despite a four-fold uptake of ARNI medication in the control arm, as compared to the device arm.</w:t>
      </w:r>
    </w:p>
    <w:p>
      <w:pPr>
        <w:spacing w:after="0" w:line="140" w:lineRule="exact"/>
        <w:rPr>
          <w:sz w:val="20"/>
          <w:szCs w:val="20"/>
          <w:color w:val="auto"/>
        </w:rPr>
      </w:pPr>
    </w:p>
    <w:p>
      <w:pPr>
        <w:ind w:left="180" w:right="13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complement GDMT to further address the imbalance of the ANS and the consequent excess of neurohormones that cause HFrEF and other cardiovascular diseases to worsen over time.</w:t>
      </w:r>
    </w:p>
    <w:p>
      <w:pPr>
        <w:spacing w:after="0" w:line="173"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The BeAT-HF pivotal trial, which was a multi-center, prospective, randomized, controlled trial, met its primary endpoints and the positive safety and effectiveness data exceeded the pre-specified performance criteria across multiple dimensions, measuring the improvement in the quality of patients’ daily lives. Barostim Therapy’s trial results have been published in more than 65 peer-reviewed publications, approximately 25 of which relate to the treatment of HF, including, among others, the Journal of the American College of Cardiology and the European Journal of Heart Failure.</w:t>
      </w:r>
    </w:p>
    <w:p>
      <w:pPr>
        <w:spacing w:after="0" w:line="183" w:lineRule="exact"/>
        <w:rPr>
          <w:rFonts w:ascii="Arial" w:cs="Arial" w:eastAsia="Arial" w:hAnsi="Arial"/>
          <w:sz w:val="18"/>
          <w:szCs w:val="18"/>
          <w:color w:val="231F20"/>
        </w:rPr>
      </w:pPr>
    </w:p>
    <w:p>
      <w:pPr>
        <w:ind w:left="180" w:right="159" w:hanging="130"/>
        <w:spacing w:after="0" w:line="242"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IPG and stimulation lead are implanted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79" w:hanging="130"/>
        <w:spacing w:after="0" w:line="242"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In addition to providing improved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health-related benefits and quality of life for patients, we estimate Barostim has the potential to result in cost savings to healthcare systems. A Company-sponsored and co-authored 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8"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12" w:lineRule="exact"/>
        <w:rPr>
          <w:sz w:val="20"/>
          <w:szCs w:val="20"/>
          <w:color w:val="auto"/>
        </w:rPr>
      </w:pPr>
    </w:p>
    <w:p>
      <w:pPr>
        <w:ind w:left="60" w:right="399"/>
        <w:spacing w:after="0" w:line="257" w:lineRule="auto"/>
        <w:rPr>
          <w:sz w:val="20"/>
          <w:szCs w:val="20"/>
          <w:color w:val="auto"/>
        </w:rPr>
      </w:pPr>
      <w:r>
        <w:rPr>
          <w:rFonts w:ascii="Arial" w:cs="Arial" w:eastAsia="Arial" w:hAnsi="Arial"/>
          <w:sz w:val="17"/>
          <w:szCs w:val="17"/>
          <w:color w:val="auto"/>
        </w:rPr>
        <w:t>The safety and effectiveness of Barostim in HFrEF is supported by compelling data, which demonstrated similarly robust and reproducible results across our three clinical trials evaluating 624 patients in aggregate across the U.S., Germany, Italy, France, Canada, and the United Kingdom. We designed our BeAT-HF (Phase III) pivotal trial in collaboration with the FDA under the Breakthrough Devices Program, which was implemented to accelerate the approval of novel therapies targeting unmet needs for debilitating or life-threatening conditions. The pre-market phase of our BeAT-HF pivotal trial met the primary safety and effectiveness endpoints and demonstrated meaningful improvement in the quality of life, both physically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emotionally, for patients suffering from HFrEF. These results led to the FDA approval of Barostim in</w:t>
      </w:r>
    </w:p>
    <w:p>
      <w:pPr>
        <w:spacing w:after="0" w:line="1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August 2019 on an accelerated basis of only four months from the submission of the final clinical trial report. The post-market phase BeAT-HF pivotal trial met the primary safety endpoint, and although it did not meet the primary effectiveness endpoint, showed sustained improvements in exercise capacity, quality of life and NYHA functional status, and favored Barostim in freedom from all-cause mortality, LVAD or transplant and in the Win Ratio. This led to the FDA approval of expanded labeling with these results and a simplification and clarification of the following indications for use.</w:t>
      </w:r>
    </w:p>
    <w:p>
      <w:pPr>
        <w:spacing w:after="0" w:line="168"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Barostim is indicated for patients who are NYHA Class III or Class II (with a recent history of Class III) despite treatment with guideline-directed medical therapies (medications and devices), have a LVEF ≤ 35% and a NT-proBNP &lt; 1,600 pg/ml. Barostim delivers BAT to improve patients’ NYHA functional status, 6MHW and quality of life.</w:t>
      </w:r>
    </w:p>
    <w:p>
      <w:pPr>
        <w:spacing w:after="0" w:line="16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safety and effectiveness of Barostim Therapy have been published in more than 65 peer-reviewed publications, approximately 25 of which relate to the treatment of HF, including, among others, the publications on the pivotal trial results in the Journal of the American College of Cardiology and the European Journal of Heart Failure.</w:t>
      </w:r>
    </w:p>
    <w:p>
      <w:pPr>
        <w:spacing w:after="0" w:line="16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have established a U.S. patient registry to evaluate and assess real world patient outcomes from patients who have been implanted with Barostim. Investment in clinical evidence continues to be one of our core strategies, and we intend to continue to develop and expand upon a significant body of published clinical evidence that supports the safety and effectiveness of Barostim Therapy.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BeAT-HF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BeAT-HF was a multi-center, prospective, randomized, controlled trial that began in April 2016 to develop scientific evidence for the safety and effectiveness of BAT with Barostim. Between May 2016 and July 2020, 467 adult patients were randomized at 72 sites within the U.S. and one site in the United Kingdom.</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BeAT-HF study was designed to encompass two stages in an integrated and seamless approach:</w:t>
      </w:r>
    </w:p>
    <w:p>
      <w:pPr>
        <w:spacing w:after="0" w:line="198" w:lineRule="exact"/>
        <w:rPr>
          <w:sz w:val="20"/>
          <w:szCs w:val="20"/>
          <w:color w:val="auto"/>
        </w:rPr>
      </w:pPr>
    </w:p>
    <w:p>
      <w:pPr>
        <w:ind w:left="60" w:right="419" w:hanging="10"/>
        <w:spacing w:after="0" w:line="271"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pre-market stage that examined three primary effectiveness endpoints (quality of life, 6MHW and NT-proBNP), as well as one safety endpoint that included the MANCE-free rate.</w:t>
      </w:r>
    </w:p>
    <w:p>
      <w:pPr>
        <w:spacing w:after="0" w:line="140" w:lineRule="exact"/>
        <w:rPr>
          <w:rFonts w:ascii="Arial" w:cs="Arial" w:eastAsia="Arial" w:hAnsi="Arial"/>
          <w:sz w:val="18"/>
          <w:szCs w:val="18"/>
          <w:color w:val="auto"/>
        </w:rPr>
      </w:pPr>
    </w:p>
    <w:p>
      <w:pPr>
        <w:ind w:left="60" w:right="319" w:hanging="10"/>
        <w:spacing w:after="0" w:line="271"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post-market stage that examined the effects of BAT on rates of HF hospitalization and CV mortality, as well as sustained safety and symptomatic improvements, which expanded the labeling for Barostim.</w:t>
      </w:r>
    </w:p>
    <w:p>
      <w:pPr>
        <w:spacing w:after="0" w:line="14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Patients were eligible for the trial if they were NYHA Class III or Class II (with a recent history of Class III); had an LVEF ≤ 35% and NT-proBNP &lt; 1,600 pg/ml; were able to complete a 6MHW distance of 150 to 400 meters; were on stable optimal GDMT for ≥ 4 weeks; had at least one carotid artery that was below the level of the mandible with no ulcerative carotid arterial plaques or stenosis ≥ 50%; and were an acceptable surgical candidate.</w:t>
      </w:r>
    </w:p>
    <w:p>
      <w:pPr>
        <w:spacing w:after="0" w:line="16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Patients who had a Class I indication for a CRT according to the American Heart Association/American College of Cardiology/European Society of Cardiology guidelines were excluded, and there were no restrictions for atrial fibrillation or atrial flutter.</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summary, the primary safety endpoint in the pre-market phase was previously met and confirmed in the post-market phase. In the pre-market phase, all effectiveness endpoints were previously met, demonstrating 6-month improvements in 6MHW, quality of life, NYHA Class and NT-proBNP. The post-market phase effectiveness primary endpoint of CV mortality and HF hospitalization was not met. Additional post-market phase effectiveness analyses (Win Ratio and freedom from all-cause mortality) suggested a favorable effect of Barostim Therapy. The totality of the 6, 12 and 24-month data demonstrated symptomatic improvements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for HF patients who are NYHA Class III or Class II (who had a recent history of Class III) despite treatment with guideline-directed therapies and who have a LVEF ≤ 35% and a NT-proBNP &lt; 1600 pg/ml.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Pre-market phase results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and significantly improves the patient-centered symptomatic endpoints of the quality-of-life score, 6MHW and NYHA functional status, as well as the confirmatory nature of the evidence provided by a reduction of NT-proBNP.</w:t>
      </w:r>
    </w:p>
    <w:p>
      <w:pPr>
        <w:spacing w:after="0" w:line="160" w:lineRule="exact"/>
        <w:rPr>
          <w:sz w:val="20"/>
          <w:szCs w:val="20"/>
          <w:color w:val="auto"/>
        </w:rPr>
      </w:pPr>
    </w:p>
    <w:p>
      <w:pPr>
        <w:ind w:left="180" w:right="239" w:hanging="130"/>
        <w:spacing w:after="0" w:line="245"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BAT resulted in a 14-point improvement in quality of</w:t>
      </w:r>
      <w:r>
        <w:rPr>
          <w:rFonts w:ascii="Arial" w:cs="Arial" w:eastAsia="Arial" w:hAnsi="Arial"/>
          <w:sz w:val="18"/>
          <w:szCs w:val="18"/>
          <w:b w:val="1"/>
          <w:bCs w:val="1"/>
          <w:color w:val="auto"/>
        </w:rPr>
        <w:t xml:space="preserve"> </w:t>
      </w:r>
      <w:r>
        <w:rPr>
          <w:rFonts w:ascii="Arial" w:cs="Arial" w:eastAsia="Arial" w:hAnsi="Arial"/>
          <w:sz w:val="18"/>
          <w:szCs w:val="18"/>
          <w:color w:val="auto"/>
        </w:rPr>
        <w:t>life for patients in the Barostim group relative to patients in the control group (p &lt; 0.001; 95%</w:t>
      </w:r>
    </w:p>
    <w:p>
      <w:pPr>
        <w:ind w:left="180" w:right="119"/>
        <w:spacing w:after="0"/>
        <w:rPr>
          <w:rFonts w:ascii="Arial" w:cs="Arial" w:eastAsia="Arial" w:hAnsi="Arial"/>
          <w:sz w:val="18"/>
          <w:szCs w:val="18"/>
          <w:color w:val="231F20"/>
        </w:rPr>
      </w:pPr>
      <w:r>
        <w:rPr>
          <w:rFonts w:ascii="Arial" w:cs="Arial" w:eastAsia="Arial" w:hAnsi="Arial"/>
          <w:sz w:val="18"/>
          <w:szCs w:val="18"/>
          <w:color w:val="auto"/>
        </w:rPr>
        <w:t>CI: -19 to -9). MLWHF is a self-administered disease-specific questionnaire for HF, which is comprised of 21 questions rated on six-point Likert scales, representing different degrees of impact of HF on a patient’s quality of life, and is approved by the FDA as a Medical Device Development Tool. According to the medical community, a 5-point improvement is considered to be clinically meaningful.</w:t>
      </w:r>
    </w:p>
    <w:p>
      <w:pPr>
        <w:spacing w:after="0" w:line="180" w:lineRule="exact"/>
        <w:rPr>
          <w:rFonts w:ascii="Arial" w:cs="Arial" w:eastAsia="Arial" w:hAnsi="Arial"/>
          <w:sz w:val="18"/>
          <w:szCs w:val="18"/>
          <w:color w:val="231F20"/>
        </w:rPr>
      </w:pPr>
    </w:p>
    <w:p>
      <w:pPr>
        <w:ind w:left="180" w:right="219" w:hanging="130"/>
        <w:spacing w:after="0" w:line="244"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BAT resulted in a 60-meter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distance patients in the Barostim group were able to walk on a flat, hard surface in a six-minute period relative to that of patients in the control group (p &lt; 0.001; 95% CI: 40 to 80 meters). According to the medical community, the 6MHW is an index of a patient’s ability to perform daily activities; an improvement of 25 meters or more is considered to be clinically meaningful to HFrEF patients.</w:t>
      </w:r>
    </w:p>
    <w:p>
      <w:pPr>
        <w:spacing w:after="0" w:line="176" w:lineRule="exact"/>
        <w:rPr>
          <w:rFonts w:ascii="Arial" w:cs="Arial" w:eastAsia="Arial" w:hAnsi="Arial"/>
          <w:sz w:val="18"/>
          <w:szCs w:val="18"/>
          <w:color w:val="231F20"/>
        </w:rPr>
      </w:pPr>
    </w:p>
    <w:p>
      <w:pPr>
        <w:ind w:left="180" w:hanging="130"/>
        <w:spacing w:after="0"/>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BAT demonstrated that 65% of patients in the</w:t>
      </w:r>
    </w:p>
    <w:p>
      <w:pPr>
        <w:spacing w:after="0" w:line="13" w:lineRule="exact"/>
        <w:rPr>
          <w:rFonts w:ascii="Arial" w:cs="Arial" w:eastAsia="Arial" w:hAnsi="Arial"/>
          <w:sz w:val="18"/>
          <w:szCs w:val="18"/>
          <w:color w:val="231F20"/>
        </w:rPr>
      </w:pPr>
    </w:p>
    <w:p>
      <w:pPr>
        <w:ind w:left="180"/>
        <w:spacing w:after="0" w:line="234" w:lineRule="auto"/>
        <w:rPr>
          <w:rFonts w:ascii="Arial" w:cs="Arial" w:eastAsia="Arial" w:hAnsi="Arial"/>
          <w:sz w:val="18"/>
          <w:szCs w:val="18"/>
          <w:color w:val="231F20"/>
        </w:rPr>
      </w:pPr>
      <w:r>
        <w:rPr>
          <w:rFonts w:ascii="Arial" w:cs="Arial" w:eastAsia="Arial" w:hAnsi="Arial"/>
          <w:sz w:val="18"/>
          <w:szCs w:val="18"/>
          <w:color w:val="auto"/>
        </w:rPr>
        <w:t>Barostim group improved at least one NYHA class (p &lt; 0.001; 95% CI: 22% to 46%) as compared to only</w:t>
      </w:r>
    </w:p>
    <w:p>
      <w:pPr>
        <w:ind w:left="180" w:right="79"/>
        <w:spacing w:after="0" w:line="250" w:lineRule="auto"/>
        <w:rPr>
          <w:rFonts w:ascii="Arial" w:cs="Arial" w:eastAsia="Arial" w:hAnsi="Arial"/>
          <w:sz w:val="18"/>
          <w:szCs w:val="18"/>
          <w:color w:val="231F20"/>
        </w:rPr>
      </w:pPr>
      <w:r>
        <w:rPr>
          <w:rFonts w:ascii="Arial" w:cs="Arial" w:eastAsia="Arial" w:hAnsi="Arial"/>
          <w:sz w:val="18"/>
          <w:szCs w:val="18"/>
          <w:color w:val="auto"/>
        </w:rPr>
        <w:t>31% in the control group and 13% of patients in the Barostim group improved two NYHA classes as compared to only 2% in the control group.</w:t>
      </w:r>
    </w:p>
    <w:p>
      <w:pPr>
        <w:spacing w:after="0" w:line="171" w:lineRule="exact"/>
        <w:rPr>
          <w:rFonts w:ascii="Arial" w:cs="Arial" w:eastAsia="Arial" w:hAnsi="Arial"/>
          <w:sz w:val="18"/>
          <w:szCs w:val="18"/>
          <w:color w:val="231F20"/>
        </w:rPr>
      </w:pPr>
    </w:p>
    <w:p>
      <w:pPr>
        <w:ind w:left="180" w:right="179" w:hanging="130"/>
        <w:spacing w:after="0" w:line="244"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BAT resulted in a 25%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(improvement) in NT-proBNP for patients in the Barostim group relative to that of patients in the control group (p=0.004; 95% CI = -38% to -9%). According to independent research that took place in a large multicenter pharmaceutical clinical trial, a 10% change in NT-proBNP is associated with a change in the subsequent risk of CV mortality and HF hospitalization.</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MANCE-free rate exceeded the performance criteria of 85%, with 121 out of 125 implanted patients being event free, resulting in an event-free rate of 97% (p &lt; 0.001; 95% 1-sided CI: 93% to 100%).</w:t>
      </w:r>
    </w:p>
    <w:p>
      <w:pPr>
        <w:spacing w:after="0" w:line="14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to the results noted above, we observed a reduction in the rate of cardiovascular serious adverse events (non-HF related events) by 51% (events per patient-year; 0.101 Barostim group vs 0.206 control group; nominal p= 0.023; 95% CI: 0.10 to 0.73) and there were no significant differences in blood pressure or heart rate.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phase results</w:t>
      </w:r>
    </w:p>
    <w:p>
      <w:pPr>
        <w:spacing w:after="0" w:line="19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BeAT-HF pivotal trial continued enrolling patients in the post-market stage of the trial to determine if Barostim demonstrates a statistically significant improvement in morbidity and mortality in patients with HFrEF. Between May 2019 and July 2020, an additional 59 adult patients were randomized at 17 sites within the U.S. as part of the post-market phase of the trial.</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showed a directional reduction in the primary endpoint of CV mortality and HF morbidity (although not reaching statistical significance), and favored patient-centered symptomatic improvements at 6 and 12 months in 6MHW and at 6,12 and 24 months in the MLWHF quality of life questionnaire and NYHA Class.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99" w:hanging="130"/>
        <w:spacing w:after="0" w:line="244" w:lineRule="auto"/>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The Barostim group showed 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at both 6 and 12 months compared to the control group. The difference between the arms at 6 months was 56 meters and at 12 months the difference was sustained with 44 meters. These improvements between the groups are not only statistically significant, but they are approximately twice the clinically significant value of 25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123825</wp:posOffset>
            </wp:positionV>
            <wp:extent cx="3360420" cy="1602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042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right="439" w:hanging="130"/>
        <w:spacing w:after="0" w:line="247" w:lineRule="auto"/>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questionnaire): </w:t>
      </w:r>
      <w:r>
        <w:rPr>
          <w:rFonts w:ascii="Arial" w:cs="Arial" w:eastAsia="Arial" w:hAnsi="Arial"/>
          <w:sz w:val="18"/>
          <w:szCs w:val="18"/>
          <w:color w:val="auto"/>
        </w:rPr>
        <w:t>The Barostim group showed an improvement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of life points ranging from 17 to 20 points from baseline across the follow-up visits. The differences between the groups at 6, 12 and 24 months are -14, -8 and -10, respectively, which is not only statistically significant, but is greater than a clinically meaningful difference of 5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122555</wp:posOffset>
            </wp:positionV>
            <wp:extent cx="3514725" cy="1859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1472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339" w:hanging="130"/>
        <w:spacing w:after="0" w:line="247"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Approximately two-thirds of the Barostim group</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at least one NYHA class across the follow-up visits. Additionally, the percentage of subjects improving between the arms at 6, 12, and 24 months was higher in the Barostim group compared to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122555</wp:posOffset>
            </wp:positionV>
            <wp:extent cx="3377565" cy="1920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7756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right="99" w:hanging="130"/>
        <w:spacing w:after="0" w:line="254" w:lineRule="auto"/>
        <w:tabs>
          <w:tab w:leader="none" w:pos="180" w:val="left"/>
        </w:tabs>
        <w:numPr>
          <w:ilvl w:val="0"/>
          <w:numId w:val="19"/>
        </w:numPr>
        <w:rPr>
          <w:rFonts w:ascii="Arial" w:cs="Arial" w:eastAsia="Arial" w:hAnsi="Arial"/>
          <w:sz w:val="17"/>
          <w:szCs w:val="17"/>
          <w:color w:val="231F20"/>
        </w:rPr>
      </w:pPr>
      <w:r>
        <w:rPr>
          <w:rFonts w:ascii="Arial" w:cs="Arial" w:eastAsia="Arial" w:hAnsi="Arial"/>
          <w:sz w:val="17"/>
          <w:szCs w:val="17"/>
          <w:b w:val="1"/>
          <w:bCs w:val="1"/>
          <w:color w:val="auto"/>
        </w:rPr>
        <w:t xml:space="preserve">Hierarchical Win Ratio: </w:t>
      </w:r>
      <w:r>
        <w:rPr>
          <w:rFonts w:ascii="Arial" w:cs="Arial" w:eastAsia="Arial" w:hAnsi="Arial"/>
          <w:sz w:val="17"/>
          <w:szCs w:val="17"/>
          <w:color w:val="auto"/>
        </w:rPr>
        <w:t>The hierarchical composite analysis using the Win Ratio was evaluated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components of the CV morbidity and HF mortality endpoints and the MLWHF quality of life (CV mortality, heart transplant or LVAD, number of hospitalizations or emergency visits for HF, number of unscheduled clinical visits with IV diuretic, and change from baseline in MLWHF at 12 months). This resulted in a Win Ratio of</w:t>
      </w:r>
    </w:p>
    <w:p>
      <w:pPr>
        <w:ind w:left="180" w:right="339"/>
        <w:spacing w:after="0" w:line="250" w:lineRule="auto"/>
        <w:rPr>
          <w:rFonts w:ascii="Arial" w:cs="Arial" w:eastAsia="Arial" w:hAnsi="Arial"/>
          <w:sz w:val="17"/>
          <w:szCs w:val="17"/>
          <w:color w:val="231F20"/>
        </w:rPr>
      </w:pPr>
      <w:r>
        <w:rPr>
          <w:rFonts w:ascii="Arial" w:cs="Arial" w:eastAsia="Arial" w:hAnsi="Arial"/>
          <w:sz w:val="18"/>
          <w:szCs w:val="18"/>
          <w:color w:val="auto"/>
        </w:rPr>
        <w:t>1.26, reflecting beneficial trend in the heart transplant/LVAD over the course of the study and MLWHF at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121285</wp:posOffset>
            </wp:positionV>
            <wp:extent cx="2931795" cy="168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17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79" w:hanging="130"/>
        <w:spacing w:after="0"/>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Mortality: </w:t>
      </w:r>
      <w:r>
        <w:rPr>
          <w:rFonts w:ascii="Arial" w:cs="Arial" w:eastAsia="Arial" w:hAnsi="Arial"/>
          <w:sz w:val="18"/>
          <w:szCs w:val="18"/>
          <w:color w:val="auto"/>
        </w:rPr>
        <w:t>In addition to the results above, freedom from all-cause mortality (all-cause death, LVAD and heart transplant) demonstrated a 34% reduction between the groups. In the Barostim group, the crude event rate was 7.0 per 100 years with 38 events during 544 patient-years at risk. In the control group, the crude event rate was 10.4 per 100 years with 51 events during 492 patient-years at risk. As shown below, the hazard ratio for all-cause mortality = 0.662 (95% CI 0.435, 1.007), representing a relative risk reduction of 34% in the Barostim group compared with the control group. The hazard ratio for all-cause mortality using a per protocol analysis = 0.589 (95% CI 0.380, 0.923), representing a relative risk reduction of 41% in the Barostim group compared with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126365</wp:posOffset>
            </wp:positionV>
            <wp:extent cx="3291840" cy="3291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918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system or procedure related MANCE endpoint includes all events that occurred across the duration of follow-up. The analysis includes subjects in Barostim group who had an implant attempted (n=159), representing 6,664 total months of implant follow-up. All implant attempts were successful. As shown below, the MANCE-free rate is 96.9%, with 154 out of 159 implanted patients being event free with a lower bound one-sided 95% confidence level of 93.5% (p value &lt;0.001 compared to a performance goal of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123825</wp:posOffset>
            </wp:positionV>
            <wp:extent cx="4646295" cy="720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462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II Study: HOPE4HF</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HOPE4HF was a multinational, prospective, randomized, controlled trial that began in May 2012 to demonstrate the safety and performance of BAT with Barostim. A total of 146 patients (72 in the U.S. and 74 in Germany, Italy, France, and Canada) at 45 centers were randomized 1:1 with 76 patients in the Barostim group and 70 patients in the control group.</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Patients were eligible for the study based on symptoms, historical treatment plan and anatomical criteria, including if they were NYHA Class III, received GDMT for their HF, had a LVEF ≤ 35% and were considered a suitable surgical candidate, among others. Patients were excluded from the study if they had recently experienced NYHA Class IV, recently received an ICD or CRT, or had known baroreflex failure, among others.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overall MANCE-free rate was 97% (lower 95% CI bound 91%). Patients assigned to Barostim group, compared with control group patients, experienced improvements in MLWHF quality of life score (–17 ± 2.8 points Barostim group vs. 2.1 ± 3.1 points control group; p &lt; 0.001), 6MHW distance (60 ± 14 meters Barostim group vs. 1.5 ± 13 meters control group; p=0.004) and NT-pro BNP (-69 pg/ml Barostim group vs. 130 pg/ml control group; p =0.02). Barostim group patients also experienced at least a one-class improvement in NYHA class when compared to the control group (55% Barostim group vs 24% control group; p=0.002) and showed a trend toward fewer days hospitalized for HF (p=0.08) as compared to the control group.</w:t>
      </w:r>
    </w:p>
    <w:p>
      <w:pPr>
        <w:spacing w:after="0" w:line="171"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 xml:space="preserve">Positive safety and performance results from the 146-patient combined, randomized, controlled clinical trials were presented in the late breaking clinical trial session of the American College of Cardiology and the European Society of Cardiology HF conference in 2015. The favorable data from this trial were published in the </w:t>
      </w:r>
      <w:r>
        <w:rPr>
          <w:rFonts w:ascii="Arial" w:cs="Arial" w:eastAsia="Arial" w:hAnsi="Arial"/>
          <w:sz w:val="18"/>
          <w:szCs w:val="18"/>
          <w:i w:val="1"/>
          <w:iCs w:val="1"/>
          <w:color w:val="auto"/>
        </w:rPr>
        <w:t>Journal of the American College of Cardiology — Heart Failure</w:t>
      </w:r>
      <w:r>
        <w:rPr>
          <w:rFonts w:ascii="Arial" w:cs="Arial" w:eastAsia="Arial" w:hAnsi="Arial"/>
          <w:sz w:val="18"/>
          <w:szCs w:val="18"/>
          <w:color w:val="auto"/>
        </w:rPr>
        <w:t xml:space="preserve"> in 2015</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results led to CE Mark approval.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 Study: BAT in HF</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BAT in HF was our first-in-human study of Barostim Therapy for the treatment of HF that was published in 2014. This study was a single-center, open-label evaluation, designed to evaluate the safety and performance of Barostim Therapy in patients with NYHA Class III receiving optimized medical therapy for their HF and had an LVEF ≤ 40%. Patients who had been implanted with a CRT device were excluded from this trial until six months after activation. Eleven patients met the eligibility criteria and received Barostim. After six months of Barostim Therapy, the mechanism of action was assessed with serial measurement of muscle sympathetic nerve activity (“MSNA”) and clinical measures of quality of life and functional capacity.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39"/>
        <w:spacing w:after="0" w:line="244" w:lineRule="auto"/>
        <w:rPr>
          <w:sz w:val="20"/>
          <w:szCs w:val="20"/>
          <w:color w:val="auto"/>
        </w:rPr>
      </w:pPr>
      <w:r>
        <w:rPr>
          <w:rFonts w:ascii="Arial" w:cs="Arial" w:eastAsia="Arial" w:hAnsi="Arial"/>
          <w:sz w:val="18"/>
          <w:szCs w:val="18"/>
          <w:color w:val="auto"/>
        </w:rPr>
        <w:t>MSNA was reduced over six months from 45 ± 7.7 to 31 ± 8.3 bursts/minute and from 68 ± 13 to 45 ± 12 bursts/​ 100 heartbeats, decreases of 31% and 33%, respectively (p &lt; 0.01). Concomitant improvements occurred in baroreflex sensitivity, ejection fraction, NYHA class and quality of life as measured by the MLWHF and 6MHW distance (p ≤ 0.05 each). On an observational basis, hospitalization and emergency department visits for worsening HF were reduced.</w:t>
      </w:r>
    </w:p>
    <w:p>
      <w:pPr>
        <w:spacing w:after="0" w:line="163"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This study provided the first evidence that chronic stimulation of carotid baroreceptors markedly and persistently reduced the sympathetic activation characterizing HF patients. It also demonstrated that the reduction is accompanied by the improvement of a major modulator of sympathetic activity, the arterial baroreflex and baroreflex activation is accompanied by favorable therapeutic impact on cardiac function and clinical profile, as shown in the improved quality of life, increased exercise tolerance and improved NYHA functional status.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clinical trials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BATwire implant toolkit</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the second half of 2020, the FDA approved a two-stage pivotal trial design to assess the safety and effectiveness of the BATwire implant toolkit. This trial was expected to enroll up to 400 subjects and follow up to 100 implanted subjects for one year. In April 2024, we suspended enrollment in the BATwire clinical trial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because of slow recruitment, due in part to trial candidates choosing the commercially approved procedure. All enrolled patients will be followed per the protocol until the trial is completed.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Hypertension</w:t>
      </w:r>
    </w:p>
    <w:p>
      <w:pPr>
        <w:spacing w:after="0" w:line="196"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have completed two clinical trials in Europe and North America for the treatment of drug-resistant hypertension using our first-generation Barostim Therapy device called Rheos, and determined this study was successful in achieving three of the required five safety and effectiveness endpoints (“</w:t>
      </w:r>
      <w:r>
        <w:rPr>
          <w:rFonts w:ascii="Arial" w:cs="Arial" w:eastAsia="Arial" w:hAnsi="Arial"/>
          <w:sz w:val="18"/>
          <w:szCs w:val="18"/>
          <w:i w:val="1"/>
          <w:iCs w:val="1"/>
          <w:color w:val="auto"/>
        </w:rPr>
        <w:t>Baroreflex Activation</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Lowers Blood Pressure in Patients with Resistant Hypertension: Results from the Double-Blind, Randomized, Placebo-Controlled Rheos Pivotal Trial</w:t>
      </w:r>
      <w:r>
        <w:rPr>
          <w:rFonts w:ascii="Arial" w:cs="Arial" w:eastAsia="Arial" w:hAnsi="Arial"/>
          <w:sz w:val="18"/>
          <w:szCs w:val="18"/>
          <w:color w:val="auto"/>
        </w:rPr>
        <w:t>,” by John D. Bisognano, M.D. et al that was published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the Journal of the American College of Cardiology, volume 58, No. 7, 2011). In 2014 we submitted a request for a Humanitarian Device Exemption (“HDE”) to commercialize Barostim Legacy, our second generation IPG for the subjects that were enrolled in the Rheos Pivotal trial, who are benefitting clinically from Rheos (estimated at the time to be 70–80% of the subjects enrolled) and whose IPG battery had become depleted. In December 2014, after a favorable review of the long-term clinical data from the Rheos pivotal hypertension trial, the FDA granted the HDE to Barostim Legacy.</w:t>
      </w:r>
    </w:p>
    <w:p>
      <w:pPr>
        <w:spacing w:after="0" w:line="17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Since 2011, we have completed one clinical trial in Europe and North America for the treatment of drug-resistant hypertension using Barostim (“</w:t>
      </w:r>
      <w:r>
        <w:rPr>
          <w:rFonts w:ascii="Arial" w:cs="Arial" w:eastAsia="Arial" w:hAnsi="Arial"/>
          <w:sz w:val="18"/>
          <w:szCs w:val="18"/>
          <w:i w:val="1"/>
          <w:iCs w:val="1"/>
          <w:color w:val="auto"/>
        </w:rPr>
        <w:t>Minimally Invasive System for Baroreflex Activation Therapy Chronically</w:t>
      </w:r>
      <w:r>
        <w:rPr>
          <w:rFonts w:ascii="Arial" w:cs="Arial" w:eastAsia="Arial" w:hAnsi="Arial"/>
          <w:sz w:val="18"/>
          <w:szCs w:val="18"/>
          <w:color w:val="auto"/>
        </w:rPr>
        <w:t xml:space="preserve"> </w:t>
      </w:r>
      <w:r>
        <w:rPr>
          <w:rFonts w:ascii="Arial" w:cs="Arial" w:eastAsia="Arial" w:hAnsi="Arial"/>
          <w:sz w:val="18"/>
          <w:szCs w:val="18"/>
          <w:i w:val="1"/>
          <w:iCs w:val="1"/>
          <w:color w:val="auto"/>
        </w:rPr>
        <w:t>Lowers Blood Pressure with Pacemaker-like Safety Profile: Results from the Barostim Neo Trial</w:t>
      </w:r>
      <w:r>
        <w:rPr>
          <w:rFonts w:ascii="Arial" w:cs="Arial" w:eastAsia="Arial" w:hAnsi="Arial"/>
          <w:sz w:val="18"/>
          <w:szCs w:val="18"/>
          <w:color w:val="auto"/>
        </w:rPr>
        <w:t>,” by Uta C.</w:t>
      </w:r>
      <w:r>
        <w:rPr>
          <w:rFonts w:ascii="Arial" w:cs="Arial" w:eastAsia="Arial" w:hAnsi="Arial"/>
          <w:sz w:val="18"/>
          <w:szCs w:val="18"/>
          <w:i w:val="1"/>
          <w:iCs w:val="1"/>
          <w:color w:val="auto"/>
        </w:rPr>
        <w:t xml:space="preserve"> </w:t>
      </w:r>
      <w:r>
        <w:rPr>
          <w:rFonts w:ascii="Arial" w:cs="Arial" w:eastAsia="Arial" w:hAnsi="Arial"/>
          <w:sz w:val="18"/>
          <w:szCs w:val="18"/>
          <w:color w:val="auto"/>
        </w:rPr>
        <w:t>Hoppe, M.D. et al, in the Journal of the American Society of Hypertension, volume 5, no. 4, 2012).</w:t>
      </w:r>
    </w:p>
    <w:p>
      <w:pPr>
        <w:spacing w:after="0" w:line="16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In August 2011, we received CE Mark approval for Barostim for the treatment of resistant hypertension. In October 2012, we received FDA approval to conduct a pivotal trial for the treatment of resistant hypertension entitled “</w:t>
      </w:r>
      <w:r>
        <w:rPr>
          <w:rFonts w:ascii="Arial" w:cs="Arial" w:eastAsia="Arial" w:hAnsi="Arial"/>
          <w:sz w:val="17"/>
          <w:szCs w:val="17"/>
          <w:i w:val="1"/>
          <w:iCs w:val="1"/>
          <w:color w:val="auto"/>
        </w:rPr>
        <w:t>Barostim Hypertension Pivotal Study</w:t>
      </w:r>
      <w:r>
        <w:rPr>
          <w:rFonts w:ascii="Arial" w:cs="Arial" w:eastAsia="Arial" w:hAnsi="Arial"/>
          <w:sz w:val="17"/>
          <w:szCs w:val="17"/>
          <w:color w:val="auto"/>
        </w:rPr>
        <w:t>.” On April 12, 2013, the study had its first enrollment. However, a redirection of our limited available financial and personnel resources to develop Barostim Therapy in HFrEF led to putting the trial on hold. In December 2019, after review of the clinical data and the competitive landscape, FDA granted a Breakthrough Device designation for Barostim for the treatment of resistant hypertension.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HFpEF</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In March 2020, after review of early clinical data and the competitive landscape, the FDA granted a Breakthrough Device designation for Barostim for the treatment of HFpEF. In 2023, the FDA admitted us into the Total Life Cycle Advisory Program (“TAP”) for Barostim’s treatment of HFpEF. TAP is an initial pilot program limited only to Breakthrough Device designated indications for new products.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ind w:left="60" w:right="599"/>
        <w:spacing w:after="0" w:line="301" w:lineRule="auto"/>
        <w:rPr>
          <w:sz w:val="20"/>
          <w:szCs w:val="20"/>
          <w:color w:val="auto"/>
        </w:rPr>
      </w:pPr>
      <w:r>
        <w:rPr>
          <w:rFonts w:ascii="Arial" w:cs="Arial" w:eastAsia="Arial" w:hAnsi="Arial"/>
          <w:sz w:val="17"/>
          <w:szCs w:val="17"/>
          <w:color w:val="auto"/>
        </w:rPr>
        <w:t>We have established a systematic approach to market development which centers on active engagement across three key stakeholders in the HFrEF treatment paradigm—patients, physicians, and hospitals.</w:t>
      </w:r>
    </w:p>
    <w:p>
      <w:pPr>
        <w:spacing w:after="0" w:line="11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has FDA approval to improve symptoms of HFrEF in the U.S. and an Active Implantable Medical Device Directive (“AIMDD”) CE Mark for the treatment of HFrEF and resistant hypertension in Europe. Additionally, the EU approved an amendment to the MDR (as defined below) which allows qualifying AIMDD CE certificates to be accepted through December of 2027. We have already met the qualifications identified within this amendment to allow continued distribution of Barostim through this time. We market our therapy in the U.S. to hospitals and clinics where EPs, HF specialists, interventional and general cardiologists and vascular surgeons treat patients with HFrEF.</w:t>
      </w:r>
    </w:p>
    <w:p>
      <w:pPr>
        <w:spacing w:after="0" w:line="18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EPs, HF specialists, interventional and general cardiologists, and vascular surgeons. We are continuing to actively expand our direct sales force and commercial organization in the 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direct sales representatives, which we refer to as Account Managers, generally have substantial and applicable medical device experience, specifically in the cardiovascular space, and market our products directly to the approximately 2,500 EPs, 800 HF specialists and 20,000 general cardiologists in the U.S. We support all aspects of the patient journey, which includes initial diagnosis, surgical support, and patient follow-up. Our Account Managers are focused on prioritizing high volume cardiology centers that are strategically located and on educating and training physicians who have strong connectivity to the HFrEF patient population that may be eligible for our therapy. We also employ Field Clinical Specialists who generally have experience in medical device clinical support. Our Field Clinical Specialists work to ensure that every procedure is done correctly by educating the implanting physicians, including vascular surgeons and EPs, about the technical aspects of Barostim and the implantation procedure.</w:t>
      </w:r>
    </w:p>
    <w:p>
      <w:pPr>
        <w:spacing w:after="0" w:line="16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Similar to our direct sales team, our marketing team has a significant amount of relevant expertise and a strong track record of success in the medical device industry. Our marketing organization is focused on building physician awareness through targeted KOL development, referral network education and direct-to-consumer marketing.</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terms of patient education, we utilize direct communication channels to inform patients about Barostim Therapy and to enable them to connect with sites that offer Barostim. Our primary method of patient outreach is through digital social networks. We use a qualification process to aid in the identification of the appropriate patients for our therapy. The objective of this outreach is to inform potential patients about our education webinars and website, where they can find a wealth of information on HFrEF and the purpose and benefits of Barostim Therapy, based on our approved labeling.</w:t>
      </w:r>
    </w:p>
    <w:p>
      <w:pPr>
        <w:spacing w:after="0" w:line="165"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In addition to driving broad awareness and increasing physician and patient education, our marketing team has developed the in-house resources necessary to obtain prior authorization approval for Barostim procedures and expand reimbursement coverage.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Coding and payment in the United States</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In the U.S., we sell Barostim primarily to hospitals, where the device is implanted in outpatient and inpatient settings. Our customers bill various third-party payers, such as government agencies, administrative contractors, commercial payers and integrated managed care organizations, for the cost required to treat each patient.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payers generally require physicians and hospitals to identify the service for which they are seeking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reimbursement for by using CPT codes, which are created and maintained by the American Medical</w:t>
      </w:r>
    </w:p>
    <w:p>
      <w:pPr>
        <w:ind w:left="60"/>
        <w:spacing w:after="0" w:line="234" w:lineRule="auto"/>
        <w:rPr>
          <w:sz w:val="20"/>
          <w:szCs w:val="20"/>
          <w:color w:val="auto"/>
        </w:rPr>
      </w:pPr>
      <w:r>
        <w:rPr>
          <w:rFonts w:ascii="Arial" w:cs="Arial" w:eastAsia="Arial" w:hAnsi="Arial"/>
          <w:sz w:val="18"/>
          <w:szCs w:val="18"/>
          <w:color w:val="auto"/>
        </w:rPr>
        <w:t>Association. Implantation of Barostim is described by CPT code 0266T, a Category III code approved in</w:t>
      </w:r>
    </w:p>
    <w:p>
      <w:pPr>
        <w:ind w:left="60"/>
        <w:spacing w:after="0" w:line="235" w:lineRule="auto"/>
        <w:rPr>
          <w:sz w:val="20"/>
          <w:szCs w:val="20"/>
          <w:color w:val="auto"/>
        </w:rPr>
      </w:pPr>
      <w:r>
        <w:rPr>
          <w:rFonts w:ascii="Arial" w:cs="Arial" w:eastAsia="Arial" w:hAnsi="Arial"/>
          <w:sz w:val="18"/>
          <w:szCs w:val="18"/>
          <w:color w:val="auto"/>
        </w:rPr>
        <w:t>July 2011 and effective as of January 2012. Hospitals are able to use this code to submit for a system implant</w:t>
      </w:r>
    </w:p>
    <w:p>
      <w:pPr>
        <w:ind w:left="60"/>
        <w:spacing w:after="0" w:line="235" w:lineRule="auto"/>
        <w:rPr>
          <w:sz w:val="20"/>
          <w:szCs w:val="20"/>
          <w:color w:val="auto"/>
        </w:rPr>
      </w:pPr>
      <w:r>
        <w:rPr>
          <w:rFonts w:ascii="Arial" w:cs="Arial" w:eastAsia="Arial" w:hAnsi="Arial"/>
          <w:sz w:val="18"/>
          <w:szCs w:val="18"/>
          <w:color w:val="auto"/>
        </w:rPr>
        <w:t>payment. CPT code 0268T is used to submit for an IPG replacement procedure payment, and CPT codes</w:t>
      </w:r>
    </w:p>
    <w:p>
      <w:pPr>
        <w:ind w:left="60"/>
        <w:spacing w:after="0" w:line="235" w:lineRule="auto"/>
        <w:rPr>
          <w:sz w:val="20"/>
          <w:szCs w:val="20"/>
          <w:color w:val="auto"/>
        </w:rPr>
      </w:pPr>
      <w:r>
        <w:rPr>
          <w:rFonts w:ascii="Arial" w:cs="Arial" w:eastAsia="Arial" w:hAnsi="Arial"/>
          <w:sz w:val="18"/>
          <w:szCs w:val="18"/>
          <w:color w:val="auto"/>
        </w:rPr>
        <w:t>0272T and 0273T are used for interrogation and programming of the IPG, respectively. We believe these</w:t>
      </w:r>
    </w:p>
    <w:p>
      <w:pPr>
        <w:ind w:left="60"/>
        <w:spacing w:after="0"/>
        <w:rPr>
          <w:sz w:val="20"/>
          <w:szCs w:val="20"/>
          <w:color w:val="auto"/>
        </w:rPr>
      </w:pPr>
      <w:r>
        <w:rPr>
          <w:rFonts w:ascii="Arial" w:cs="Arial" w:eastAsia="Arial" w:hAnsi="Arial"/>
          <w:sz w:val="18"/>
          <w:szCs w:val="18"/>
          <w:color w:val="auto"/>
        </w:rPr>
        <w:t>Category III codes will be transitioned to Category I codes on January 1, 2026.</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Medicare provides reimbursement to hospitals using Barostim under the hospital outpatient prospective system (“OPPS”), which provides bundled amounts generally intended to reimburse a hospital for all facility costs related to procedures performed in its outpatient setting. On January 1, 2024, the Barostim implant procedure was reassigned to New Technology APC 1580, which carries an average payment amount of approximately $45,000. The APC payment of approximately $ 45,000 will continue in 2025, as published in the 2025 OPPS final rule. The IPG replacement will continue to be assigned to Level 5 Neurostimulator payment APC 5465, which has a national average of approximately $30,500.</w:t>
      </w:r>
    </w:p>
    <w:p>
      <w:pPr>
        <w:spacing w:after="0" w:line="171"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In August 2024, CMS reassigned the Barostim implant procedure for the inpatient setting as part of the Medicare Hospital Inpatient Prospective Payment System (“IPPS”) final rule for CMS’ Fiscal Year 2025, which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took effect on October 1, 2024. On that date, Barostim was reassigned to MS-DRG 276, which carries a national average payment of approximately $44,000 in 2025. These payments generally cover the hospital’s costs for the device and the implantation procedure.</w:t>
      </w:r>
    </w:p>
    <w:p>
      <w:pPr>
        <w:spacing w:after="0" w:line="15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surgeon implanting Barostim is paid an additional physician payment under the Medicare Physician Fee Schedule, and the physician that manages the device performs multiple device interrogations and is paid using the payment code APC 5721, which has a national average of $156 per visit in 2025.</w:t>
      </w:r>
    </w:p>
    <w:p>
      <w:pPr>
        <w:spacing w:after="0" w:line="15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Reimbursement rates from commercial payers vary depending on a variety of factors, including the commercial payor and contract terms.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program and commercial payer coverage in the United States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Since approximately 67% of our target treatment population includes Medicare-eligible patients, we have prioritized CMS coverage while simultaneously developing processes to engage commercial payers. As of July 2020, all Medicare Administrative Contractors (“MACs”) have retired automatic coverage denial policies, thereby allowing implants to be adjudicated on a case-by-case basis. CMS has committed to considering additional process improvements to increase access to innovative devices. We will continue to monitor developments in this space, including decisions made by private payers, if any.</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will continue to leverage our in-house market access team to obtain appropriate prior authorization approvals in advance of treatment on a case-by-case basis where positive coverage policies currently do not exist. We believe our market access team is highly effective in obtaining prior authorizations, including navigating the appeals process. We believe that we will continue to benefit from this efficient prior authorization process in the near-and-long-term by expanding on our positive coverage policies with commercial payers. In our discussions with commercial payers, we highlight our compelling and robust clinical data, including the long-term post-market BeAT-HF data, the potential economic cost-savings associated with our highly compliant treatment, increased patient demand and support from leading medical societies and KOLs. As our operations continue to grow, we intend to continue to further expand our market access team accordingly.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Outside the U.S., reimbursement levels vary by country and within some countries, by region. We are currently selling Barostim in Germany, where the German Institute of Medical Documentation and Information supports various codes for reimbursement coverage. OPS code 5-059.c6 covers the implantation or replacement of a device stimulating the peripheral nervous system by activating the baroreceptors. This OPS code is combined with G-DRG ICD I50.13 to cover reimbursement of Barostim for the treatment of HFrEF. It can also be combined with G-DRG ICD I10.10 to cover reimbursement of Barostim for the treatment of hypertension. These DRG codes for both indications are combined with ZE code ZE2021-86 to cover the cost of the device. Barostim also is eligible for reimbursement in certain other European countries, where annual healthcare budgets for the hospital generally determine the number of patients to be treated and the prices to be paid for the related devices that may be purchased.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Our research and development team has significant experience bringing innovative medical devices to market, including minimally invasive neuromodulation systems.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are committed to ongoing research and development efforts of Barostim with an emphasis on improving clinical outcomes, optimizing patient adoption and comfort, increasing access for a greater number of patients and enabling more physicians to perform the procedure.</w:t>
      </w:r>
    </w:p>
    <w:p>
      <w:pPr>
        <w:spacing w:after="0" w:line="15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While we are currently focused on the treatment of patients with HFrEF, we believe our platform technology can provide meaningful benefits to a broader set of patients suffering from cardiovascular diseases with significant unmet needs. Our longer-term goal is to explore Barostim’s potential to expand the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additional indications do not produce results necessary to support regulatory clearance or approval in the U.S. or elsewhere, we will be unable to commercialize our products for these indications.</w:t>
      </w:r>
    </w:p>
    <w:p>
      <w:pPr>
        <w:spacing w:after="0" w:line="167"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For the years ended December 31, 2024 and 2023, we incurred research and development expenses of $11.1 million and $11.6 million,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Our industry is subject to rapid change from the introduction of new products and technologies and other activities of industry participants. We consider our primary competition to be other device-based therapies designed to treat patients with HFrEF and a narrow QRS complex.</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There is only one other commercially available device-based option, CCM, that targets a limited subset of the same HFrEF patient population indicated for Barostim. CCM is offered by a privately-held medical technology company and has the potential to improve a patient’s quality of life and reduce symptoms of HFrEF. However, CCM is associated with a number of drawbacks, including not being designed to address excess of neurohormones; less favorable clinical effectiveness results in patients with LVEF 25–35% as compared to patients with LVEF 35–45% related to exercise capacity, quality of life and NYHA functional status; implantation through an invasive procedure that includes running electrical leads through the veins and attaching them to the heart’s ventricle, which may lead to increased risks to the patient; and the requirement that patients regularly charge the battery in their implanted device.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primary competitive factors in the HFrEF treatment market are:</w:t>
      </w:r>
    </w:p>
    <w:p>
      <w:pPr>
        <w:spacing w:after="0" w:line="198" w:lineRule="exact"/>
        <w:rPr>
          <w:sz w:val="20"/>
          <w:szCs w:val="20"/>
          <w:color w:val="auto"/>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safety, reliability, and durability;</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quality and volume of clinical data;</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adoption by patients, physicians, and hospitals;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adequate reimbursement for our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ease of use and patient comfort;</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sales force expansion, experience, and access;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availability, support, and service;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manufacturing and supply chain;</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technological innovation and product enhancements; and</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intellectual property portfolio.</w:t>
      </w:r>
    </w:p>
    <w:p>
      <w:pPr>
        <w:spacing w:after="0" w:line="212"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Aside from device-based treatments, pharmaceutical therapies are widely used to treat HFrEF and have been in use longer and are better known to physicians and patients than Barostim. However, because Barostim is designed to be used in conjunction with pharmaceutical therapies to alleviate the symptoms of HFrEF, we do not consider existing pharmaceutical therapies to be direct competition.</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also compete with other medical technology companies to recruit and retain qualified sales, training, and other personnel.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 As of December 31, 2024, we owned 49 issued U.S. patents and had six pending U.S. patent applications. Outside of the U.S., we owned nine patents in multiple countries and had 10 pending applications. Our trademark portfolio focuses on nine trademarks in the U.S. and multiple other countries. Our patents cover aspects of our integrated platform technology, Barostim, including baroreflex methods, stimulus regimes, mapping methods, electrode designs, disease treatments, closed loop control, burst intervals, connection structures and baroreceptor locations, as well as future product concepts. The term of individual patents depends on the law of the countries in which they are granted. In most countries, including the U.S., the patent term is generally 20 years from the earliest claimed filing date of a nonprovisional patent application in the applicable country. There is no active patent litigation involving any of our patents, and we have not received any notices of patent infringement. ​</w:t>
      </w:r>
    </w:p>
    <w:p>
      <w:pPr>
        <w:spacing w:after="0" w:line="171"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also rely, in part, upon unpatented trade secrets, know-how and continuing technological innovation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6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Pending patent applications may not result in issued patents, and we cannot guarantee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“Risk Factors—Risks Related to Intellectual Property” for additional information regarding these and other risks related to our intellectual property portfolio and their potential effect on us.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12"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31,505 square foot headquarters in Minneapolis, Minnesota. With minimal capital investment, our existing operations are capable of producing 5,000 IPGs and 5,000 stimulation leads per shift per year, and our manufacturing line was designed to be expandable and scalable in the future.</w:t>
      </w:r>
    </w:p>
    <w:p>
      <w:pPr>
        <w:spacing w:after="0" w:line="16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currently source certain components for Barostim from a limited number of suppliers, including the module, module board, radio-frequency module, magnet switch, battery, and application-specific integrated circuits for the IPG and the electrode for the stimulation lead. Our suppliers manufacture and test the components they produce for us to meet our specifications. We maintain sufficient levels of inventory to mitigate potential supply disruption and to achieve more favorable volume-based pricing. We continue to seek to broaden and strengthen our supply chain through additional sourcing channels.</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select our suppliers to ensure that Barostim and its components are safe and effective, adhere to all applicable standards and regulations, are high quality and meet our supply needs. We employ a rigorous supplier assessment, qualification and selection process targeted to suppliers that meet the requirements of the FDA and relevant Canadian, European Economic Area (“EEA”) and Australian regulatory authorities and quality standards supported by internal policies and procedures. Our quality assurance process monitors and maintains supplier performance through qualification and periodic supplier reviews and audits. We received ISO certification for our quality management system and our most recent audits have not identified any major nonconformities. We are registered with the FDA as a medical device manufacturer and licensed by the State of Minnesota to manufacture our device.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have seen seasonally lower rates of implants in our first fiscal quarter in recent years, which we believe is primarily due to U.S. patients shifting medical treatments to the later months of the year when they have better information about spending against the annual deductibility limits under their health insurance coverage, and we expect this trend to continue. Otherwise, mild seasonal variations are difficult to predict accurately and may vary among different markets.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products and operations are subject to extensive regulation by the FDA and other federal and state authorities in the U.S., as well as comparable authorities in the EEA. Our products are subject to regulation as medical devices under the Federal Food, Drug, and Cosmetic Act (the “FDCA”), as implemented and enforced by the FDA. The FDA regulates the development, design, non-clinical and clinical research, manufacturing, safety, effectiveness, labeling, packaging, storage, installation, servicing, recordkeeping, premarket clearance or approval, device tracking, adverse event reporting, recalls, safety alerts, injunctions, seizures, bans,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to U.S. regulations, we are subject to a variety of regulations in the EEA governing clinical trials and the commercial sales and distribution of our products. Whether we have or are required to obtain FDA clearance or approval for a product, we will be required to obtain authorization from the comparable regulatory authorities of countries outside of the U.S. before we can commence clinical trials or commercialize our products in those countries. The approval process varies from country to country and the time may be longer or shorter than that required for FDA clearance or approval.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1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Unless an exemption applies, each medical device commercially distributed in the U.S. requires either FDA clearance of a 510(k) premarket notification, HDE, or PMA approval. Under the FDCA, medical devices are classified as Class I, Class II, Class III, or De Novo,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must submit to the FDA a premarket notification under Section 510(k) of the FDCA requesting permission to commercially distribute the device. De Novo is a medical device with no predicate or premarket device for comparing substantial equivalence which is subject to the 510(k) premarket notification.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through the 510(k) process.</w:t>
      </w:r>
    </w:p>
    <w:p>
      <w:pPr>
        <w:spacing w:after="0" w:line="182"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Devices deemed by the FDA to pose the greatest risks are placed in Class III, requiring approval of an HDE or PMA.</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Our currently U.S.-marketed Barostim devices are Class III devices which have received both a PMA and an HDE approval.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&amp; HDE approval pathway</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Class III devices require PMA or HDE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and the methods, facilities and controls used for manufacturing and proposed labeling. Following receipt of a PMA, the FDA determines whether the application is sufficient to permit a substantive review. If the FDA accepts the application for review, it has 180 days under the FDCA to complete its review of a PMA, although in practice, the FDA’s review often takes significantly longer, and at times can take up to several years. An Advisory Committee or panel of experts from outside the FDA may be convened to review and evaluate the application and provide recommendations to the FDA as to the approvability of the device. In addition, the FDA will generally conduct a preapproval inspection of the applicant or its third-party manufacturers’ or suppliers’ manufacturing facilities to ensure compliance with the QSR.</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according to the instructions for use or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or study when deemed necessary to protect the public health or to provide additional safety and effectiveness data for the device in a larger population or for a longer period of use. In such cases, the manufacturer might be required to follow certain patient groups and make periodic reports to the FDA on the clinical status of those patients. Failure to comply with the conditions of approval can result in material adverse enforcement action, including withdrawal of the approval.</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Certain changes to an approved device, such as changes in manufacturing facilities, methods, or quality control procedures, or changes in the design performance specifications, which can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typically does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HDE constitute valid scientific evidence and that there is reasonable assurance that the device is safe and has probable benefit for its intended use(s) according to the instructions for use or labeling. The HDE approved devices are subject to the same requirement elements and changes as the above PMA devices. An additional limitation for HDE devices is they must be prescribed for a patient population that has a medical condition or disease that afflicts less than 8,000 people per year in the United States and have been designated as a Humanitarian Use Device by the FDA.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0"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Clinical trials are usually required to support a PMA and are sometimes required to support an HDE, 510(k) or De Novo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prior to commencing human clinical trials.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subjects, as approved by the FDA. If the device presents a non-significant risk to the patient, a sponsor may begin the clinical trial after obtaining approval for the trial by one or more IRBs without separate approval from the FDA, but must still follow abbreviated IDE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69"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a study, the sponsor and clinical investigators are required to comply with the applicable FDA requirements. Additionally, after a trial begins, we, the FDA or the IRB could suspend or terminate a clinical trial at any time for various reasons, including a belief that the risks to study subjects outweigh the anticipated benefits.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1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After a device is cleared or approved for marketing, numerous regulatory requirements continue to apply. These include:</w:t>
      </w:r>
    </w:p>
    <w:p>
      <w:pPr>
        <w:spacing w:after="0" w:line="140" w:lineRule="exact"/>
        <w:rPr>
          <w:sz w:val="20"/>
          <w:szCs w:val="20"/>
          <w:color w:val="auto"/>
        </w:rPr>
      </w:pPr>
    </w:p>
    <w:p>
      <w:pPr>
        <w:ind w:left="180" w:hanging="130"/>
        <w:spacing w:after="0"/>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231F20"/>
        </w:rPr>
      </w:pPr>
    </w:p>
    <w:p>
      <w:pPr>
        <w:jc w:val="both"/>
        <w:ind w:left="180" w:right="539" w:hanging="130"/>
        <w:spacing w:after="0" w:line="253" w:lineRule="auto"/>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8" w:lineRule="exact"/>
        <w:rPr>
          <w:rFonts w:ascii="Arial" w:cs="Arial" w:eastAsia="Arial" w:hAnsi="Arial"/>
          <w:sz w:val="18"/>
          <w:szCs w:val="18"/>
          <w:color w:val="231F20"/>
        </w:rPr>
      </w:pPr>
    </w:p>
    <w:p>
      <w:pPr>
        <w:ind w:left="180" w:right="79" w:hanging="130"/>
        <w:spacing w:after="0" w:line="244" w:lineRule="auto"/>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 and Federal Trade Commission guidance on endorsements and testimonials;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319" w:hanging="130"/>
        <w:spacing w:after="0" w:line="271"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Physician Payments Sunshine Act and various state and foreign laws on reporting remunerative relationships with health care customers;</w:t>
      </w:r>
    </w:p>
    <w:p>
      <w:pPr>
        <w:spacing w:after="0" w:line="153" w:lineRule="exact"/>
        <w:rPr>
          <w:rFonts w:ascii="Arial" w:cs="Arial" w:eastAsia="Arial" w:hAnsi="Arial"/>
          <w:sz w:val="18"/>
          <w:szCs w:val="18"/>
          <w:color w:val="231F20"/>
        </w:rPr>
      </w:pPr>
    </w:p>
    <w:p>
      <w:pPr>
        <w:jc w:val="both"/>
        <w:ind w:left="180" w:right="159" w:hanging="130"/>
        <w:spacing w:after="0" w:line="266" w:lineRule="auto"/>
        <w:tabs>
          <w:tab w:leader="none" w:pos="180" w:val="left"/>
        </w:tabs>
        <w:numPr>
          <w:ilvl w:val="0"/>
          <w:numId w:val="23"/>
        </w:numPr>
        <w:rPr>
          <w:rFonts w:ascii="Arial" w:cs="Arial" w:eastAsia="Arial" w:hAnsi="Arial"/>
          <w:sz w:val="17"/>
          <w:szCs w:val="17"/>
          <w:color w:val="231F20"/>
        </w:rPr>
      </w:pPr>
      <w:r>
        <w:rPr>
          <w:rFonts w:ascii="Arial" w:cs="Arial" w:eastAsia="Arial" w:hAnsi="Arial"/>
          <w:sz w:val="17"/>
          <w:szCs w:val="17"/>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need to have actual knowledge of this statute or specific intent to violate it to have committed a violation;</w:t>
      </w:r>
    </w:p>
    <w:p>
      <w:pPr>
        <w:spacing w:after="0" w:line="159" w:lineRule="exact"/>
        <w:rPr>
          <w:rFonts w:ascii="Arial" w:cs="Arial" w:eastAsia="Arial" w:hAnsi="Arial"/>
          <w:sz w:val="17"/>
          <w:szCs w:val="17"/>
          <w:color w:val="231F20"/>
        </w:rPr>
      </w:pPr>
    </w:p>
    <w:p>
      <w:pPr>
        <w:ind w:left="180" w:right="119"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to the federal government. The government may assert that a claim includes items or services resulting from a violation of the federal Anti-Kickback Statute and thus constitutes a false or fraudulent claim for purposes of the false claims statute;</w:t>
      </w:r>
    </w:p>
    <w:p>
      <w:pPr>
        <w:spacing w:after="0" w:line="184" w:lineRule="exact"/>
        <w:rPr>
          <w:rFonts w:ascii="Arial" w:cs="Arial" w:eastAsia="Arial" w:hAnsi="Arial"/>
          <w:sz w:val="18"/>
          <w:szCs w:val="18"/>
          <w:color w:val="231F20"/>
        </w:rPr>
      </w:pPr>
    </w:p>
    <w:p>
      <w:pPr>
        <w:ind w:left="180" w:right="25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and HDE devices;</w:t>
      </w:r>
    </w:p>
    <w:p>
      <w:pPr>
        <w:spacing w:after="0" w:line="168" w:lineRule="exact"/>
        <w:rPr>
          <w:rFonts w:ascii="Arial" w:cs="Arial" w:eastAsia="Arial" w:hAnsi="Arial"/>
          <w:sz w:val="18"/>
          <w:szCs w:val="18"/>
          <w:color w:val="231F20"/>
        </w:rPr>
      </w:pPr>
    </w:p>
    <w:p>
      <w:pPr>
        <w:ind w:left="180" w:right="79" w:hanging="130"/>
        <w:spacing w:after="0" w:line="247"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3" w:lineRule="exact"/>
        <w:rPr>
          <w:rFonts w:ascii="Arial" w:cs="Arial" w:eastAsia="Arial" w:hAnsi="Arial"/>
          <w:sz w:val="18"/>
          <w:szCs w:val="18"/>
          <w:color w:val="231F20"/>
        </w:rPr>
      </w:pPr>
    </w:p>
    <w:p>
      <w:pPr>
        <w:jc w:val="both"/>
        <w:ind w:left="180" w:right="19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68" w:lineRule="exact"/>
        <w:rPr>
          <w:rFonts w:ascii="Arial" w:cs="Arial" w:eastAsia="Arial" w:hAnsi="Arial"/>
          <w:sz w:val="18"/>
          <w:szCs w:val="18"/>
          <w:color w:val="231F20"/>
        </w:rPr>
      </w:pPr>
    </w:p>
    <w:p>
      <w:pPr>
        <w:ind w:left="180" w:right="29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law and regulations requiring Unique Device Identifiers (“UDI”) on devices and also requiring the submission of certain information about each device to the FDA’s Global Unique Device Identification Database (“GUDID”);</w:t>
      </w:r>
    </w:p>
    <w:p>
      <w:pPr>
        <w:spacing w:after="0" w:line="168" w:lineRule="exact"/>
        <w:rPr>
          <w:rFonts w:ascii="Arial" w:cs="Arial" w:eastAsia="Arial" w:hAnsi="Arial"/>
          <w:sz w:val="18"/>
          <w:szCs w:val="18"/>
          <w:color w:val="231F20"/>
        </w:rPr>
      </w:pPr>
    </w:p>
    <w:p>
      <w:pPr>
        <w:ind w:left="180" w:right="419" w:hanging="130"/>
        <w:spacing w:after="0" w:line="271"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53" w:lineRule="exact"/>
        <w:rPr>
          <w:rFonts w:ascii="Arial" w:cs="Arial" w:eastAsia="Arial" w:hAnsi="Arial"/>
          <w:sz w:val="18"/>
          <w:szCs w:val="18"/>
          <w:color w:val="231F20"/>
        </w:rPr>
      </w:pPr>
    </w:p>
    <w:p>
      <w:pPr>
        <w:ind w:left="180" w:right="179" w:hanging="130"/>
        <w:spacing w:after="0" w:line="271"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may be subject to similar foreign laws that include post-marketing requirements such as safety surveillance. Our manufacturing processes must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55" w:lineRule="exact"/>
        <w:rPr>
          <w:sz w:val="20"/>
          <w:szCs w:val="20"/>
          <w:color w:val="auto"/>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warning letters, untitled letters, fines, injunctions, consent decrees and civil penalties;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recalls, withdrawals, injunctions, or administrative detention or seizure of our products;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231F20"/>
        </w:rPr>
      </w:pPr>
    </w:p>
    <w:p>
      <w:pPr>
        <w:ind w:left="180" w:right="299" w:hanging="130"/>
        <w:spacing w:after="0" w:line="271" w:lineRule="auto"/>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refusing or delaying requests for 510(k) marketing clearance or PMA approvals of new products or modified products;</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withdrawing 510(k) clearances or PMA approvals that have already been granted; refusal to grant export or import approvals for our products; or</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criminal prosecution.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210"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To be placed on the market in the EEA, medical devices require a CE Mark and a corresponding declaration of conformity. For our medical devices, the CE Mark must be issued by an organization accredited by a Member State of the EEA to conduct conformity assessments, a so-called Notified Body. Conformity assessments are conducted to demonstrate that the medical device meets the legal requirements set forth in the regulations and standards to ensure that it meets general safety and performance criteria. Clinical investigations or evidence of the safety and clinical outcomes, among other things, may be required for issuance of a CE Mark. With a CE Mark, the medical devices are generally marketable in the entire EEA. A CE Mark was first issued for Barostim for the treatment of resistant hypertension in 2011 and for the treatment of HFrEF in 2014.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Union (“EU”) Legislation: medical devices regulation</w:t>
      </w:r>
    </w:p>
    <w:p>
      <w:pPr>
        <w:spacing w:after="0" w:line="210"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The regulatory framework governing medical devices in the EEA underwent a major change on April 5, 2017, when the European Parliament passed the Medical Devices Regulation (Regulation (EU) 2017/745 — “MDR”). The MDR repealed and replaced the EU Medical Devices Directive (Council Directive 93/42/EEC — “MDD” or Council Directive 90/385/EEC).</w:t>
      </w:r>
    </w:p>
    <w:p>
      <w:pPr>
        <w:spacing w:after="0" w:line="16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Previously, medical devices regulated under the MDD and AIMDD were classified into one of four classes — Class I, Class IIa, Class IIb, or Class III — based on the extent of the regulatory controls necessary and sufficient to provide reasonable assurance of safety and effectiveness of the device. The AIMDD applied to implantable electrical active medical devices that were typically considered to be Class III under MDD and similar controls for the highest risk devices. The classification corresponded to the level of potential hazard inherent in the type of device concerned. Class I included devices with the lowest risk to the patient. Class IIa and Class IIb devices were higher risk devices and Class III devices were devices with a significant risk, which were subject to more regulatory oversight to ensure the safety and effectiveness of the device, such as performance standards and post-market surveillance. Barostim has been classified and regulated under the AIMDD.</w:t>
      </w:r>
    </w:p>
    <w:p>
      <w:pPr>
        <w:spacing w:after="0" w:line="16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MDR entered into force on May 25, 2017 and is progressively replacing the MDD/AIMDD during a transition period, which was originally intended to become fully effective on May 26, 2021. The MDR, among other things, is designed to establish a uniform, transparent, predictable, and sustainable regulatory framework across the EEA for medical devices and to ensure a high level of safety and health while supporting innovation. The regulations impose strict demands on medical device manufacturers and the Notified Bodies whom they must involve in the conformity assessment procedure. Unlike directives, which must be implemented into the national laws of the EEA, the regulations are directly applicable in all EEA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auto"/>
        </w:rPr>
        <w:t>member states and are intended to eliminate differences in the regulation of medical devices among EEA member states.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new regulations:</w:t>
      </w:r>
    </w:p>
    <w:p>
      <w:pPr>
        <w:spacing w:after="0" w:line="198" w:lineRule="exact"/>
        <w:rPr>
          <w:sz w:val="20"/>
          <w:szCs w:val="20"/>
          <w:color w:val="auto"/>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Require demonstration of clinically meaningful outcomes for the performance of the medical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Require stricter control of Class IIb and Class III medical devices during the clinical investigational phase;</w:t>
      </w:r>
    </w:p>
    <w:p>
      <w:pPr>
        <w:spacing w:after="0" w:line="211" w:lineRule="exact"/>
        <w:rPr>
          <w:rFonts w:ascii="Arial" w:cs="Arial" w:eastAsia="Arial" w:hAnsi="Arial"/>
          <w:sz w:val="18"/>
          <w:szCs w:val="18"/>
          <w:color w:val="231F20"/>
        </w:rPr>
      </w:pPr>
    </w:p>
    <w:p>
      <w:pPr>
        <w:ind w:left="180" w:right="15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Require rigorous post-market oversight by the manufacturer and increased post-market surveillance authority by the Notified Body, including unannounced audits and product sample checks and testing;</w:t>
      </w:r>
    </w:p>
    <w:p>
      <w:pPr>
        <w:spacing w:after="0" w:line="153" w:lineRule="exact"/>
        <w:rPr>
          <w:rFonts w:ascii="Arial" w:cs="Arial" w:eastAsia="Arial" w:hAnsi="Arial"/>
          <w:sz w:val="18"/>
          <w:szCs w:val="18"/>
          <w:color w:val="231F20"/>
        </w:rPr>
      </w:pPr>
    </w:p>
    <w:p>
      <w:pPr>
        <w:ind w:left="180" w:right="7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53" w:lineRule="exact"/>
        <w:rPr>
          <w:rFonts w:ascii="Arial" w:cs="Arial" w:eastAsia="Arial" w:hAnsi="Arial"/>
          <w:sz w:val="18"/>
          <w:szCs w:val="18"/>
          <w:color w:val="231F20"/>
        </w:rPr>
      </w:pPr>
    </w:p>
    <w:p>
      <w:pPr>
        <w:ind w:left="180" w:right="219" w:hanging="130"/>
        <w:spacing w:after="0" w:line="301" w:lineRule="auto"/>
        <w:tabs>
          <w:tab w:leader="none" w:pos="18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Provide greater transparency by establishing a central database (EUDAMED) to provide patients, healthcare professionals and the public with comprehensive information on products available in the EU; and</w:t>
      </w:r>
    </w:p>
    <w:p>
      <w:pPr>
        <w:spacing w:after="0" w:line="130" w:lineRule="exact"/>
        <w:rPr>
          <w:rFonts w:ascii="Arial" w:cs="Arial" w:eastAsia="Arial" w:hAnsi="Arial"/>
          <w:sz w:val="17"/>
          <w:szCs w:val="17"/>
          <w:color w:val="231F20"/>
        </w:rPr>
      </w:pPr>
    </w:p>
    <w:p>
      <w:pPr>
        <w:ind w:left="180" w:right="39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which may have to undergo an additional check by an independent expert panel before they are placed on the market.</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To avoid market disruption and allow a smooth transition from the MDD/AIMDD to the MDR, several transitional provisions are in place, which include allowing devices lawfully placed on the market prior to expiration of their MDD/AIMDD CE Marks to remain available on the market and be put into service, both under certain prerequisites and until a certain time.</w:t>
      </w:r>
    </w:p>
    <w:p>
      <w:pPr>
        <w:spacing w:after="0" w:line="16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2022, we successfully completed the Stage 1 and 2 MDR Quality Management System (“QMS”) audits, and our Notified Body officially issued an approval document stating that the QMS has been assessed to the MDR and approved. We have since received confirmation that all sections of the submission have been reviewed and all queries have been responded to and the responses accepted. The file remains under review.</w:t>
      </w:r>
    </w:p>
    <w:p>
      <w:pPr>
        <w:spacing w:after="0" w:line="16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Notably, the European Commission extended qualifying AIMDD CE certificates, including ours, through December 31, 2027. This extension was driven by delays in notified body reviews and approvals across the medical device industry as well as the fact that a substantial number of CE Mark certificates were continuing to expire during this unpredictable and extended transition period to MDR.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under MDR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Manufacturers of medical devices must comply with the general safety and performance requirements of the MDR in order to obtain a CE Mark for the product and market the product in the EEA. To demonstrate compliance with the general safety and performance requirements, the manufacturer must undergo a conformity assessment procedure which requires the involvement of a Notified Body except for low-risk, self-certified medical devices of Class I. The Notified Body typically audits the quality management system of the manufacturer, which must comply with the current version of ISO 13485 requiring that manufacturers follow defined and approved design and development procedures, testing, control, documentation and other quality assurance procedures throughout the entire design and manufacturing process. The Notified Body also reviews the Technical File that includes the Biological Evaluation, Clinical Evaluation and Risk Management reports and Post Market Clinical Follow-Up (“PMCF”), among other items, submitted for approval of the 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Mark. If the quality management system audit and the technical file review are successful, the Notified Body issues certificates of conformity. These certificates entitle the manufacturer to draw up the EU declaration of conformity and affix the CE Mark to the labeling of its medical devices and place the medical device on the EEA market.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UK and UK Conformity Assessed marking</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Since January 1, 2021, the UK (excluding Northern Ireland) has recognized medical devices with an EEA-issued CE Mark, and has since indicated it will continue to do so until December 31, 2027. Additionally, certificates issued by EU-recognized Notified Bodies will continue to be valid for the UK market until December 31, 2027. Since January 1, 2021, all medical devices placed on the UK market must be registered with the Medicines and Healthcare products Regulatory Agency (the “MHRA”). There are different grace periods depending on the type of medical device to allow time for compliance with the new registration process. Where a medical device is not already registered with the MHRA, a conformity assessment must be conducted by an “authorised” body (a so-called UK Approved Body, approved by the MHRA) and a separate dossier application for the UKCA marking must be submitted. However, the data to support an EEA-issued CE Mark is expected to be sufficient for a UKCA mark. Manufacturers based outside the UK who wish to place a device on the UK market need to appoint a single UK Responsible Person who will take responsibility for the product in the UK. We have registered with MHRA, have a UK Responsible Person, and are prepared to conduct a conformity assessment when necessary.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Switzerland</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Switzerland and the EU had a bilateral mutual recognition agreement (MRA) on conformity assessment, which entered into force in 2002, but ceased to be enforced on May 26, 2021. Currently, Switzerland unilaterally recognizes EU certificates of conformity for medical devices. Labeling and CE marking requirements for medical devices placed on the Swiss market must follow EU CE labeling requirements. To place a product on the Swiss market as an economic operator located outside of Switzerland, manufacturers, distributors, and importers must have a Swiss authorized representative (“CH-REP”). Product labeling should include the CH-REP name and address to show compliance. MDD/AIMDD devices with certificates issued by EU-recognized Notified Bodies will continue to be valid until December 31, 2027. We have engaged a CH-REP and the devices may continue to be sold in Switzerland through 2027.</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investigation</w:t>
      </w:r>
    </w:p>
    <w:p>
      <w:pPr>
        <w:spacing w:after="0" w:line="21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For our medical devices, clinical investigations or evidence will be required to demonstrate safety, performance, and the expected clinical outcomes. The term “performance” describes how the medical device functions. Under the MDR, performance must be linked to expected clinical metrics and outcomes. From a practical standpoint, “performance” is analogous to the term “effectiveness” when applied to our medical devices. Clinical investigations must be conducted in accord with Good Clinical Practices (ISO 14155) and are subject to audits by the Notified Bodies.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surveillance</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After a medical device is placed on the market, numerous regulatory requirements apply, which link to the manufacturer’s continuous review of risk management information. The manufacturer must establish and maintain a systematic procedure to proactively collect and review real-life experience and data gained from their devices placed on the market. Post-market surveillance is comprised of, but not limited to, reports of serious adverse events, device deficiency reports, product complaints from consumers and health care professionals, field safety corrective actions and post-marketing clinical studies/updated clinical evaluation reports. Manufacturers must guarantee that their medical device continues to provide the promised benefit to patients as well as the lack of any unacceptable risks, through a constant and systematic approach to post-market surveillance. Further, manufacturers, medical practitioners and medical institutions are obliged to report any incident involving a medical device, including any malfunction or deterioration in the characteristics and/or performance of a device, as well as any inadequacy in the labelling or the instructions for use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might lead to or might have led to the death of a patient or to a serious deterioration in his or her state of health. The reporting also includes any device recalls. Manufacturers must prepare a periodic safety update report for each device summarizing the results and conclusions of the analyses of the post-market surveillance data gathered.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Non-compliance</w:t>
      </w:r>
    </w:p>
    <w:p>
      <w:pPr>
        <w:spacing w:after="0" w:line="21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If we fail to comply with applicable EU, UK and Swiss regulatory requirements, we may be subject to, among other things, fines, product recalls, seizure of products, operating restrictions, and criminal prosecution. Failure to comply with EU, UK or Swiss regulatory requirements could prevent us from developing, manufacturing and later selling the products in the respective region.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Recognizing that the federal Anti-Kickback Statute is broad and may prohibit many innocuous or beneficial arrangements within the healthcare industry, the U.S. Department of Health, and Human Services (“HHS”) issued regulations in July 1991, which HHS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 since 1991. 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18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Violations of the federal Anti-Kickback Statute may result in civil monetary penalties up to $ 100,000 for each violation, plus up to three times the remuneration involved. Civil penalties for such conduct can further be assessed under the federal civil False Claims Act. Violations can also result in criminal penalties, including criminal fines of up to $100,000 and imprisonment of up to 10 years. Similarly, violations can result in exclusion from participation in government healthcare programs, including Medicare and Medicaid. Liability under the federal Anti-Kickback Statute may also arise because of the intentions or actions of the parties with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whom we do business. While we are not aware of any such intentions or actions, we have only limited knowledge regarding the intentions or actions underlying those arrangements. Conduct and business arrangements that do not fully satisfy one of these safe harbor provisions may result in increased scrutiny by government enforcement authorities. The majority of states also have anti-kickback laws that establish similar prohibitions and, in some cases, may apply more broadly to items or services covered by any third-party payer, including commercial insurers and self-pay patients.</w:t>
      </w:r>
    </w:p>
    <w:p>
      <w:pPr>
        <w:spacing w:after="0" w:line="16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civil federal civil False Claims Act.</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addition, private parties may initiate “qui tam” whistleblower lawsuits against any person or entity under the federal civil False Claims Act in the name of the government and share in the proceeds of the lawsuit. Penalties for federal civil False Claims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(“FERA”), was enacted, which modifies and clarifies certain provisions of the federal civil False Claims Act. In part,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 When an entity is determined to have violated the federal civil False Claims Act, the government may impose civil fines and penalties ranging from $12,537 to $25,076 for each false claim, plus treble damages, and exclude the entity from participation in Medicare, Medicaid, and other federal healthcare programs.</w:t>
      </w:r>
    </w:p>
    <w:p>
      <w:pPr>
        <w:spacing w:after="0" w:line="17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65"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Health Insurance Portability and Accountability Act of 1996 (“HIPAA”) also created additional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similar fraud and abuse statutes or regulations that may be broader in scope and may apply regardless of payer, in addition to items and services reimbursed under Medicaid and other state programs.</w:t>
      </w:r>
    </w:p>
    <w:p>
      <w:pPr>
        <w:spacing w:after="0" w:line="14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the Children’s Health Insurance Program for payments and other transfers of value provided by them, directly or indirectly, to physicians (including physician family members), certain other healthcare providers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of up to $12,646 per failure up to an aggregate of $ 189,692 per year (or up to an aggregate of $ 1.265 million per year for “knowing failures”). Manufacturers must submit reports by the 90th day of 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the Health Information Technology for Economic and Clinical Health Act of 2009 (“HITECH”), in the U.S.</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6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HHS, which would post the violation on its website, and to the media. Failure to comply with the HIPAA privacy and security standards can result in civil monetary penalties up to $63,973 per violation, not to exceed $1.92 million per calendar year for non-compliance of an identical provision and, in certain circumstances, criminal penalties with fines up to $250,000 per violation and/or imprisonment.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Additionally,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 information. The data privacy regime in the EU includes the EU Data Protection Directive (95/46/EC) regarding the processing of personal data and the free movement of such data, the E-Privacy Directive 2002/58/EC and national laws implementing each of them. Each EU Member State has transposed the requirements laid down by the Data Protection Directive and E-Privacy Directive into its own national data privacy regime and therefore the laws may differ by jurisdiction, sometimes significantly. We must ensure compliance with the rules in each jurisdiction where we are established or are otherwise subject to local privacy laws.</w:t>
      </w:r>
    </w:p>
    <w:p>
      <w:pPr>
        <w:spacing w:after="0" w:line="17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requirements include that personal data may only be collected for specified, explicit and legitimate purposes based on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16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EU-wide General Data Protection Regulation (“GDPR”) became applicable on May 25, 2018, replacing the previous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In the UK, the UK General Data Protection Regulation (the “UK GDPR”) came into effect on January 1, 2021. Similar to the GDPR, the UK GDPR sets out the key principles, rights, and obligations for most processing of personal data in the UK. The Data Protection Act of 2018, which came into effect on May 25, 2018 and was amended on January 1, 2021, works alongside and supplements the UK GDPR.</w:t>
      </w:r>
    </w:p>
    <w:p>
      <w:pPr>
        <w:spacing w:after="0" w:line="168"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depend on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When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payers and providers are instituting and the effect of any healthcare reform initiative implemented in the future could impact our revenue from the sale of our products.</w:t>
      </w:r>
    </w:p>
    <w:p>
      <w:pPr>
        <w:spacing w:after="0" w:line="167"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The implementation of the Affordable Care Act in the U.S., for example, has changed healthcare financing and delivery by both governmental and private insurers substantially, and affected medical device manufacturers significantly.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There have been judicial and Congressional challenges to certain aspects of the Affordable Care Act, and we expect additional challenges and amendments in the future. Moreover, the Trump Administration and the U.S. Congress may take further action regarding the Affordable Care Act. In 2017, the Tax Cuts and Jobs Acts was enacted, which, among other things, removed penalties for not complying with the individual mandate to carry health insurance, effective in 2019.</w:t>
      </w:r>
    </w:p>
    <w:p>
      <w:pPr>
        <w:spacing w:after="0" w:line="15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addition, other legislative changes have been adopted since the Affordable Care Act. For example, the Budget Control Act of 2011, among other things, included reductions to Medicare payments to providers of 2% per fiscal year, which went into effect on April 1, 2013 and will remain in effect through 2027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6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21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Our U.S. operations are subject to the U.S. Foreign Corrupt Practices Act (the “FCPA”). We are required to comply with the FCPA, which generally prohibits covered entities and their intermediaries from engaging in bribery or making other prohibited payments to foreign officials to obtain or retain business or other benefits. In addition, the FCPA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Europe under the Organization for Economic Co-operation and Development’s Convention on Combating Bribery of Foreign Public Officials in International Business Transactions.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21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facilities and operations are also subject to complex federal, state, local and foreign environmental and occupational safety laws and regulations, including those relating to discharges of substances in the air, water and land, the handling, storage and disposal of wastes and the clean-up of properties contaminated by pollutants. We do not expect that the ongoing costs of compliance with these environmental requirements will have a material impact on our consolidated earnings, capital expenditures or competitive position.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1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we had 206 employees worldwide, all of which were employed on a full-time basis.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 of our employees is subject to a collective bargaining agreement or represented by a trade or labor union.</w:t>
      </w:r>
    </w:p>
    <w:p>
      <w:pPr>
        <w:ind w:left="60"/>
        <w:spacing w:after="0"/>
        <w:rPr>
          <w:sz w:val="20"/>
          <w:szCs w:val="20"/>
          <w:color w:val="auto"/>
        </w:rPr>
      </w:pPr>
      <w:r>
        <w:rPr>
          <w:rFonts w:ascii="Arial" w:cs="Arial" w:eastAsia="Arial" w:hAnsi="Arial"/>
          <w:sz w:val="18"/>
          <w:szCs w:val="18"/>
          <w:color w:val="auto"/>
        </w:rPr>
        <w:t>We consider our relationship with our employees to be good.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w:t>
      </w:r>
    </w:p>
    <w:p>
      <w:pPr>
        <w:spacing w:after="0" w:line="21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Our mission is to advance health for people everywhere, giving each patient a fuller life. In seeking to accomplish our mission, we rely on our values, which are central to our human capital management policies and practices. These values are:</w:t>
      </w:r>
    </w:p>
    <w:p>
      <w:pPr>
        <w:spacing w:after="0" w:line="155" w:lineRule="exact"/>
        <w:rPr>
          <w:sz w:val="20"/>
          <w:szCs w:val="20"/>
          <w:color w:val="auto"/>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Commitments are Sacred — Honor relationships by doing what we say, when we say we’ll do it.</w:t>
      </w:r>
    </w:p>
    <w:p>
      <w:pPr>
        <w:spacing w:after="0" w:line="211" w:lineRule="exact"/>
        <w:rPr>
          <w:rFonts w:ascii="Arial" w:cs="Arial" w:eastAsia="Arial" w:hAnsi="Arial"/>
          <w:sz w:val="18"/>
          <w:szCs w:val="18"/>
          <w:color w:val="231F20"/>
        </w:rPr>
      </w:pPr>
    </w:p>
    <w:p>
      <w:pPr>
        <w:ind w:left="180" w:right="29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Bold Mindset, Driven Spirit — Always push the boundaries, energetically seeking out impactful opportunities and inspiring others.</w:t>
      </w:r>
    </w:p>
    <w:p>
      <w:pPr>
        <w:spacing w:after="0" w:line="153" w:lineRule="exact"/>
        <w:rPr>
          <w:rFonts w:ascii="Arial" w:cs="Arial" w:eastAsia="Arial" w:hAnsi="Arial"/>
          <w:sz w:val="18"/>
          <w:szCs w:val="18"/>
          <w:color w:val="231F20"/>
        </w:rPr>
      </w:pPr>
    </w:p>
    <w:p>
      <w:pPr>
        <w:ind w:left="180" w:right="13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Pioneer with Purpose…and a Smile! — As individuals, team leaders and industry innovators, it’s how we pave the way forward that defines us.</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Collaborate with Enjoyment — Achieve goals and celebrate as a team.</w:t>
      </w:r>
    </w:p>
    <w:p>
      <w:pPr>
        <w:spacing w:after="0" w:line="211" w:lineRule="exact"/>
        <w:rPr>
          <w:rFonts w:ascii="Arial" w:cs="Arial" w:eastAsia="Arial" w:hAnsi="Arial"/>
          <w:sz w:val="18"/>
          <w:szCs w:val="18"/>
          <w:color w:val="231F20"/>
        </w:rPr>
      </w:pPr>
    </w:p>
    <w:p>
      <w:pPr>
        <w:ind w:left="180" w:right="97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Determination Overcomes Targets — Determine the pathway, overcome obstacles, accelerate, and successfully implement.</w:t>
      </w:r>
    </w:p>
    <w:p>
      <w:pPr>
        <w:spacing w:after="0" w:line="153" w:lineRule="exact"/>
        <w:rPr>
          <w:rFonts w:ascii="Arial" w:cs="Arial" w:eastAsia="Arial" w:hAnsi="Arial"/>
          <w:sz w:val="18"/>
          <w:szCs w:val="18"/>
          <w:color w:val="231F20"/>
        </w:rPr>
      </w:pPr>
    </w:p>
    <w:p>
      <w:pPr>
        <w:ind w:left="180" w:right="11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Embrace the Challenge of Change — Have an eye for identifying when change is needed, and the flexibility to chart a new course.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are acutely focused on the health and safety of our employees in the workplace. Our health and safety team monitors various metrics in an effort to ensure we are providing a safe environment to work. These results are shared with relevant regulatory agencies as required and presented to our management team.</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14" w:lineRule="exact"/>
        <w:rPr>
          <w:sz w:val="20"/>
          <w:szCs w:val="20"/>
          <w:color w:val="auto"/>
        </w:rPr>
      </w:pPr>
    </w:p>
    <w:p>
      <w:pPr>
        <w:jc w:val="both"/>
        <w:ind w:left="60" w:right="339"/>
        <w:spacing w:after="0" w:line="264" w:lineRule="auto"/>
        <w:rPr>
          <w:sz w:val="20"/>
          <w:szCs w:val="20"/>
          <w:color w:val="auto"/>
        </w:rPr>
      </w:pPr>
      <w:r>
        <w:rPr>
          <w:rFonts w:ascii="Arial" w:cs="Arial" w:eastAsia="Arial" w:hAnsi="Arial"/>
          <w:sz w:val="17"/>
          <w:szCs w:val="17"/>
          <w:color w:val="auto"/>
        </w:rPr>
        <w:t>We make our Annual Reports on Form 10-K, Quarterly Reports on Form 10-Q, Current Reports on Form 8-K and amendments to those reports filed or furnished pursuant to Section 13(a) or 15(d) of the Exchange Act, available free of charge at our website as soon as reasonably practicable after they have been filed with,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furnished to, the U.S. Securities and Exchange Commission (the “SEC”). Our website address is www.cvrx.com. Information on our website is not part of this Annual Report on Form 10-K. The SEC maintains a website that contains the materials we file with the SEC at www.sec.gov.</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27"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15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experienced significant net losses since our inception and we expect to continue to incur losses for the foreseeable future. We incurred net losses of $60.0 million and $41.2 million for the years ended December 31, 2024 and 2023, respectively. As of December 31, 2024 and 2023, our accumulated deficit was $537.3 million and $477.4 million, respectively. We expect to continue to incur significant sales and marketing, research and development, regulatory, and other expenses as we grow our U.S. commercial sales force and expand our marketing efforts to increase adoption of Barostim, add new features to Barostim, obtain regulatory clearances or approvals for our planned or future products and conduct clinical trials on our existing and planned or future products.</w:t>
      </w:r>
    </w:p>
    <w:p>
      <w:pPr>
        <w:spacing w:after="0" w:line="167"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We will need to continue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121"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The failure to increase market acceptance in the U.S. for Barostim would negatively impact our business, liquidity, and results of operations.</w:t>
      </w:r>
    </w:p>
    <w:p>
      <w:pPr>
        <w:spacing w:after="0" w:line="139"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We first commercialized Barostim in the EEA in 2012 and in the U.S. in 2020 and therefore do not have a long history operating as a commercial company. We expect substantially all of our revenue to continue to be derived from sales of Barostim for the foreseeable future, the majority of which will be generated in the U.S. Although increasing as our commercial sales grow, Barostim still has limited product and brand recognition. In addition, demand for Barostim may decline or may not continue to increase as quickly as we expect. If we are unable to achieve significant market acceptance in the U.S. for Barostim, our results of operations will be adversely affected. Because we do not yet have other products currently in development, if we are unsuccessful in commercializing Barostim or are unable to market Barostim as a result of a quality problem, failure to maintain regulatory approvals, unexpected or serious complications or other unforeseen negative effects related to Barostim or the other factors discussed in these risk factors, we would lose our main source of revenue, and our business, reputation, liquidity and results of operations will be materially and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limited commercial sales experience marketing and selling Barostim, and if we are unable to continue to maintain and grow sales and marketing capabilities, we will be unable to generate sustained and increasing product revenue.</w:t>
      </w:r>
    </w:p>
    <w:p>
      <w:pPr>
        <w:spacing w:after="0" w:line="15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order to generate future revenue growth, we plan to continue to expand the size and geographic scope of our U.S. direct sales and marketing organization. In order to increase our sales and marketing efforts, we will need to continue to retain, grow and develop a substantial number of direct sales personnel, which is a significant investment.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anticipated revenue. Any of these risks may adversely affect our 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Barostim.</w:t>
      </w:r>
    </w:p>
    <w:p>
      <w:pPr>
        <w:spacing w:after="0" w:line="23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Physicians play a significant role in determining the course of a patient’s treatment and, subsequently, the type of product that will be used to treat a patient. As a result, our success depends, in large part, on effectively marketing Barostim to physicians. In order for us to sell Barostim, we must successfully demonstrate to physicians and patients the merits of Barostim Therapy for use in treating patients with HFrEF. Specifically, Barostim is indicated for patients with NYHA Class III or II (with recent history of III) despite treatment with guideline-directed medical therapies (medications and devices), have a LVEF ≤ 35% and a NT-proBNP &lt; 1,600 pg/ml. Barostim delivers BAT to improve patients’ NYHA functional status, 6MHW and quality of life. Acceptance of Barostim depends on educating physicians as to the distinctive characteristics, perceived benefits, safety, ease of use and cost-effectiveness of Barostim and communicating to physicians the proper application of Barostim Therapy for patients who meet Barostim’s eligibility criteria. If we are not successful in convincing physicians of the merits of Barostim Therapy, they may not use Barostim and we may be unable to increase our sales, sustain our growth or achieve profitability.</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physicians typically need to perform several procedures to become comfortable using Barostim.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and to provide them with adequate product support during clinical procedures. If we do not provide support to physicians or do not adequately educate physicians on the benefits and proper use of Barostim, physicians may not use or advocate for Barostim. In such circumstances, our results of operations would be materially adversely affected.</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Patients may not choose or be able to receive Barostim if, among other potential reasons, they are reluctant to receive an implantable device as opposed to an alternative, non-implantable treatment, they are worried about potential adverse effects of Barostim, or they are unable to obtain adequate third-party coverage or reimbursement.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139"/>
        <w:spacing w:after="0" w:line="291" w:lineRule="auto"/>
        <w:rPr>
          <w:sz w:val="20"/>
          <w:szCs w:val="20"/>
          <w:color w:val="auto"/>
        </w:rPr>
      </w:pPr>
      <w:r>
        <w:rPr>
          <w:rFonts w:ascii="Arial" w:cs="Arial" w:eastAsia="Arial" w:hAnsi="Arial"/>
          <w:sz w:val="18"/>
          <w:szCs w:val="18"/>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our business will be adversely impacted.</w:t>
      </w:r>
    </w:p>
    <w:p>
      <w:pPr>
        <w:spacing w:after="0" w:line="14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medical device industry is highly competitive and subject to technological change. Our success depends, in part, upon our ability to establish a competitive position in the market by securing broad market acceptance of Barostim Therapy and Barostim for the treatment of HFrEF. Any product we develop that achieves regulatory clearance or approval, including Barostim, will have to compete for market acceptance and market share against other therapies, including both devices and medications. We believe that the primary competitive factors in the market are demonstrated clinical effectiveness, product safety, reliability and durability, ease of use, product support and service, minimal side effects and salesforce experience.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Johnson &amp; Johnson. We may also face competition from other competitors, such as Impulse Dynamics, which is a private company with a medical device indicated for a subset of our target patient population, or companies with active system development programs that may emerge in the future, such as Johnson &amp; Johnson’s interatrial shunt system (formerly V-Wave). Many of the companies developing or marketing competing products enjoy several advantages over us, including, among others:</w:t>
      </w:r>
    </w:p>
    <w:p>
      <w:pPr>
        <w:spacing w:after="0" w:line="174" w:lineRule="exact"/>
        <w:rPr>
          <w:sz w:val="20"/>
          <w:szCs w:val="20"/>
          <w:color w:val="auto"/>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more experienced sales forces;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more established sales and marketing programs and distribution networks;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long established relationships with physicians and hospitals;</w:t>
      </w:r>
    </w:p>
    <w:p>
      <w:pPr>
        <w:spacing w:after="0" w:line="90" w:lineRule="exact"/>
        <w:rPr>
          <w:rFonts w:ascii="Arial" w:cs="Arial" w:eastAsia="Arial" w:hAnsi="Arial"/>
          <w:sz w:val="18"/>
          <w:szCs w:val="18"/>
          <w:color w:val="231F20"/>
        </w:rPr>
      </w:pPr>
    </w:p>
    <w:p>
      <w:pPr>
        <w:ind w:left="380" w:right="239" w:hanging="127"/>
        <w:spacing w:after="0" w:line="271" w:lineRule="auto"/>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8"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greater financial and human resources for product development, sales, and marketing; and</w:t>
      </w:r>
    </w:p>
    <w:p>
      <w:pPr>
        <w:spacing w:after="0" w:line="76" w:lineRule="exact"/>
        <w:rPr>
          <w:rFonts w:ascii="Arial" w:cs="Arial" w:eastAsia="Arial" w:hAnsi="Arial"/>
          <w:sz w:val="18"/>
          <w:szCs w:val="18"/>
          <w:color w:val="231F20"/>
        </w:rPr>
      </w:pPr>
    </w:p>
    <w:p>
      <w:pPr>
        <w:ind w:left="380" w:right="279" w:hanging="127"/>
        <w:spacing w:after="0" w:line="253" w:lineRule="auto"/>
        <w:tabs>
          <w:tab w:leader="none" w:pos="3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4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particularly in this tight labor market,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potential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37"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U.S., in order for physicians to use Barostim, hospitals where these physicians treat patients typically require us to enter into purchasing contracts. This process can be lengthy, time -consuming and require extensive negotiations and management time, which could include an approval by a customer’s value analysis committee. In the EEA, from time-to-time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41" w:lineRule="exact"/>
        <w:rPr>
          <w:sz w:val="20"/>
          <w:szCs w:val="20"/>
          <w:color w:val="auto"/>
        </w:rPr>
      </w:pPr>
    </w:p>
    <w:p>
      <w:pPr>
        <w:ind w:left="60" w:right="279"/>
        <w:spacing w:after="0" w:line="320" w:lineRule="auto"/>
        <w:rPr>
          <w:sz w:val="20"/>
          <w:szCs w:val="20"/>
          <w:color w:val="auto"/>
        </w:rPr>
      </w:pPr>
      <w:r>
        <w:rPr>
          <w:rFonts w:ascii="Arial" w:cs="Arial" w:eastAsia="Arial" w:hAnsi="Arial"/>
          <w:sz w:val="17"/>
          <w:szCs w:val="17"/>
          <w:b w:val="1"/>
          <w:bCs w:val="1"/>
          <w:i w:val="1"/>
          <w:iCs w:val="1"/>
          <w:color w:val="231F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13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We currently source certain components for Barostim from a limited number of suppliers. Our ability to supply Barostim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some of our limited suppliers, some of which supply components critical to our products, such as modules, batteries, and electrodes.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16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179" w:lineRule="exact"/>
        <w:rPr>
          <w:sz w:val="20"/>
          <w:szCs w:val="20"/>
          <w:color w:val="auto"/>
        </w:rPr>
      </w:pPr>
    </w:p>
    <w:p>
      <w:pPr>
        <w:ind w:left="540" w:right="579" w:hanging="139"/>
        <w:spacing w:after="0" w:line="303"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we are not a major customer of many of our suppliers, and these suppliers may therefore give other customers’ needs higher priority than ours;</w:t>
      </w:r>
    </w:p>
    <w:p>
      <w:pPr>
        <w:spacing w:after="0" w:line="30" w:lineRule="exact"/>
        <w:rPr>
          <w:rFonts w:ascii="Arial" w:cs="Arial" w:eastAsia="Arial" w:hAnsi="Arial"/>
          <w:sz w:val="18"/>
          <w:szCs w:val="18"/>
          <w:color w:val="231F20"/>
        </w:rPr>
      </w:pPr>
    </w:p>
    <w:p>
      <w:pPr>
        <w:ind w:left="540" w:right="79" w:hanging="139"/>
        <w:spacing w:after="0" w:line="348" w:lineRule="auto"/>
        <w:tabs>
          <w:tab w:leader="none" w:pos="54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third parties may threaten or enforce their intellectual property rights against our suppliers, which may cause disruptions or delays in shipment, or may force our suppliers to cease conducting business with us;</w:t>
      </w:r>
    </w:p>
    <w:p>
      <w:pPr>
        <w:ind w:left="540" w:right="259" w:hanging="139"/>
        <w:spacing w:after="0" w:line="318"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we may not be able to obtain an adequate supply of components in a timely manner or on commercially reasonable terms;</w:t>
      </w:r>
    </w:p>
    <w:p>
      <w:pPr>
        <w:spacing w:after="0" w:line="4" w:lineRule="exact"/>
        <w:rPr>
          <w:rFonts w:ascii="Arial" w:cs="Arial" w:eastAsia="Arial" w:hAnsi="Arial"/>
          <w:sz w:val="18"/>
          <w:szCs w:val="18"/>
          <w:color w:val="231F20"/>
        </w:rPr>
      </w:pPr>
    </w:p>
    <w:p>
      <w:pPr>
        <w:ind w:left="540" w:right="99" w:hanging="139"/>
        <w:spacing w:after="0" w:line="318"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our suppliers, especially new suppliers, may make errors in manufacturing that could negatively affect the effectiveness or safety of Barostim or cause delays in shipment;</w:t>
      </w:r>
    </w:p>
    <w:p>
      <w:pPr>
        <w:spacing w:after="0" w:line="18"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we may have difficulty locating and qualifying alternative suppliers;</w:t>
      </w:r>
    </w:p>
    <w:p>
      <w:pPr>
        <w:spacing w:after="0" w:line="130" w:lineRule="exact"/>
        <w:rPr>
          <w:rFonts w:ascii="Arial" w:cs="Arial" w:eastAsia="Arial" w:hAnsi="Arial"/>
          <w:sz w:val="18"/>
          <w:szCs w:val="18"/>
          <w:color w:val="231F20"/>
        </w:rPr>
      </w:pPr>
    </w:p>
    <w:p>
      <w:pPr>
        <w:ind w:left="540" w:right="379" w:hanging="139"/>
        <w:spacing w:after="0" w:line="292"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switching components or suppliers may require product redesign and possibly submission to the FDA, EEA, or other foreign regulatory bodies, which could significantly impede or delay our commercial activities;</w:t>
      </w:r>
    </w:p>
    <w:p>
      <w:pPr>
        <w:spacing w:after="0" w:line="41"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one or more of our limited source suppliers may be unwilling or unable to supply components of Barostim;</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right="579" w:hanging="139"/>
        <w:spacing w:after="0" w:line="318"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other customers may use fair or unfair negotiation tactics and/or pressures to impede our use of the supplier;</w:t>
      </w:r>
    </w:p>
    <w:p>
      <w:pPr>
        <w:spacing w:after="0" w:line="18" w:lineRule="exact"/>
        <w:rPr>
          <w:rFonts w:ascii="Arial" w:cs="Arial" w:eastAsia="Arial" w:hAnsi="Arial"/>
          <w:sz w:val="18"/>
          <w:szCs w:val="18"/>
          <w:color w:val="231F20"/>
        </w:rPr>
      </w:pPr>
    </w:p>
    <w:p>
      <w:pPr>
        <w:ind w:left="540" w:right="539" w:hanging="139"/>
        <w:spacing w:after="0" w:line="318"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we do not conduct rigorous, formal environmental, social or governance due diligence on our supply chain and thus may not be aware if our suppliers pose such risks;</w:t>
      </w:r>
    </w:p>
    <w:p>
      <w:pPr>
        <w:spacing w:after="0" w:line="18" w:lineRule="exact"/>
        <w:rPr>
          <w:rFonts w:ascii="Arial" w:cs="Arial" w:eastAsia="Arial" w:hAnsi="Arial"/>
          <w:sz w:val="18"/>
          <w:szCs w:val="18"/>
          <w:color w:val="231F20"/>
        </w:rPr>
      </w:pPr>
    </w:p>
    <w:p>
      <w:pPr>
        <w:ind w:left="540" w:right="139" w:hanging="139"/>
        <w:spacing w:after="0" w:line="30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occurrence of a fire, natural disaster or other catastrophe impacting one or more of our suppliers may affect their ability to deliver products to us in a timely manner; and</w:t>
      </w:r>
    </w:p>
    <w:p>
      <w:pPr>
        <w:spacing w:after="0" w:line="30" w:lineRule="exact"/>
        <w:rPr>
          <w:rFonts w:ascii="Arial" w:cs="Arial" w:eastAsia="Arial" w:hAnsi="Arial"/>
          <w:sz w:val="18"/>
          <w:szCs w:val="18"/>
          <w:color w:val="231F20"/>
        </w:rPr>
      </w:pPr>
    </w:p>
    <w:p>
      <w:pPr>
        <w:ind w:left="540" w:right="139" w:hanging="139"/>
        <w:spacing w:after="0" w:line="318"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our suppliers may encounter financial, geopolitical, or other business hardships unrelated to our demand, which could inhibit their ability to fulfill our orders and meet our requirements.</w:t>
      </w:r>
    </w:p>
    <w:p>
      <w:pPr>
        <w:spacing w:after="0" w:line="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Establishing additional or replacement suppliers for the components or processes used in Barostim,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45" w:lineRule="exact"/>
        <w:rPr>
          <w:sz w:val="20"/>
          <w:szCs w:val="20"/>
          <w:color w:val="auto"/>
        </w:rPr>
      </w:pPr>
    </w:p>
    <w:p>
      <w:pPr>
        <w:ind w:left="60" w:right="239"/>
        <w:spacing w:after="0" w:line="325"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12"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53" w:lineRule="exact"/>
        <w:rPr>
          <w:sz w:val="20"/>
          <w:szCs w:val="20"/>
          <w:color w:val="auto"/>
        </w:rPr>
      </w:pPr>
    </w:p>
    <w:p>
      <w:pPr>
        <w:ind w:left="540" w:right="439" w:hanging="139"/>
        <w:spacing w:after="0" w:line="303"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17" w:lineRule="exact"/>
        <w:rPr>
          <w:rFonts w:ascii="Arial" w:cs="Arial" w:eastAsia="Arial" w:hAnsi="Arial"/>
          <w:sz w:val="18"/>
          <w:szCs w:val="18"/>
          <w:color w:val="231F20"/>
        </w:rPr>
      </w:pPr>
    </w:p>
    <w:p>
      <w:pPr>
        <w:ind w:left="540" w:right="219" w:hanging="139"/>
        <w:spacing w:after="0" w:line="303"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30"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17" w:lineRule="exact"/>
        <w:rPr>
          <w:rFonts w:ascii="Arial" w:cs="Arial" w:eastAsia="Arial" w:hAnsi="Arial"/>
          <w:sz w:val="18"/>
          <w:szCs w:val="18"/>
          <w:color w:val="231F20"/>
        </w:rPr>
      </w:pPr>
    </w:p>
    <w:p>
      <w:pPr>
        <w:ind w:left="540" w:right="419" w:hanging="139"/>
        <w:spacing w:after="0" w:line="28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44"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52" w:lineRule="exact"/>
        <w:rPr>
          <w:sz w:val="20"/>
          <w:szCs w:val="20"/>
          <w:color w:val="auto"/>
        </w:rPr>
      </w:pPr>
    </w:p>
    <w:p>
      <w:pPr>
        <w:ind w:left="60" w:right="139"/>
        <w:spacing w:after="0" w:line="268" w:lineRule="auto"/>
        <w:rPr>
          <w:sz w:val="20"/>
          <w:szCs w:val="20"/>
          <w:color w:val="auto"/>
        </w:rPr>
      </w:pPr>
      <w:r>
        <w:rPr>
          <w:rFonts w:ascii="Arial" w:cs="Arial" w:eastAsia="Arial" w:hAnsi="Arial"/>
          <w:sz w:val="18"/>
          <w:szCs w:val="18"/>
          <w:color w:val="231F20"/>
        </w:rPr>
        <w:t>As demand for Barostim increases, we have invested, and expect to continue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237"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Our principal offices and our only manufacturing facility are located in Minneapolis, Minnesota. Substantially all of our operations are conducted at this location, including our manufacturing processes, research,</w:t>
      </w:r>
    </w:p>
    <w:p>
      <w:pPr>
        <w:sectPr>
          <w:pgSz w:w="11900" w:h="16838" w:orient="portrait"/>
          <w:cols w:equalWidth="0" w:num="1">
            <w:col w:w="9019"/>
          </w:cols>
          <w:pgMar w:left="1440" w:top="513"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insurance may not cover our losses in any particular case. In addition, regardless of the level of insurance coverage, damage to our facility may harm our business, financial condition, and operating results.</w:t>
      </w:r>
    </w:p>
    <w:p>
      <w:pPr>
        <w:spacing w:after="0" w:line="155" w:lineRule="exact"/>
        <w:rPr>
          <w:sz w:val="20"/>
          <w:szCs w:val="20"/>
          <w:color w:val="auto"/>
        </w:rPr>
      </w:pPr>
    </w:p>
    <w:p>
      <w:pPr>
        <w:ind w:left="60" w:right="339"/>
        <w:spacing w:after="0" w:line="266" w:lineRule="auto"/>
        <w:rPr>
          <w:sz w:val="20"/>
          <w:szCs w:val="20"/>
          <w:color w:val="auto"/>
        </w:rPr>
      </w:pPr>
      <w:r>
        <w:rPr>
          <w:rFonts w:ascii="Arial" w:cs="Arial" w:eastAsia="Arial" w:hAnsi="Arial"/>
          <w:sz w:val="17"/>
          <w:szCs w:val="17"/>
          <w:color w:val="auto"/>
        </w:rPr>
        <w:t>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134" w:lineRule="exact"/>
        <w:rPr>
          <w:sz w:val="20"/>
          <w:szCs w:val="20"/>
          <w:color w:val="auto"/>
        </w:rPr>
      </w:pPr>
    </w:p>
    <w:p>
      <w:pPr>
        <w:ind w:left="60" w:right="419"/>
        <w:spacing w:after="0" w:line="310"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38"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sale and shipment of Barostim across international borders, as well as the purchase of components from international sources, subjects us to U.S. and foreign governmental trade, import and export and customs regulations and laws.</w:t>
      </w:r>
    </w:p>
    <w:p>
      <w:pPr>
        <w:spacing w:after="0" w:line="155"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color w:val="auto"/>
        </w:rPr>
        <w:t>Compliance with these regulations and laws is costly and exposes us to penalties for non-compliance. Other laws and regulations that can significantly impact us include various anti-bribery laws, including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international operations expose us and our distributors to risks inherent in operating in foreign jurisdictions.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risks include, among others:</w:t>
      </w:r>
    </w:p>
    <w:p>
      <w:pPr>
        <w:spacing w:after="0" w:line="180" w:lineRule="exact"/>
        <w:rPr>
          <w:sz w:val="20"/>
          <w:szCs w:val="20"/>
          <w:color w:val="auto"/>
        </w:rPr>
      </w:pPr>
    </w:p>
    <w:p>
      <w:pPr>
        <w:ind w:left="540" w:right="299" w:hanging="139"/>
        <w:spacing w:after="0" w:line="298" w:lineRule="auto"/>
        <w:tabs>
          <w:tab w:leader="none" w:pos="54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difficulties in enforcing our intellectual property rights and in defending against third-party threats and intellectual property enforcement actions against us, our distributors, or any of our third-party suppliers;</w:t>
      </w: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potential pricing pressure;</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a shortage of high-quality sales representatives and distributors;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imposition of additional U.S. and foreign governmental controls or regulations;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changes in duties and tariffs, license obligations and other non-tariff barriers to trade;</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imposition of restrictions on the activities of foreign agents, representatives, and distributors;</w:t>
      </w:r>
    </w:p>
    <w:p>
      <w:pPr>
        <w:spacing w:after="0" w:line="76"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scrutiny of U.S. and foreign tax authorities, which could result in significant fines, penalties and additional taxes being imposed on us;</w:t>
      </w:r>
    </w:p>
    <w:p>
      <w:pPr>
        <w:spacing w:after="0" w:line="32"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difficulties in enforcing agreements and collecting receivables through certain foreign legal systems;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imposition of new trade restrictions.</w:t>
      </w:r>
    </w:p>
    <w:p>
      <w:pPr>
        <w:spacing w:after="0" w:line="90" w:lineRule="exact"/>
        <w:rPr>
          <w:sz w:val="20"/>
          <w:szCs w:val="20"/>
          <w:color w:val="auto"/>
        </w:rPr>
      </w:pPr>
    </w:p>
    <w:p>
      <w:pPr>
        <w:ind w:left="60" w:right="79"/>
        <w:spacing w:after="0" w:line="318"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55" w:lineRule="exact"/>
        <w:rPr>
          <w:sz w:val="20"/>
          <w:szCs w:val="20"/>
          <w:color w:val="auto"/>
        </w:rPr>
      </w:pPr>
    </w:p>
    <w:p>
      <w:pPr>
        <w:ind w:left="60" w:right="219"/>
        <w:spacing w:after="0" w:line="295"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at prices necessary to support our current business strategies.</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provider constraints, reimbursement policies and societal pressures will continue to change the healthcare industry worldwide, resulting in further business consolidations and alliances among our future customers, which may exert further downward pressure on the prices of Barostim.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3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163" w:lineRule="exact"/>
        <w:rPr>
          <w:sz w:val="20"/>
          <w:szCs w:val="20"/>
          <w:color w:val="auto"/>
        </w:rPr>
      </w:pPr>
    </w:p>
    <w:p>
      <w:pPr>
        <w:ind w:left="60" w:right="539"/>
        <w:spacing w:after="0" w:line="242" w:lineRule="auto"/>
        <w:rPr>
          <w:sz w:val="20"/>
          <w:szCs w:val="20"/>
          <w:color w:val="auto"/>
        </w:rPr>
      </w:pPr>
      <w:r>
        <w:rPr>
          <w:rFonts w:ascii="Arial" w:cs="Arial" w:eastAsia="Arial" w:hAnsi="Arial"/>
          <w:sz w:val="18"/>
          <w:szCs w:val="18"/>
          <w:color w:val="auto"/>
        </w:rPr>
        <w:t>To achieve our revenue goals, we must continue to successfully increase manufacturing output to meet expected customer demand. We may experience difficulties with manufacturing yields, quality control, component supply and shortages of qualified personnel, such as skilled operators who can assemble our product, among other problems. Any of these problems could result in delays in product availability and increases in expenses. Any such delay or increased expense could adversely affect our ability to generate revenue.</w:t>
      </w:r>
    </w:p>
    <w:p>
      <w:pPr>
        <w:spacing w:after="0" w:line="16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Future growth will continue to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5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38" w:lineRule="exact"/>
        <w:rPr>
          <w:sz w:val="20"/>
          <w:szCs w:val="20"/>
          <w:color w:val="auto"/>
        </w:rPr>
      </w:pPr>
    </w:p>
    <w:p>
      <w:pPr>
        <w:ind w:left="60" w:right="499"/>
        <w:spacing w:after="0" w:line="295"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53"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will likely need to conduct additional clinical studies in the future to support approval for new indications. Clinical testing takes many years, is expensive and carries uncertain outcomes. The initiation and completion of studies may be prevented, delayed, or halted for numerous reasons, including, but not limited to, the following: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right="659" w:hanging="132"/>
        <w:spacing w:after="0" w:line="253" w:lineRule="auto"/>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FDA, IRBs, ethics committees, EU competent authorities, or other regulatory authorities do not approve a clinical study protocol, force us to modify a previously approved protocol, or place a clinical study on hold;</w:t>
      </w:r>
    </w:p>
    <w:p>
      <w:pPr>
        <w:spacing w:after="0" w:line="60"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03" w:lineRule="exact"/>
        <w:rPr>
          <w:rFonts w:ascii="Arial" w:cs="Arial" w:eastAsia="Arial" w:hAnsi="Arial"/>
          <w:sz w:val="18"/>
          <w:szCs w:val="18"/>
          <w:color w:val="231F20"/>
        </w:rPr>
      </w:pPr>
    </w:p>
    <w:p>
      <w:pPr>
        <w:jc w:val="both"/>
        <w:ind w:left="560" w:right="159" w:hanging="132"/>
        <w:spacing w:after="0" w:line="252" w:lineRule="auto"/>
        <w:tabs>
          <w:tab w:leader="none" w:pos="5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62" w:lineRule="exact"/>
        <w:rPr>
          <w:rFonts w:ascii="Times New Roman" w:cs="Times New Roman" w:eastAsia="Times New Roman" w:hAnsi="Times New Roman"/>
          <w:sz w:val="18"/>
          <w:szCs w:val="18"/>
          <w:color w:val="auto"/>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03" w:lineRule="exact"/>
        <w:rPr>
          <w:rFonts w:ascii="Arial" w:cs="Arial" w:eastAsia="Arial" w:hAnsi="Arial"/>
          <w:sz w:val="18"/>
          <w:szCs w:val="18"/>
          <w:color w:val="231F20"/>
        </w:rPr>
      </w:pPr>
    </w:p>
    <w:p>
      <w:pPr>
        <w:ind w:left="560" w:right="119" w:hanging="132"/>
        <w:spacing w:after="0" w:line="247" w:lineRule="auto"/>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65"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60" w:right="999" w:hanging="132"/>
        <w:spacing w:after="0" w:line="271" w:lineRule="auto"/>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effectiveness;</w:t>
      </w:r>
    </w:p>
    <w:p>
      <w:pPr>
        <w:spacing w:after="0" w:line="103" w:lineRule="exact"/>
        <w:rPr>
          <w:rFonts w:ascii="Arial" w:cs="Arial" w:eastAsia="Arial" w:hAnsi="Arial"/>
          <w:sz w:val="18"/>
          <w:szCs w:val="18"/>
          <w:color w:val="231F20"/>
        </w:rPr>
      </w:pPr>
    </w:p>
    <w:p>
      <w:pPr>
        <w:ind w:left="560" w:right="399" w:hanging="132"/>
        <w:spacing w:after="0" w:line="271" w:lineRule="auto"/>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regional or worldwide conditions, like an infectious disease or pandemic, precluding or interfering with execution;</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effectiveness; or</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100" w:right="219"/>
        <w:spacing w:after="0"/>
        <w:rPr>
          <w:sz w:val="20"/>
          <w:szCs w:val="20"/>
          <w:color w:val="auto"/>
        </w:rPr>
      </w:pPr>
      <w:r>
        <w:rPr>
          <w:rFonts w:ascii="Arial" w:cs="Arial" w:eastAsia="Arial" w:hAnsi="Arial"/>
          <w:sz w:val="18"/>
          <w:szCs w:val="18"/>
          <w:color w:val="auto"/>
        </w:rPr>
        <w:t>Clinical trials can fail at any stage. Our clinical studies may produce negative or inconclusive results and we may decide, or regulators may require us, to conduct additional clinical or non-clinical studies in addition to those we have planned. In addition, if the FDA determines for any reason, including safety or their risk-benefit analysis, that the results of a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spacing w:after="0" w:line="77" w:lineRule="exact"/>
        <w:rPr>
          <w:sz w:val="20"/>
          <w:szCs w:val="20"/>
          <w:color w:val="auto"/>
        </w:rPr>
      </w:pPr>
    </w:p>
    <w:p>
      <w:pPr>
        <w:ind w:left="100" w:right="199"/>
        <w:spacing w:after="0" w:line="239"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75" w:lineRule="exact"/>
        <w:rPr>
          <w:sz w:val="20"/>
          <w:szCs w:val="20"/>
          <w:color w:val="auto"/>
        </w:rPr>
      </w:pPr>
    </w:p>
    <w:p>
      <w:pPr>
        <w:ind w:left="100" w:right="339"/>
        <w:spacing w:after="0" w:line="242" w:lineRule="auto"/>
        <w:rPr>
          <w:sz w:val="20"/>
          <w:szCs w:val="20"/>
          <w:color w:val="auto"/>
        </w:rPr>
      </w:pPr>
      <w:r>
        <w:rPr>
          <w:rFonts w:ascii="Arial" w:cs="Arial" w:eastAsia="Arial" w:hAnsi="Arial"/>
          <w:sz w:val="18"/>
          <w:szCs w:val="18"/>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39"/>
        <w:spacing w:after="0" w:line="325"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Manufacturing and marketing of Barostim and clinical testing of Barostim Therapy may expose us to product liability claims. The coverage limits of our liability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55"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67"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Transitions in executive leadership can adversely affect relationships with our customers, suppliers, and employees, make it difficult to attract and retain talent, and disrupt execution of our strategy, sales growth, and our efforts to enhance our operations. Additionally, such transitions can require significant payments to recruit and attract qualified employees to join our company and may involve severance payments to certain departing employees. Changes in key management positions may temporarily affect our financial performance and results of operations as the new management becomes familiar with our business and establishes their team dynamic. For example, in February 2024, we appointed a new Chief Executive Officer who replaced our prior Chief Executive Officer, who had been in the role for 17 years. We experienced some disruption within the sales organization at the time of the Chief Executive Officer transition, which led to decreased productivity and higher salesforce turnover, as well as the termination of employment of our Senior Vice President of U.S. Sales. Since the beginning of the second quarter of fiscal 2024, we have hired new leaders for sales, medical affairs, clinical, reimbursement and human resources, completing the expansion of the executive team. Accordingly, our future financial performance will depend on our ability to attract, motivate, integrate, and retain our senior management and employees, and effectively manage this period of transition under our new leadership.</w:t>
      </w:r>
    </w:p>
    <w:p>
      <w:pPr>
        <w:spacing w:after="0" w:line="164" w:lineRule="exact"/>
        <w:rPr>
          <w:sz w:val="20"/>
          <w:szCs w:val="20"/>
          <w:color w:val="auto"/>
        </w:rPr>
      </w:pPr>
    </w:p>
    <w:p>
      <w:pPr>
        <w:jc w:val="both"/>
        <w:ind w:left="60" w:right="319"/>
        <w:spacing w:after="0" w:line="244" w:lineRule="auto"/>
        <w:rPr>
          <w:sz w:val="20"/>
          <w:szCs w:val="20"/>
          <w:color w:val="auto"/>
        </w:rPr>
      </w:pPr>
      <w:r>
        <w:rPr>
          <w:rFonts w:ascii="Arial" w:cs="Arial" w:eastAsia="Arial" w:hAnsi="Arial"/>
          <w:sz w:val="18"/>
          <w:szCs w:val="18"/>
          <w:color w:val="auto"/>
        </w:rPr>
        <w:t>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Although non-compete agreements are becoming more disfavored and, in some cases, banned, many executive officers and employees in the medical device industry are still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19"/>
        <w:spacing w:after="0" w:line="295"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5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If our systems suffer severe damage, disruption or shutdown and we are unable to effectively resolve the issues in a timely manner, our business and operating results may suffer.</w:t>
      </w:r>
    </w:p>
    <w:p>
      <w:pPr>
        <w:spacing w:after="0" w:line="147"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139" w:lineRule="exact"/>
        <w:rPr>
          <w:sz w:val="20"/>
          <w:szCs w:val="20"/>
          <w:color w:val="auto"/>
        </w:rPr>
      </w:pPr>
    </w:p>
    <w:p>
      <w:pPr>
        <w:jc w:val="both"/>
        <w:ind w:left="60" w:right="399"/>
        <w:spacing w:after="0" w:line="255" w:lineRule="auto"/>
        <w:rPr>
          <w:sz w:val="20"/>
          <w:szCs w:val="20"/>
          <w:color w:val="auto"/>
        </w:rPr>
      </w:pPr>
      <w:r>
        <w:rPr>
          <w:rFonts w:ascii="Arial" w:cs="Arial" w:eastAsia="Arial" w:hAnsi="Arial"/>
          <w:sz w:val="17"/>
          <w:szCs w:val="17"/>
          <w:color w:val="auto"/>
        </w:rPr>
        <w:t>Our business strategy was developed based on a number of important assumptions about the HF market in general, any one or more of which may prove to be inaccurate. For example, we believe that the benefits of Barostim as compared to other common HF devices will continue to drive growth in the market for Barostim.</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Despite our review of studies reporting on the trends of HF incidence in the U.S., the actual incidence of HF and the actual demand for our product or competitive products could differ materially from our expectations. 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procedure if they have certain co-morbidities or other disqualifying factors as determined by their physicians.</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estimates of the annual total addressable market for Barostim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Barostim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58" w:lineRule="exact"/>
        <w:rPr>
          <w:sz w:val="20"/>
          <w:szCs w:val="20"/>
          <w:color w:val="auto"/>
        </w:rPr>
      </w:pPr>
    </w:p>
    <w:p>
      <w:pPr>
        <w:ind w:left="60" w:right="139"/>
        <w:spacing w:after="0" w:line="310" w:lineRule="auto"/>
        <w:rPr>
          <w:sz w:val="20"/>
          <w:szCs w:val="20"/>
          <w:color w:val="auto"/>
        </w:rPr>
      </w:pPr>
      <w:r>
        <w:rPr>
          <w:rFonts w:ascii="Arial" w:cs="Arial" w:eastAsia="Arial" w:hAnsi="Arial"/>
          <w:sz w:val="18"/>
          <w:szCs w:val="18"/>
          <w:b w:val="1"/>
          <w:bCs w:val="1"/>
          <w:i w:val="1"/>
          <w:iCs w:val="1"/>
          <w:color w:val="231F20"/>
        </w:rPr>
        <w:t>Unfavorable economic conditions could adversely affect our business, financial condition, or results of operations.</w:t>
      </w:r>
    </w:p>
    <w:p>
      <w:pPr>
        <w:spacing w:after="0" w:line="13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results of operations could be adversely affected by general conditions in the economy and the financial markets. Concerns over economic and political stability, inflation levels and related efforts to mitigate inflation, a potential recession, the level of U.S. national debt, currency fluctuations and volatility, the rate of growth of Japan, China and other Asian economies, unemployment, the availability and cost of credit, trade relations, including the imposition of various sanctions and tariffs, infectious diseases or pandemics, climate-related events, energy costs and geopolitical uncertainty and conflict have contributed to increased volatility and diminished expectations for the economy and markets in general. An economic downturn could result in a variety of risks to our business, including weakened demand for Barostim and our ability to raise additional capital when needed on acceptable terms, if at all. A weak or declining economy could also strain our manufacturers or suppliers, resulting in supply disruption, or causing our customers to delay making</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payments for our services. Certain of the foregoing have harmed and could in the future harm our business, and we cannot anticipate all of the ways in which the economic climate and financial market conditions may further affect our business.</w:t>
      </w:r>
    </w:p>
    <w:p>
      <w:pPr>
        <w:spacing w:after="0" w:line="144"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41"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15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55" w:lineRule="exact"/>
        <w:rPr>
          <w:sz w:val="20"/>
          <w:szCs w:val="20"/>
          <w:color w:val="auto"/>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increased legal and accounting costs relating to the acquisitions or compliance with regulatory matters.</w:t>
      </w:r>
    </w:p>
    <w:p>
      <w:pPr>
        <w:spacing w:after="0" w:line="10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r>
        <w:rPr>
          <w:rFonts w:ascii="Arial" w:cs="Arial" w:eastAsia="Arial" w:hAnsi="Arial"/>
          <w:sz w:val="18"/>
          <w:szCs w:val="18"/>
          <w:color w:val="231F2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179"/>
        <w:spacing w:after="0" w:line="325" w:lineRule="auto"/>
        <w:rPr>
          <w:sz w:val="20"/>
          <w:szCs w:val="20"/>
          <w:color w:val="auto"/>
        </w:rPr>
      </w:pPr>
      <w:r>
        <w:rPr>
          <w:rFonts w:ascii="Arial" w:cs="Arial" w:eastAsia="Arial" w:hAnsi="Arial"/>
          <w:sz w:val="18"/>
          <w:szCs w:val="18"/>
          <w:b w:val="1"/>
          <w:bCs w:val="1"/>
          <w:i w:val="1"/>
          <w:iCs w:val="1"/>
          <w:color w:val="231F20"/>
        </w:rPr>
        <w:t>If third-party payers do not provide adequate coverage and reimbursement for the use of Barostim, our revenue will be negatively impacted.</w:t>
      </w:r>
    </w:p>
    <w:p>
      <w:pPr>
        <w:spacing w:after="0" w:line="112"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Medicare reimbursement levels are important to increasing adoption of Barostim and establishing Barostim as the standard of care because nearly two-thirds of the target patient population for Barostim is over the age of</w:t>
      </w:r>
    </w:p>
    <w:p>
      <w:pPr>
        <w:spacing w:after="0" w:line="1" w:lineRule="exact"/>
        <w:rPr>
          <w:sz w:val="20"/>
          <w:szCs w:val="20"/>
          <w:color w:val="auto"/>
        </w:rPr>
      </w:pPr>
    </w:p>
    <w:p>
      <w:pPr>
        <w:ind w:left="60" w:right="119" w:hanging="10"/>
        <w:spacing w:after="0" w:line="237"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January 1, 2024, Barostim was reassigned to New Technology APC 1580, which carries an average payment amount of $45,000. The APC payment of approximately $45,000 will continue in 2025, as published in the 2025 OPPS final rule. In August 2024, CMS reassigned the Barostim implant procedure for the inpatient setting as part of the IPPS final rule for CMS’ Fiscal Year 2025, which took effect on October 1, 2024. On that date, Barostim was reassigned to MS-DRG 276, which carries a national average payment of approximately $44,000 in 2025, a significant increase from the previous payment range of $17,000-$23,000. Additionally, the American Medical Association's CPT Editorial Panel approved new Category I codes for Barostim therapy, expected to take effect January 1, 2026.</w:t>
      </w:r>
    </w:p>
    <w:p>
      <w:pPr>
        <w:spacing w:after="0" w:line="16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or establish Barostim as the standard of care. From time to time, physicians and hospitals have in the past experienced, and others may experience, denials in Medicare and commercial reimbursement, which have delayed or may delay their willingness to schedule additional Barostim procedures.</w:t>
      </w:r>
    </w:p>
    <w:p>
      <w:pPr>
        <w:spacing w:after="0" w:line="154" w:lineRule="exact"/>
        <w:rPr>
          <w:sz w:val="20"/>
          <w:szCs w:val="20"/>
          <w:color w:val="auto"/>
        </w:rPr>
      </w:pPr>
    </w:p>
    <w:p>
      <w:pPr>
        <w:ind w:left="60" w:right="439"/>
        <w:spacing w:after="0" w:line="310" w:lineRule="auto"/>
        <w:rPr>
          <w:sz w:val="20"/>
          <w:szCs w:val="20"/>
          <w:color w:val="auto"/>
        </w:rPr>
      </w:pPr>
      <w:r>
        <w:rPr>
          <w:rFonts w:ascii="Arial" w:cs="Arial" w:eastAsia="Arial" w:hAnsi="Arial"/>
          <w:sz w:val="18"/>
          <w:szCs w:val="18"/>
          <w:b w:val="1"/>
          <w:bCs w:val="1"/>
          <w:i w:val="1"/>
          <w:iCs w:val="1"/>
          <w:color w:val="231F20"/>
        </w:rPr>
        <w:t>A pandemic, epidemic or outbreak of an infectious disease in the U.S. or worldwide could adversely affect our business.</w:t>
      </w:r>
    </w:p>
    <w:p>
      <w:pPr>
        <w:spacing w:after="0" w:line="13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Pandemics, epidemics, or outbreaks of an infectious disease may adversely affect our business. Numerous state and local jurisdictions have historically imposed, and others in the future may impose, “shelter-in-place” orders, quarantines, executive orders and similar government orders and restrictions for their residents to control the spread of infectious disease. Such orders or restrictions previously resulted, and may in the future result, in reduced operations at our headquarters, slowdowns and delays, travel restrictions and cancellation of events and restrictions on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the ability of hospitals and surgical centers to staff and conduct procedures;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and delays in clinical trials and studies, especially if study subjects are reluctant to present themselves at medical facilities.</w:t>
      </w:r>
    </w:p>
    <w:p>
      <w:pPr>
        <w:spacing w:after="0" w:line="167"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may be difficult to assess or predict, it may result in significant disruption of global financial markets, reducing our ability to access capital, which could in the future negatively affect our liquidity. To the extent a pandemic adversely affects our business and financial results, it may also have the effect of heightening many of the other risks described in this “Risk Factors” section.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27"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149"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Our success depends in part on obtaining, maintaining, and enforcing patents and other intellectual property rights and not infringing the patents or violating the other proprietary rights of others. Intellectual property disputes can be costly to defend and may cause our business, operating results, and financial condition 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7"/>
          <w:szCs w:val="17"/>
          <w:color w:val="auto"/>
        </w:rPr>
        <w:t>suffer. Significant litigation regarding patent rights occurs in the medical device industry. Whether merited or not, it is possible that third parties controlling U.S. and foreign patents allege such patents cover our products, or we may decide to initiate infringement claims or litigation to protect our patents or other intellectual property rights.</w:t>
      </w:r>
    </w:p>
    <w:p>
      <w:pPr>
        <w:spacing w:after="0" w:line="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Moreover, if we initiate an infringement proceeding, a court may decide that the patent we seek to enforce is invalid or unenforceable or that the patent in question does not cover the technology at issue.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171"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5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55" w:lineRule="exact"/>
        <w:rPr>
          <w:sz w:val="20"/>
          <w:szCs w:val="20"/>
          <w:color w:val="auto"/>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stop selling, making, using, or exporting products that use the disputed intellectual property;</w:t>
      </w:r>
    </w:p>
    <w:p>
      <w:pPr>
        <w:spacing w:after="0" w:line="103" w:lineRule="exact"/>
        <w:rPr>
          <w:rFonts w:ascii="Arial" w:cs="Arial" w:eastAsia="Arial" w:hAnsi="Arial"/>
          <w:sz w:val="18"/>
          <w:szCs w:val="18"/>
          <w:color w:val="231F20"/>
        </w:rPr>
      </w:pPr>
    </w:p>
    <w:p>
      <w:pPr>
        <w:ind w:left="540" w:right="619" w:hanging="139"/>
        <w:spacing w:after="0" w:line="253"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60"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231F20"/>
        </w:rPr>
      </w:pPr>
    </w:p>
    <w:p>
      <w:pPr>
        <w:ind w:left="540" w:right="31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pay substantial damages or royalties to the party whose intellectual property rights we may be found to be infringing, potentially including treble damages if the court finds that the infringement was willful;</w:t>
      </w:r>
    </w:p>
    <w:p>
      <w:pPr>
        <w:spacing w:after="0" w:line="4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if a license is available from a third party, we may have to pay substantial royalties, upfront fees or grant cross-licenses to intellectual property rights for our products and services;</w:t>
      </w:r>
    </w:p>
    <w:p>
      <w:pPr>
        <w:spacing w:after="0" w:line="45" w:lineRule="exact"/>
        <w:rPr>
          <w:rFonts w:ascii="Arial" w:cs="Arial" w:eastAsia="Arial" w:hAnsi="Arial"/>
          <w:sz w:val="18"/>
          <w:szCs w:val="18"/>
          <w:color w:val="231F20"/>
        </w:rPr>
      </w:pPr>
    </w:p>
    <w:p>
      <w:pPr>
        <w:ind w:left="540" w:right="53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pay the attorney fees and costs of litigation to the party whose intellectual property rights we may be found to be infringing;</w:t>
      </w:r>
    </w:p>
    <w:p>
      <w:pPr>
        <w:spacing w:after="0" w:line="45"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find non-infringing substitute products, which could be costly and create significant delay due to the need for FDA regulatory clearance;</w:t>
      </w:r>
    </w:p>
    <w:p>
      <w:pPr>
        <w:spacing w:after="0" w:line="45" w:lineRule="exact"/>
        <w:rPr>
          <w:rFonts w:ascii="Arial" w:cs="Arial" w:eastAsia="Arial" w:hAnsi="Arial"/>
          <w:sz w:val="18"/>
          <w:szCs w:val="18"/>
          <w:color w:val="231F20"/>
        </w:rPr>
      </w:pPr>
    </w:p>
    <w:p>
      <w:pPr>
        <w:ind w:left="540" w:right="19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find alternative supplies for infringing products or processes, which could be costly and create significant delay due to the need for FDA regulatory clearance; or</w:t>
      </w:r>
    </w:p>
    <w:p>
      <w:pPr>
        <w:spacing w:after="0" w:line="45" w:lineRule="exact"/>
        <w:rPr>
          <w:rFonts w:ascii="Arial" w:cs="Arial" w:eastAsia="Arial" w:hAnsi="Arial"/>
          <w:sz w:val="18"/>
          <w:szCs w:val="18"/>
          <w:color w:val="231F20"/>
        </w:rPr>
      </w:pPr>
    </w:p>
    <w:p>
      <w:pPr>
        <w:ind w:left="540" w:right="399" w:hanging="139"/>
        <w:spacing w:after="0" w:line="27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redesign those products or processes that infringe any third-party intellectual property, which could be costly, disruptive, or infeasible.</w:t>
      </w:r>
    </w:p>
    <w:p>
      <w:pPr>
        <w:spacing w:after="0" w:line="4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If a court determines that we failed to secure necessary patents, competitors may be able to market competing products and make, use or sell products that are substantially the same as ours without incurring the sizeable development costs that we have incurred, which would adversely affect our ability to compete. Even if resolved in our favor, litigation or other legal proceedings relating to intellectual property claims may cause us to incur significant expenses and could distract our technical and management personnel from their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15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Finally, any uncertainties resulting from the initiation and continuation of any litigation could have a material adverse effect on our ability to raise the funds necessary to continue our operations.</w:t>
      </w:r>
    </w:p>
    <w:p>
      <w:pPr>
        <w:spacing w:after="0" w:line="14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disputes increases.</w:t>
      </w:r>
    </w:p>
    <w:p>
      <w:pPr>
        <w:spacing w:after="0" w:line="165"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7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Similarly, interference or derivation proceedings provoked by third parties or brought by the United States Patent and Trademark Office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55" w:lineRule="exact"/>
        <w:rPr>
          <w:sz w:val="20"/>
          <w:szCs w:val="20"/>
          <w:color w:val="auto"/>
        </w:rPr>
      </w:pPr>
    </w:p>
    <w:p>
      <w:pPr>
        <w:ind w:left="60" w:right="379"/>
        <w:spacing w:after="0" w:line="310"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in particular, the first-to-file provisions, became effective on March 16, 2013.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639"/>
        <w:spacing w:after="0" w:line="301"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w:t>
      </w:r>
    </w:p>
    <w:p>
      <w:pPr>
        <w:spacing w:after="0" w:line="11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49" w:lineRule="exact"/>
        <w:rPr>
          <w:sz w:val="20"/>
          <w:szCs w:val="20"/>
          <w:color w:val="auto"/>
        </w:rPr>
      </w:pPr>
    </w:p>
    <w:p>
      <w:pPr>
        <w:ind w:left="60" w:right="119"/>
        <w:spacing w:after="0" w:line="320"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3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42"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139" w:lineRule="exact"/>
        <w:rPr>
          <w:sz w:val="20"/>
          <w:szCs w:val="20"/>
          <w:color w:val="auto"/>
        </w:rPr>
      </w:pPr>
    </w:p>
    <w:p>
      <w:pPr>
        <w:ind w:left="60" w:right="319"/>
        <w:spacing w:after="0" w:line="266"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about former employers or competitors. Although we have procedures in place that seek to prevent our employees and consultants from using the intellectual property, proprietary information, know-how or trade secrets of others in their work for us, we may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 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161" w:lineRule="exact"/>
        <w:rPr>
          <w:sz w:val="20"/>
          <w:szCs w:val="20"/>
          <w:color w:val="auto"/>
        </w:rPr>
      </w:pPr>
    </w:p>
    <w:p>
      <w:pPr>
        <w:ind w:left="60" w:right="119"/>
        <w:spacing w:after="0" w:line="310"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45" w:lineRule="exact"/>
        <w:rPr>
          <w:sz w:val="20"/>
          <w:szCs w:val="20"/>
          <w:color w:val="auto"/>
        </w:rPr>
      </w:pPr>
    </w:p>
    <w:p>
      <w:pPr>
        <w:ind w:left="60" w:right="779"/>
        <w:spacing w:after="0" w:line="310"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38"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9"/>
        <w:spacing w:after="0" w:line="301" w:lineRule="auto"/>
        <w:rPr>
          <w:sz w:val="20"/>
          <w:szCs w:val="20"/>
          <w:color w:val="auto"/>
        </w:rPr>
      </w:pPr>
      <w:r>
        <w:rPr>
          <w:rFonts w:ascii="Arial" w:cs="Arial" w:eastAsia="Arial" w:hAnsi="Arial"/>
          <w:sz w:val="17"/>
          <w:szCs w:val="17"/>
          <w:color w:val="auto"/>
        </w:rPr>
        <w:t>be adversely affected. If our intellectual property is not adequately protected to protect our market against competitors’ products and methods, our competitive position and business could be adversely affected.</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227" w:lineRule="exact"/>
        <w:rPr>
          <w:sz w:val="20"/>
          <w:szCs w:val="20"/>
          <w:color w:val="auto"/>
        </w:rPr>
      </w:pPr>
    </w:p>
    <w:p>
      <w:pPr>
        <w:ind w:left="60" w:right="359"/>
        <w:spacing w:after="0" w:line="325"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11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operations have consumed substantial amounts of cash since inception, and we anticipate our expenses will increase as we continue to build our commercial sales force in the U.S., investigate the potential use of Barostim for the treatment of other HF conditions, continue to grow our business and operate as a public company. We believe that our growth will depend, in part, on our ability to fund our commercialization and research and development efforts. We believe that our existing cash, cash equivalents, short-term investments and revenue will be sufficient to meet our capital requirements and fund our operations for at least the next three years.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fiscal years ended December 31, 2024 and 2023, net cash used in operating activities was $ 39.1 million and $39.0 million, respectively. Our cash requirements in the future may be significantly different from our current estimates and depend on many factors, including, among others:</w:t>
      </w:r>
    </w:p>
    <w:p>
      <w:pPr>
        <w:spacing w:after="0" w:line="176" w:lineRule="exact"/>
        <w:rPr>
          <w:sz w:val="20"/>
          <w:szCs w:val="20"/>
          <w:color w:val="auto"/>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scope and timing of our continued investment in our U.S. commercial infrastructure and sales force;</w:t>
      </w:r>
    </w:p>
    <w:p>
      <w:pPr>
        <w:spacing w:after="0" w:line="103" w:lineRule="exact"/>
        <w:rPr>
          <w:rFonts w:ascii="Arial" w:cs="Arial" w:eastAsia="Arial" w:hAnsi="Arial"/>
          <w:sz w:val="18"/>
          <w:szCs w:val="18"/>
          <w:color w:val="231F20"/>
        </w:rPr>
      </w:pPr>
    </w:p>
    <w:p>
      <w:pPr>
        <w:ind w:left="540" w:right="879" w:hanging="139"/>
        <w:spacing w:after="0" w:line="301" w:lineRule="auto"/>
        <w:tabs>
          <w:tab w:leader="none" w:pos="54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costs of commercialization activities, including product sales, marketing, manufacturing, and distribution and hiring additional members for our direct sales and marketing team in the U.S.;</w:t>
      </w:r>
    </w:p>
    <w:p>
      <w:pPr>
        <w:spacing w:after="0" w:line="22" w:lineRule="exact"/>
        <w:rPr>
          <w:rFonts w:ascii="Arial" w:cs="Arial" w:eastAsia="Arial" w:hAnsi="Arial"/>
          <w:sz w:val="17"/>
          <w:szCs w:val="17"/>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degree and rate of market acceptance of Barostim;</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research and development activities we intend to undertake in order to pursue product enhancements and expand HF indications;</w:t>
      </w:r>
    </w:p>
    <w:p>
      <w:pPr>
        <w:spacing w:after="0" w:line="45"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costs of filing, prosecuting, defending, and enforcing any patent claims and other intellectual property rights;</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our ability to hire additional personnel to support our operations;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emergence of competing technologies or other adverse market developments.</w:t>
      </w:r>
    </w:p>
    <w:p>
      <w:pPr>
        <w:spacing w:after="0" w:line="104"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For example, our Loan and Security Agreement (the “Loan Agreement”) with Innovatus Life Sciences Fund I, LP (“Innovatus”) restricts us from paying dividends or making other distributions or payments on our capital stock, subject to limited exceptions.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may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59"/>
        <w:spacing w:after="0" w:line="325"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11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Our revenue and results of operations may fluctuate annually or from quarter to quarter due to, among others, the following reasons:</w:t>
      </w:r>
    </w:p>
    <w:p>
      <w:pPr>
        <w:spacing w:after="0" w:line="140" w:lineRule="exact"/>
        <w:rPr>
          <w:sz w:val="20"/>
          <w:szCs w:val="20"/>
          <w:color w:val="auto"/>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physician and payer acceptance of Barostim and Barostim Therapy;</w:t>
      </w:r>
    </w:p>
    <w:p>
      <w:pPr>
        <w:spacing w:after="0" w:line="103" w:lineRule="exact"/>
        <w:rPr>
          <w:rFonts w:ascii="Arial" w:cs="Arial" w:eastAsia="Arial" w:hAnsi="Arial"/>
          <w:sz w:val="18"/>
          <w:szCs w:val="18"/>
          <w:color w:val="231F20"/>
        </w:rPr>
      </w:pPr>
    </w:p>
    <w:p>
      <w:pPr>
        <w:ind w:left="540" w:right="55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timing, expense and results of research and development activities, clinical trials, and regulatory approvals;</w:t>
      </w:r>
    </w:p>
    <w:p>
      <w:pPr>
        <w:spacing w:after="0" w:line="45"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fluctuations in our expenses associated with expanding our commercial operations and operating as a public company;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changes in coverage amounts or government and third-party payers’ reimbursement policies.</w:t>
      </w:r>
    </w:p>
    <w:p>
      <w:pPr>
        <w:spacing w:after="0" w:line="10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Because of these and other factors, it is possible that our operating results will not meet investor expectations or those of public market analysts.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44" w:lineRule="exact"/>
        <w:rPr>
          <w:sz w:val="20"/>
          <w:szCs w:val="20"/>
          <w:color w:val="auto"/>
        </w:rPr>
      </w:pPr>
    </w:p>
    <w:p>
      <w:pPr>
        <w:ind w:left="60" w:right="219"/>
        <w:spacing w:after="0" w:line="310"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38"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Our product consists of a substantial number of individual components. In order to market and sell Barostim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40"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3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have seen seasonally lower rates of implants in our first fiscal quarter in recent years, which we believe is primarily due to U.S. patients shifting medical treatments to the later months of the year when they have better information about spending against the annual deductibility limits under their health insurance coverage, and we expect this trend to continue. Otherwise, mild seasonal variations are difficult to predict accurately and may vary among different markets.</w:t>
      </w:r>
    </w:p>
    <w:p>
      <w:pPr>
        <w:spacing w:after="0" w:line="138" w:lineRule="exact"/>
        <w:rPr>
          <w:sz w:val="20"/>
          <w:szCs w:val="20"/>
          <w:color w:val="auto"/>
        </w:rPr>
      </w:pPr>
    </w:p>
    <w:p>
      <w:pPr>
        <w:ind w:left="60" w:right="859"/>
        <w:spacing w:after="0" w:line="310"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3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 portion of our current business is located outside the U.S. and, as a result, we generate revenue and incur expenses denominated in currencies other than the U.S. dollar, a majority of which is denominated in Euros. As a result, changes in the exchange rates between such foreign currencies, particularly the Euro and the U.S. dollar, could materially impact our reported results of operations and distort period to period</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55"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3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generated and expect to continue to generate significant federal and state net operating loss (“NOLs”) and tax credit carryforwards. As of December 31, 2024, we had federal and state NOL carryforwards of approximately $429.7 million and $8.1 million, respectively. The federal NOLs began expiring in 2021 and state NOLs began expiring in 2020. As of December 31, 2024, we had federal and state tax credit carryforwards of approximately $10.2 million and $1.7 million, respectively. The federal and state tax credit carryforwards began expiring in 2021 and begin expiring in 2028, respectively. These NOL and tax credit carryforwards could expire unused and be unavailable to offset future income tax liabilities. Under the legislation enacted on December 22, 2017 commonly referred to as the “Tax Cuts and Jobs Act,” as modified by the Coronavirus Aid, Relief, and Economic Security Act, federal NOLs incurred in taxable years beginning after December 31, 2017 may be carried forward indefinitely, but the deductibility of such federal NOLs incurred in taxable years beginning after December 31, 2020 is limited.</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under Sections 382 and 383 of the U.S. Internal Revenue Code of 1986, as amended (the “Code”), a corporation that undergoes an “ownership change” is subject to limitations on its ability to utilize its pre-change NOLs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initial public offering (the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41" w:lineRule="exact"/>
        <w:rPr>
          <w:sz w:val="20"/>
          <w:szCs w:val="20"/>
          <w:color w:val="auto"/>
        </w:rPr>
      </w:pPr>
    </w:p>
    <w:p>
      <w:pPr>
        <w:ind w:left="60" w:right="439"/>
        <w:spacing w:after="0" w:line="325"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pacing w:after="0" w:line="16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thereto or other taxes, as applicable, in excess of any reserves established therefor, which may have a significant impact on our results, operations and future cash flow.</w:t>
      </w:r>
    </w:p>
    <w:p>
      <w:pPr>
        <w:spacing w:after="0" w:line="129" w:lineRule="exact"/>
        <w:rPr>
          <w:sz w:val="20"/>
          <w:szCs w:val="20"/>
          <w:color w:val="auto"/>
        </w:rPr>
      </w:pPr>
    </w:p>
    <w:p>
      <w:pPr>
        <w:ind w:left="60" w:right="539"/>
        <w:spacing w:after="0" w:line="310"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3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7" w:lineRule="exact"/>
        <w:rPr>
          <w:sz w:val="20"/>
          <w:szCs w:val="20"/>
          <w:color w:val="auto"/>
        </w:rPr>
      </w:pPr>
    </w:p>
    <w:p>
      <w:pPr>
        <w:ind w:left="60" w:right="479"/>
        <w:spacing w:after="0" w:line="310" w:lineRule="auto"/>
        <w:rPr>
          <w:sz w:val="20"/>
          <w:szCs w:val="20"/>
          <w:color w:val="auto"/>
        </w:rPr>
      </w:pPr>
      <w:r>
        <w:rPr>
          <w:rFonts w:ascii="Arial" w:cs="Arial" w:eastAsia="Arial" w:hAnsi="Arial"/>
          <w:sz w:val="18"/>
          <w:szCs w:val="18"/>
          <w:b w:val="1"/>
          <w:bCs w:val="1"/>
          <w:i w:val="1"/>
          <w:iCs w:val="1"/>
          <w:color w:val="231F20"/>
        </w:rPr>
        <w:t>Barostim is subject to extensive governmental regulation, and our failure to comply with applicable requirements could cause our business to suffer.</w:t>
      </w:r>
    </w:p>
    <w:p>
      <w:pPr>
        <w:spacing w:after="0" w:line="13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60" w:lineRule="exact"/>
        <w:rPr>
          <w:sz w:val="20"/>
          <w:szCs w:val="20"/>
          <w:color w:val="auto"/>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recalls and other field safety corrective actions;</w:t>
      </w:r>
    </w:p>
    <w:p>
      <w:pPr>
        <w:spacing w:after="0" w:line="103"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product import and export.</w:t>
      </w:r>
    </w:p>
    <w:p>
      <w:pPr>
        <w:spacing w:after="0" w:line="10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manufacturing facilities are possible. If any of these risks materialize, our business would be adversely affected.</w:t>
      </w:r>
    </w:p>
    <w:p>
      <w:pPr>
        <w:spacing w:after="0" w:line="198" w:lineRule="exact"/>
        <w:rPr>
          <w:sz w:val="20"/>
          <w:szCs w:val="20"/>
          <w:color w:val="auto"/>
        </w:rPr>
      </w:pPr>
    </w:p>
    <w:p>
      <w:pPr>
        <w:ind w:left="60" w:right="179"/>
        <w:spacing w:after="0" w:line="310"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3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80"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38"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order to continue to sell Barostim in Europe, we must comply with the MDR and its evolving transition requirements. We have submitted our application for Barostim to comply with the general safety and performance requirements of the EU MDR (which are similar to the Essential Requirements of the AIMDD), and it is currently under review. Additionally, the EU approved an amendment to the MDR that allows qualifying AIMDD CE certificates to be accepted through December of 2027. We have already met the qualifications identified within this amendment to allow continued distribution of Barostim through this time.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spacing w:after="0" w:line="141" w:lineRule="exact"/>
        <w:rPr>
          <w:sz w:val="20"/>
          <w:szCs w:val="20"/>
          <w:color w:val="auto"/>
        </w:rPr>
      </w:pPr>
    </w:p>
    <w:p>
      <w:pPr>
        <w:ind w:left="60" w:right="339"/>
        <w:spacing w:after="0" w:line="310"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market Barostim in the U.S. and introduce new or improved products.</w:t>
      </w:r>
    </w:p>
    <w:p>
      <w:pPr>
        <w:spacing w:after="0" w:line="138"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Our products must comply with regulatory requirements imposed by the FDA in the U.S. and similar agencies in foreign jurisdictions. These requirements involve lengthy and detailed laboratory and clinical testing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65" w:lineRule="exact"/>
        <w:rPr>
          <w:sz w:val="20"/>
          <w:szCs w:val="20"/>
          <w:color w:val="auto"/>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the FDCA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California Department of Health Services requirements.</w:t>
      </w:r>
    </w:p>
    <w:p>
      <w:pPr>
        <w:spacing w:after="0" w:line="10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 The extended times EU notified bodies are taking to review and approve both the original MDR application and significant changes once approved, may limit or cause delays in our ability to make necessary or desired changes to the design, manufacturing processes, materials, or quality management system.</w:t>
      </w:r>
    </w:p>
    <w:p>
      <w:pPr>
        <w:spacing w:after="0" w:line="16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55" w:lineRule="exact"/>
        <w:rPr>
          <w:sz w:val="20"/>
          <w:szCs w:val="20"/>
          <w:color w:val="auto"/>
        </w:rPr>
      </w:pPr>
    </w:p>
    <w:p>
      <w:pPr>
        <w:ind w:left="60" w:right="439"/>
        <w:spacing w:after="0" w:line="285"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16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Barostim has been indicated for the improvement of symptoms of HFrEF by the FDA and the treatment of HFrEF in the EEA. We may only promote or market Barostim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7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 use, which could result in significant penalties, including, but not limited to, criminal, civil and/or administrative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15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Further, the advertising and promotion of our products is subject to EEA member state laws implementing the MDD,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60"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The discovery of serious safety issues with Barostim, or a recall of Barostim either voluntarily or at the direction of the FDA or another governmental authority, could harm our reputation, business, and financial results.</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could divert managerial and financial resources and could have an adverse effect on our financial condition, harm our reputation and reduce our ability to achieve expected revenue.</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QSR,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 injunctions, or the imposition of civil or criminal penalties, which would adversely affect our business results and prospects.</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actions, including FDA warning letters, product seizure, injunctions, administrative penalties or civil or criminal fines.</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ourselves in a lawsuit, will require the dedication of our time and capital, distract management from operating our business and may harm our reputation and financial results.</w:t>
      </w:r>
    </w:p>
    <w:p>
      <w:pPr>
        <w:spacing w:after="0" w:line="129"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MDD,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145"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transparency and privacy and security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16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are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179" w:lineRule="exact"/>
        <w:rPr>
          <w:sz w:val="20"/>
          <w:szCs w:val="20"/>
          <w:color w:val="auto"/>
        </w:rPr>
      </w:pPr>
    </w:p>
    <w:p>
      <w:pPr>
        <w:ind w:left="380" w:right="139" w:hanging="127"/>
        <w:spacing w:after="0" w:line="279" w:lineRule="auto"/>
        <w:tabs>
          <w:tab w:leader="none" w:pos="38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81" w:lineRule="exact"/>
        <w:rPr>
          <w:rFonts w:ascii="Arial" w:cs="Arial" w:eastAsia="Arial" w:hAnsi="Arial"/>
          <w:sz w:val="18"/>
          <w:szCs w:val="18"/>
          <w:color w:val="231F20"/>
        </w:rPr>
      </w:pPr>
    </w:p>
    <w:p>
      <w:pPr>
        <w:ind w:left="380" w:right="119" w:hanging="127"/>
        <w:spacing w:after="0" w:line="279" w:lineRule="auto"/>
        <w:tabs>
          <w:tab w:leader="none" w:pos="38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81" w:lineRule="exact"/>
        <w:rPr>
          <w:rFonts w:ascii="Arial" w:cs="Arial" w:eastAsia="Arial" w:hAnsi="Arial"/>
          <w:sz w:val="18"/>
          <w:szCs w:val="18"/>
          <w:color w:val="231F20"/>
        </w:rPr>
      </w:pPr>
    </w:p>
    <w:p>
      <w:pPr>
        <w:ind w:left="380" w:right="299" w:hanging="127"/>
        <w:spacing w:after="0" w:line="335" w:lineRule="auto"/>
        <w:tabs>
          <w:tab w:leader="none" w:pos="380" w:val="left"/>
        </w:tabs>
        <w:numPr>
          <w:ilvl w:val="0"/>
          <w:numId w:val="42"/>
        </w:numPr>
        <w:rPr>
          <w:rFonts w:ascii="Arial" w:cs="Arial" w:eastAsia="Arial" w:hAnsi="Arial"/>
          <w:sz w:val="17"/>
          <w:szCs w:val="17"/>
          <w:color w:val="231F20"/>
        </w:rPr>
      </w:pPr>
      <w:r>
        <w:rPr>
          <w:rFonts w:ascii="Arial" w:cs="Arial" w:eastAsia="Arial" w:hAnsi="Arial"/>
          <w:sz w:val="17"/>
          <w:szCs w:val="17"/>
          <w:color w:val="auto"/>
        </w:rPr>
        <w:t>the federal Civil Monetary Penalties Law, which prohibits, among other things, offering or transferring remuneration to a federal healthcare beneficiary that a person knows or should know is likely to influence</w:t>
      </w:r>
    </w:p>
    <w:p>
      <w:pPr>
        <w:sectPr>
          <w:pgSz w:w="11900" w:h="16838" w:orient="portrait"/>
          <w:cols w:equalWidth="0" w:num="1">
            <w:col w:w="9019"/>
          </w:cols>
          <w:pgMar w:left="1440" w:top="513"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right="519"/>
        <w:spacing w:after="0" w:line="318" w:lineRule="auto"/>
        <w:rPr>
          <w:sz w:val="20"/>
          <w:szCs w:val="20"/>
          <w:color w:val="auto"/>
        </w:rPr>
      </w:pPr>
      <w:r>
        <w:rPr>
          <w:rFonts w:ascii="Arial" w:cs="Arial" w:eastAsia="Arial" w:hAnsi="Arial"/>
          <w:sz w:val="18"/>
          <w:szCs w:val="18"/>
          <w:color w:val="auto"/>
        </w:rPr>
        <w:t>the beneficiary’s decision to order or receive items or services reimbursable by the government from a particular provider or supplier;</w:t>
      </w:r>
    </w:p>
    <w:p>
      <w:pPr>
        <w:spacing w:after="0" w:line="32" w:lineRule="exact"/>
        <w:rPr>
          <w:sz w:val="20"/>
          <w:szCs w:val="20"/>
          <w:color w:val="auto"/>
        </w:rPr>
      </w:pPr>
    </w:p>
    <w:p>
      <w:pPr>
        <w:ind w:left="380" w:right="299" w:hanging="127"/>
        <w:spacing w:after="0" w:line="288"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federal HIPAA, which created federal criminal laws that prohibit executing a scheme to defraud any healthcare benefit program or making false statements relating to healthcare matters. Similar to the Anti-Kickback Statute, a person or entity does not need to have actual knowledge of these statutes or specific intent to violate them;</w:t>
      </w:r>
    </w:p>
    <w:p>
      <w:pPr>
        <w:spacing w:after="0" w:line="59" w:lineRule="exact"/>
        <w:rPr>
          <w:rFonts w:ascii="Arial" w:cs="Arial" w:eastAsia="Arial" w:hAnsi="Arial"/>
          <w:sz w:val="18"/>
          <w:szCs w:val="18"/>
          <w:color w:val="231F20"/>
        </w:rPr>
      </w:pPr>
    </w:p>
    <w:p>
      <w:pPr>
        <w:ind w:left="380" w:right="199" w:hanging="127"/>
        <w:spacing w:after="0" w:line="282"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66" w:lineRule="exact"/>
        <w:rPr>
          <w:rFonts w:ascii="Arial" w:cs="Arial" w:eastAsia="Arial" w:hAnsi="Arial"/>
          <w:sz w:val="18"/>
          <w:szCs w:val="18"/>
          <w:color w:val="231F20"/>
        </w:rPr>
      </w:pPr>
    </w:p>
    <w:p>
      <w:pPr>
        <w:ind w:left="380" w:right="99" w:hanging="127"/>
        <w:spacing w:after="0" w:line="324" w:lineRule="auto"/>
        <w:tabs>
          <w:tab w:leader="none" w:pos="380" w:val="left"/>
        </w:tabs>
        <w:numPr>
          <w:ilvl w:val="0"/>
          <w:numId w:val="43"/>
        </w:numPr>
        <w:rPr>
          <w:rFonts w:ascii="Arial" w:cs="Arial" w:eastAsia="Arial" w:hAnsi="Arial"/>
          <w:sz w:val="17"/>
          <w:szCs w:val="17"/>
          <w:color w:val="231F20"/>
        </w:rPr>
      </w:pPr>
      <w:r>
        <w:rPr>
          <w:rFonts w:ascii="Arial" w:cs="Arial" w:eastAsia="Arial" w:hAnsi="Arial"/>
          <w:sz w:val="17"/>
          <w:szCs w:val="17"/>
          <w:color w:val="auto"/>
        </w:rPr>
        <w:t>the federal physician payments sunshine requirements under the Affordable Care Act, which require certain manufacturers of drugs, devices, biologics, and medical supplies to report annually to HHS information related to payments and other transfers of value to certain healthcare providers and teaching hospitals;</w:t>
      </w:r>
    </w:p>
    <w:p>
      <w:pPr>
        <w:spacing w:after="0" w:line="31" w:lineRule="exact"/>
        <w:rPr>
          <w:rFonts w:ascii="Arial" w:cs="Arial" w:eastAsia="Arial" w:hAnsi="Arial"/>
          <w:sz w:val="17"/>
          <w:szCs w:val="17"/>
          <w:color w:val="231F20"/>
        </w:rPr>
      </w:pPr>
    </w:p>
    <w:p>
      <w:pPr>
        <w:ind w:left="380" w:right="139" w:hanging="127"/>
        <w:spacing w:after="0" w:line="280" w:lineRule="auto"/>
        <w:tabs>
          <w:tab w:leader="none" w:pos="38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state and foreign law analogs of each of the above federal laws, such as state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personal and health information in certain circumstances, many of which differ from each other in significant ways and often are not preempted by HIPAA.</w:t>
      </w:r>
    </w:p>
    <w:p>
      <w:pPr>
        <w:spacing w:after="0" w:line="5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6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especially in light of the lack of applicable precedent and regulations. Federal and state enforcement bodies continue to increase their scrutiny of interactions between healthcare companies and healthcare providers. The Office of the Inspector General of HHS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37"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Affordable Care Act was enacted in the U.S., which made a number of substantial changes in the way healthcare is financed by both governmental and private insurers. Among other ways in which it may affect our business, the Affordable Care Act:</w:t>
      </w:r>
    </w:p>
    <w:p>
      <w:pPr>
        <w:spacing w:after="0" w:line="241" w:lineRule="exact"/>
        <w:rPr>
          <w:sz w:val="20"/>
          <w:szCs w:val="20"/>
          <w:color w:val="auto"/>
        </w:rPr>
      </w:pPr>
    </w:p>
    <w:p>
      <w:pPr>
        <w:ind w:left="180" w:right="839" w:hanging="130"/>
        <w:spacing w:after="0" w:line="271" w:lineRule="auto"/>
        <w:tabs>
          <w:tab w:leader="none" w:pos="18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53" w:lineRule="exact"/>
        <w:rPr>
          <w:rFonts w:ascii="Arial" w:cs="Arial" w:eastAsia="Arial" w:hAnsi="Arial"/>
          <w:sz w:val="18"/>
          <w:szCs w:val="18"/>
          <w:color w:val="231F20"/>
        </w:rPr>
      </w:pPr>
    </w:p>
    <w:p>
      <w:pPr>
        <w:ind w:left="180" w:right="219" w:hanging="130"/>
        <w:spacing w:after="0" w:line="253" w:lineRule="auto"/>
        <w:tabs>
          <w:tab w:leader="none" w:pos="18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68" w:lineRule="exact"/>
        <w:rPr>
          <w:rFonts w:ascii="Arial" w:cs="Arial" w:eastAsia="Arial" w:hAnsi="Arial"/>
          <w:sz w:val="18"/>
          <w:szCs w:val="18"/>
          <w:color w:val="231F20"/>
        </w:rPr>
      </w:pPr>
    </w:p>
    <w:p>
      <w:pPr>
        <w:ind w:left="180" w:hanging="130"/>
        <w:spacing w:after="0"/>
        <w:tabs>
          <w:tab w:leader="none" w:pos="18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expanded the eligibility criteria for Medicaid programs.</w:t>
      </w:r>
    </w:p>
    <w:p>
      <w:pPr>
        <w:spacing w:after="0" w:line="212"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The expansion in the government’s role in the U.S. healthcare industry may result in decreased profits to us, lower reimbursement by payers for Barostim and any future products and/or reduced medical procedure volumes, all of which may have a material adverse effect on our business, financial condition, and results of operations.</w:t>
      </w:r>
    </w:p>
    <w:p>
      <w:pPr>
        <w:spacing w:after="0" w:line="160"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w:t>
      </w:r>
    </w:p>
    <w:p>
      <w:pPr>
        <w:spacing w:after="0" w:line="11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Additionally, on April 5, 2017, the European Parliament passed the MDR, which repeals and replaces the MDD and the AIMDD. Unlike directives, which must be implemented into the national laws of the EEA member states, the regulations are directly applicable (i.e., without the need for adoption of the EEA member state laws implementing them), in all EEA member states and are intended to eliminate differences in the regulation of medical devices among the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MDR is set to become effective in January 2028 and, among other things is designed to:</w:t>
      </w:r>
    </w:p>
    <w:p>
      <w:pPr>
        <w:spacing w:after="0" w:line="198" w:lineRule="exact"/>
        <w:rPr>
          <w:sz w:val="20"/>
          <w:szCs w:val="20"/>
          <w:color w:val="auto"/>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strengthen the rules on placing devices on the market and reinforce surveillance once they are available;</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45" w:lineRule="exact"/>
        <w:rPr>
          <w:rFonts w:ascii="Arial" w:cs="Arial" w:eastAsia="Arial" w:hAnsi="Arial"/>
          <w:sz w:val="18"/>
          <w:szCs w:val="18"/>
          <w:color w:val="231F20"/>
        </w:rPr>
      </w:pPr>
    </w:p>
    <w:p>
      <w:pPr>
        <w:ind w:left="540" w:right="119" w:hanging="139"/>
        <w:spacing w:after="0" w:line="271"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45" w:lineRule="exact"/>
        <w:rPr>
          <w:rFonts w:ascii="Arial" w:cs="Arial" w:eastAsia="Arial" w:hAnsi="Arial"/>
          <w:sz w:val="18"/>
          <w:szCs w:val="18"/>
          <w:color w:val="231F20"/>
        </w:rPr>
      </w:pPr>
    </w:p>
    <w:p>
      <w:pPr>
        <w:ind w:left="540" w:right="79" w:hanging="139"/>
        <w:spacing w:after="0" w:line="271"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45" w:lineRule="exact"/>
        <w:rPr>
          <w:rFonts w:ascii="Arial" w:cs="Arial" w:eastAsia="Arial" w:hAnsi="Arial"/>
          <w:sz w:val="18"/>
          <w:szCs w:val="18"/>
          <w:color w:val="231F20"/>
        </w:rPr>
      </w:pPr>
    </w:p>
    <w:p>
      <w:pPr>
        <w:ind w:left="540" w:right="419" w:hanging="139"/>
        <w:spacing w:after="0" w:line="271"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46"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This regulation has not yet had a material effect on the way we conduct our business in the EEA. However, it is possible the regulation will change in the future, and we cannot be certain that future changes will not have an adverse effect on our business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27"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12"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169" w:lineRule="exact"/>
        <w:rPr>
          <w:sz w:val="20"/>
          <w:szCs w:val="20"/>
          <w:color w:val="auto"/>
        </w:rPr>
      </w:pPr>
    </w:p>
    <w:p>
      <w:pPr>
        <w:ind w:left="540" w:right="559" w:hanging="139"/>
        <w:spacing w:after="0" w:line="318" w:lineRule="auto"/>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and future U.S. clinical trials for Barostim;</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announcements of new products by us or our competitors;</w:t>
      </w:r>
    </w:p>
    <w:p>
      <w:pPr>
        <w:spacing w:after="0" w:line="130" w:lineRule="exact"/>
        <w:rPr>
          <w:rFonts w:ascii="Arial" w:cs="Arial" w:eastAsia="Arial" w:hAnsi="Arial"/>
          <w:sz w:val="18"/>
          <w:szCs w:val="18"/>
          <w:color w:val="231F20"/>
        </w:rPr>
      </w:pPr>
    </w:p>
    <w:p>
      <w:pPr>
        <w:ind w:left="540" w:right="519" w:hanging="139"/>
        <w:spacing w:after="0" w:line="318" w:lineRule="auto"/>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our operating results;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any adverse changes in our relationship with any manufacturers or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the success of our efforts to acquire or develop additional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medical device industry in general;</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manufacturing, supply or distribution shortages;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231F20"/>
        </w:rPr>
      </w:pPr>
    </w:p>
    <w:p>
      <w:pPr>
        <w:ind w:left="540" w:right="479" w:hanging="139"/>
        <w:spacing w:after="0" w:line="318" w:lineRule="auto"/>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U.S. equity markets; and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results of operations and financial position. Any adverse determination in litigation could also subject us to significant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12"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3"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47"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15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42"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13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To comply with the requirements of being a public company, we are undertaking and expect to continue to undertake various actions, including implementing and maintaining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17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3" w:lineRule="exact"/>
        <w:rPr>
          <w:sz w:val="20"/>
          <w:szCs w:val="20"/>
          <w:color w:val="auto"/>
        </w:rPr>
      </w:pPr>
    </w:p>
    <w:p>
      <w:pPr>
        <w:ind w:left="60" w:right="359"/>
        <w:spacing w:after="0" w:line="295" w:lineRule="auto"/>
        <w:rPr>
          <w:sz w:val="20"/>
          <w:szCs w:val="20"/>
          <w:color w:val="auto"/>
        </w:rPr>
      </w:pPr>
      <w:r>
        <w:rPr>
          <w:rFonts w:ascii="Arial" w:cs="Arial" w:eastAsia="Arial" w:hAnsi="Arial"/>
          <w:sz w:val="18"/>
          <w:szCs w:val="18"/>
          <w:b w:val="1"/>
          <w:bCs w:val="1"/>
          <w:i w:val="1"/>
          <w:iCs w:val="1"/>
          <w:color w:val="231F20"/>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13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of December 31, 2024, our executive officers, directors, holders of 5% or more of our capital stock and their respective affiliates beneficially owned approximately 43% of our outstanding voting stock. One of our non-employee directors is also affiliated with one of our principal stockholders. Therefore, if they act together, these stockholders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42" w:lineRule="exact"/>
        <w:rPr>
          <w:sz w:val="20"/>
          <w:szCs w:val="20"/>
          <w:color w:val="auto"/>
        </w:rPr>
      </w:pPr>
    </w:p>
    <w:p>
      <w:pPr>
        <w:ind w:left="60" w:right="219"/>
        <w:spacing w:after="0" w:line="291"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8" w:lineRule="exact"/>
        <w:rPr>
          <w:sz w:val="20"/>
          <w:szCs w:val="20"/>
          <w:color w:val="auto"/>
        </w:rPr>
      </w:pPr>
    </w:p>
    <w:p>
      <w:pPr>
        <w:ind w:left="60" w:right="859"/>
        <w:spacing w:after="0" w:line="342"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180" w:lineRule="exact"/>
        <w:rPr>
          <w:sz w:val="20"/>
          <w:szCs w:val="20"/>
          <w:color w:val="auto"/>
        </w:rPr>
      </w:pPr>
    </w:p>
    <w:p>
      <w:pPr>
        <w:jc w:val="both"/>
        <w:ind w:left="540" w:right="759" w:hanging="139"/>
        <w:spacing w:after="0" w:line="292"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54" w:lineRule="exact"/>
        <w:rPr>
          <w:rFonts w:ascii="Arial" w:cs="Arial" w:eastAsia="Arial" w:hAnsi="Arial"/>
          <w:sz w:val="18"/>
          <w:szCs w:val="18"/>
          <w:color w:val="231F20"/>
        </w:rPr>
      </w:pPr>
    </w:p>
    <w:p>
      <w:pPr>
        <w:ind w:left="540" w:right="239" w:hanging="139"/>
        <w:spacing w:after="0" w:line="292"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54" w:lineRule="exact"/>
        <w:rPr>
          <w:rFonts w:ascii="Arial" w:cs="Arial" w:eastAsia="Arial" w:hAnsi="Arial"/>
          <w:sz w:val="18"/>
          <w:szCs w:val="18"/>
          <w:color w:val="231F20"/>
        </w:rPr>
      </w:pPr>
    </w:p>
    <w:p>
      <w:pPr>
        <w:jc w:val="both"/>
        <w:ind w:left="540" w:right="359" w:hanging="139"/>
        <w:spacing w:after="0" w:line="335" w:lineRule="auto"/>
        <w:tabs>
          <w:tab w:leader="none" w:pos="540" w:val="left"/>
        </w:tabs>
        <w:numPr>
          <w:ilvl w:val="0"/>
          <w:numId w:val="47"/>
        </w:numPr>
        <w:rPr>
          <w:rFonts w:ascii="Arial" w:cs="Arial" w:eastAsia="Arial" w:hAnsi="Arial"/>
          <w:sz w:val="17"/>
          <w:szCs w:val="17"/>
          <w:color w:val="231F20"/>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34" w:lineRule="exact"/>
        <w:rPr>
          <w:rFonts w:ascii="Arial" w:cs="Arial" w:eastAsia="Arial" w:hAnsi="Arial"/>
          <w:sz w:val="17"/>
          <w:szCs w:val="17"/>
          <w:color w:val="231F20"/>
        </w:rPr>
      </w:pPr>
    </w:p>
    <w:p>
      <w:pPr>
        <w:ind w:left="540" w:right="99" w:hanging="139"/>
        <w:spacing w:after="0" w:line="292"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54" w:lineRule="exact"/>
        <w:rPr>
          <w:rFonts w:ascii="Arial" w:cs="Arial" w:eastAsia="Arial" w:hAnsi="Arial"/>
          <w:sz w:val="18"/>
          <w:szCs w:val="18"/>
          <w:color w:val="231F20"/>
        </w:rPr>
      </w:pPr>
    </w:p>
    <w:p>
      <w:pPr>
        <w:ind w:left="540" w:right="179" w:hanging="139"/>
        <w:spacing w:after="0" w:line="283"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which may discourage or deter a potential acquiror from conducting a solicitation of proxies to elect the</w:t>
      </w:r>
    </w:p>
    <w:p>
      <w:pPr>
        <w:sectPr>
          <w:pgSz w:w="11900" w:h="16838" w:orient="portrait"/>
          <w:cols w:equalWidth="0" w:num="1">
            <w:col w:w="9019"/>
          </w:cols>
          <w:pgMar w:left="1440" w:top="513"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acquiror’s own slate of directors or otherwise attempting to obtain control of our company;</w:t>
      </w:r>
    </w:p>
    <w:p>
      <w:pPr>
        <w:spacing w:after="0" w:line="131" w:lineRule="exact"/>
        <w:rPr>
          <w:sz w:val="20"/>
          <w:szCs w:val="20"/>
          <w:color w:val="auto"/>
        </w:rPr>
      </w:pPr>
    </w:p>
    <w:p>
      <w:pPr>
        <w:ind w:left="540" w:right="379" w:hanging="139"/>
        <w:spacing w:after="0" w:line="318" w:lineRule="auto"/>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prohibit cumulative voting in the election of directors, which limits the ability of minority stockholders to elect director candidates; and</w:t>
      </w:r>
    </w:p>
    <w:p>
      <w:pPr>
        <w:spacing w:after="0" w:line="31" w:lineRule="exact"/>
        <w:rPr>
          <w:rFonts w:ascii="Arial" w:cs="Arial" w:eastAsia="Arial" w:hAnsi="Arial"/>
          <w:sz w:val="18"/>
          <w:szCs w:val="18"/>
          <w:color w:val="231F20"/>
        </w:rPr>
      </w:pPr>
    </w:p>
    <w:p>
      <w:pPr>
        <w:ind w:left="540" w:right="259" w:hanging="139"/>
        <w:spacing w:after="0" w:line="288" w:lineRule="auto"/>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provide that special meetings of our stockholders may be called only by the Chairman of the board, the 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4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55" w:lineRule="exact"/>
        <w:rPr>
          <w:sz w:val="20"/>
          <w:szCs w:val="20"/>
          <w:color w:val="auto"/>
        </w:rPr>
      </w:pPr>
    </w:p>
    <w:p>
      <w:pPr>
        <w:ind w:left="60" w:right="339"/>
        <w:spacing w:after="0" w:line="342" w:lineRule="auto"/>
        <w:rPr>
          <w:sz w:val="20"/>
          <w:szCs w:val="20"/>
          <w:color w:val="auto"/>
        </w:rPr>
      </w:pPr>
      <w:r>
        <w:rPr>
          <w:rFonts w:ascii="Arial" w:cs="Arial" w:eastAsia="Arial" w:hAnsi="Arial"/>
          <w:sz w:val="17"/>
          <w:szCs w:val="17"/>
          <w:b w:val="1"/>
          <w:bCs w:val="1"/>
          <w:i w:val="1"/>
          <w:iCs w:val="1"/>
          <w:color w:val="231F20"/>
        </w:rPr>
        <w:t>We do not currently intend to pay dividends on our common stock, and, consequently, your ability to achieve a return on your investment will depend on appreciation in the price of our common stock.</w:t>
      </w:r>
    </w:p>
    <w:p>
      <w:pPr>
        <w:spacing w:after="0" w:line="11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1B. Unresolved Staff Comments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1C. Cybersecurity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rely on our information technology to operate our business and provide our Barostim Therapy to patients. We have policies and processes designed to protect our information technology systems, some of which are managed by third parties, and resolve issues in a timely manner in the event of a cybersecurity threat or incident.</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part of our broader risk management framework, we have identified the potential cybersecurity risks to our business. We have designed our business applications and hosting services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audits and communication and reporting structures, among other processes. We have an incident response plan in place that outlines containment, eradication, and recovery plans in the event of a cybersecurity threat or incident.</w:t>
      </w:r>
    </w:p>
    <w:p>
      <w:pPr>
        <w:spacing w:after="0" w:line="17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With respect to third parties that manage or use our information technology or data, we obtain reports to assess the security of their systems and processes. We engage in ongoing monitoring of all third-party providers to ensure compliance with our cybersecurity standards.</w:t>
      </w:r>
    </w:p>
    <w:p>
      <w:pPr>
        <w:spacing w:after="0" w:line="155" w:lineRule="exact"/>
        <w:rPr>
          <w:sz w:val="20"/>
          <w:szCs w:val="20"/>
          <w:color w:val="auto"/>
        </w:rPr>
      </w:pPr>
    </w:p>
    <w:p>
      <w:pPr>
        <w:ind w:left="60" w:right="299"/>
        <w:spacing w:after="0" w:line="469" w:lineRule="auto"/>
        <w:rPr>
          <w:sz w:val="20"/>
          <w:szCs w:val="20"/>
          <w:color w:val="auto"/>
        </w:rPr>
      </w:pPr>
      <w:r>
        <w:rPr>
          <w:rFonts w:ascii="Arial" w:cs="Arial" w:eastAsia="Arial" w:hAnsi="Arial"/>
          <w:sz w:val="18"/>
          <w:szCs w:val="18"/>
          <w:color w:val="auto"/>
        </w:rPr>
        <w:t xml:space="preserve">We have not encountered cybersecurity threats or incidents that have had a material impact on our business. </w:t>
      </w:r>
      <w:r>
        <w:rPr>
          <w:rFonts w:ascii="Arial" w:cs="Arial" w:eastAsia="Arial" w:hAnsi="Arial"/>
          <w:sz w:val="18"/>
          <w:szCs w:val="18"/>
          <w:b w:val="1"/>
          <w:bCs w:val="1"/>
          <w:color w:val="auto"/>
        </w:rPr>
        <w:t>Governance</w:t>
      </w:r>
    </w:p>
    <w:p>
      <w:pPr>
        <w:spacing w:after="0" w:line="1" w:lineRule="exact"/>
        <w:rPr>
          <w:sz w:val="20"/>
          <w:szCs w:val="20"/>
          <w:color w:val="auto"/>
        </w:rPr>
      </w:pPr>
    </w:p>
    <w:p>
      <w:pPr>
        <w:ind w:left="60" w:right="559"/>
        <w:spacing w:after="0" w:line="275" w:lineRule="auto"/>
        <w:rPr>
          <w:sz w:val="20"/>
          <w:szCs w:val="20"/>
          <w:color w:val="auto"/>
        </w:rPr>
      </w:pPr>
      <w:r>
        <w:rPr>
          <w:rFonts w:ascii="Arial" w:cs="Arial" w:eastAsia="Arial" w:hAnsi="Arial"/>
          <w:sz w:val="17"/>
          <w:szCs w:val="17"/>
          <w:color w:val="auto"/>
        </w:rPr>
        <w:t>Our Board of Directors assigned specific oversight responsibility for cybersecurity to our Audit Committee, which also oversees our general risk management. The Audit Committee reviews and discusses with management our policies, practices, and risks related to information security and cybersecurity.</w:t>
      </w:r>
    </w:p>
    <w:p>
      <w:pPr>
        <w:spacing w:after="0" w:line="138"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Our chief financial officer has primary responsibility for assessing, monitoring, and managing cybersecurity risks. Leaders of our information technology and device engineering, together with members of our finance team, comprise our Cybersecurity Committee, which meets to assess cybersecurity risks and identify new risks and assess our risk management framework on a quarterly basis. Among the members of this committee are employees who are knowledgeable about our products and systems, have prior experience managing cybersecurity risks, and maintain an active Certified Information Systems Security Professional certification.</w:t>
      </w:r>
    </w:p>
    <w:p>
      <w:pPr>
        <w:spacing w:after="0" w:line="16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Our chief financial officer provides an update to the Audit Committee on any risks related to cybersecurity on a quarterly basis. Our incident response plan includes notifying the Audit Committee, and then the Board of Directors, of any material threats or incidents that arise.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Properties</w:t>
      </w:r>
    </w:p>
    <w:p>
      <w:pPr>
        <w:spacing w:after="0" w:line="108"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and expires August 31, 2028. We intend to add new facilities as we grow and we believe that suitable additional or substitute space will be available as needed to accommodate any such expansion of our operations.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Legal Proceedings</w:t>
      </w:r>
    </w:p>
    <w:p>
      <w:pPr>
        <w:spacing w:after="0" w:line="108"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60" w:right="679"/>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on the Nasdaq Global Select Market under the symbol “CVRX.”</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9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of February 11, 2025, there were approximately 62 holders of record of our common stock. This number does not include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Our Loan Agreement with Innovatus restricts us from paying dividends or making other distributions or payments on our capital stock, subject to limited exceptions.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[Reserved]</w:t>
      </w:r>
    </w:p>
    <w:p>
      <w:pPr>
        <w:spacing w:after="0" w:line="301"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HFrEF and other cardiovascular diseases. Our second-generation product, Barostim, is the first and only commercially available neuromodulation device indicated to improve symptoms for patients with HFrEF. Barostim provides BAT by sending imperceptible and persistent electrical pulses to baroreceptors located in the wall of the carotid artery to signal the brain to modulate cardiovascular function. Barostim is currently indicated by the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8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Our sales and marketing efforts are directed at EPs,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CMS while simultaneously developing processes to engage commercial payers. All MACs have retired their official automatic coverage denial policies for our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EEA, such as Germany, where annual healthcare budgets for the hospital generally determine the number of patients to be treated and the prices to be paid for the related devices that may be purchased.</w:t>
      </w:r>
    </w:p>
    <w:p>
      <w:pPr>
        <w:spacing w:after="0" w:line="17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consolidated financial statements included elsewhere in this Annual Report on Form 10-K. We had $50.0 million in outstanding Term Loans under the Loan Agreement at December 31, 2024. As a result of these investments and our commercialization efforts, we expect to continue to incur net losses for the next several years, which may require additional funding and could include future equity and debt financing.</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On November 4, 2024, we announced that CMS assigned the Barostim procedure to New Technology APC 1580. The APC payment of approximately $45,000 will continue in 2025, as published in the 2025 OPPS final rule.</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30"/>
        <w:spacing w:after="0"/>
        <w:tabs>
          <w:tab w:leader="none" w:pos="38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R&amp;D expenses may fluctuate from period to period due to the timing and extent of our product development and clinical trial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21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year ended December 31, 2024, compared to the year ended December 31,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21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39,295</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11,997</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6,256</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2,078</w:t>
            </w:r>
          </w:p>
        </w:tc>
        <w:tc>
          <w:tcPr>
            <w:tcW w:w="16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42,958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33,039</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9,919</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11,633</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(502)</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91,317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64,509</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26,808</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102,448</w:t>
            </w:r>
          </w:p>
        </w:tc>
        <w:tc>
          <w:tcPr>
            <w:tcW w:w="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76,142</w:t>
            </w:r>
          </w:p>
        </w:tc>
        <w:tc>
          <w:tcPr>
            <w:tcW w:w="2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26,306</w:t>
            </w:r>
          </w:p>
        </w:tc>
        <w:tc>
          <w:tcPr>
            <w:tcW w:w="16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(59,490)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(43,103)</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(16,387)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(4,397)</w:t>
            </w:r>
          </w:p>
        </w:tc>
        <w:tc>
          <w:tcPr>
            <w:tcW w:w="140" w:type="dxa"/>
            <w:vAlign w:val="bottom"/>
          </w:tcPr>
          <w:p>
            <w:pPr>
              <w:spacing w:after="0"/>
              <w:rPr>
                <w:sz w:val="17"/>
                <w:szCs w:val="17"/>
                <w:color w:val="auto"/>
              </w:rPr>
            </w:pPr>
          </w:p>
        </w:tc>
        <w:tc>
          <w:tcPr>
            <w:tcW w:w="9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(1,799)</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(2,598)</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50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(59,910)</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(41,052)</w:t>
            </w:r>
          </w:p>
        </w:tc>
        <w:tc>
          <w:tcPr>
            <w:tcW w:w="26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(18,858)</w:t>
            </w:r>
          </w:p>
        </w:tc>
        <w:tc>
          <w:tcPr>
            <w:tcW w:w="160" w:type="dxa"/>
            <w:vAlign w:val="bottom"/>
          </w:tcPr>
          <w:p>
            <w:pPr>
              <w:spacing w:after="0"/>
              <w:rPr>
                <w:sz w:val="17"/>
                <w:szCs w:val="17"/>
                <w:color w:val="auto"/>
              </w:rPr>
            </w:pP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2"/>
        </w:trPr>
        <w:tc>
          <w:tcPr>
            <w:tcW w:w="50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(59,965)</w:t>
            </w:r>
          </w:p>
        </w:tc>
        <w:tc>
          <w:tcPr>
            <w:tcW w:w="2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(41,199)</w:t>
            </w:r>
          </w:p>
        </w:tc>
        <w:tc>
          <w:tcPr>
            <w:tcW w:w="2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(18,766)</w:t>
            </w:r>
          </w:p>
        </w:tc>
        <w:tc>
          <w:tcPr>
            <w:tcW w:w="160" w:type="dxa"/>
            <w:vAlign w:val="bottom"/>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513" w:right="1440" w:bottom="1440" w:gutter="0" w:footer="0" w:header="0"/>
        </w:sect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7"/>
          </w:tcPr>
          <w:p>
            <w:pPr>
              <w:ind w:left="100"/>
              <w:spacing w:after="0"/>
              <w:rPr>
                <w:sz w:val="20"/>
                <w:szCs w:val="20"/>
                <w:color w:val="auto"/>
              </w:rPr>
            </w:pPr>
            <w:r>
              <w:rPr>
                <w:rFonts w:ascii="Arial" w:cs="Arial" w:eastAsia="Arial" w:hAnsi="Arial"/>
                <w:sz w:val="14"/>
                <w:szCs w:val="14"/>
                <w:b w:val="1"/>
                <w:bCs w:val="1"/>
                <w:color w:val="auto"/>
              </w:rPr>
              <w:t>Revenue by Geography</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47,167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12,056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39,295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Revenue was $ 51.3 million for the year ended December 31, 2024, an increase of $12.0 million, or 31%, over the year ended December 31, 2023.</w:t>
      </w:r>
    </w:p>
    <w:p>
      <w:pPr>
        <w:spacing w:after="0" w:line="15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Revenue generated in the U.S. was $47.2 million for the year ended December 31, 2024, an increase of $12.1 million, or 34%, over the year ended December 31, 2023. HF revenue units in the U.S. totaled 1,506 and 1,123 for the years ended December 31, 2024 and 2023, respectively. HF revenue in the U.S. totaled $46.8 million and $34.6 million for the years ended December 31, 2024 and 2023, respectively. The increase was primarily driven by continued growth as a result of the expansion into new sales territories and new accounts, as well as increased physician and patient awareness of Barostim.</w:t>
      </w:r>
    </w:p>
    <w:p>
      <w:pPr>
        <w:spacing w:after="0" w:line="179"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As of December 31, 2024, we had a total of 223 active implanting centers in the U.S., as compared to 178 as of December 31, 2023. Active implanting centers are customers that have completed at least one commercial HF implant in the last 12 months. As of December 31, 2024, we had 48 sales territories in the U.S. as compared to 38 sales territories as of December 31, 2023.</w:t>
      </w:r>
    </w:p>
    <w:p>
      <w:pPr>
        <w:spacing w:after="0" w:line="17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Revenue generated in Europe was $4.1 million for the year ended December 31, 2024, a decrease of $0.1 million, or 1%, over the year ended December 31, 2023. Total revenue units in Europe decreased to 204 for the year ended December 31, 2024, from 207 for the prior year. As of December 31, 2024, we had five sales territories in Europe as compared to six sales territories as of December 31, 2023.</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Cost of goods sold increased $2.1 million, or 33%, to $ 8.3 million for the year ended December 31, 2024, compared to the year ended December 31, 2023. This increase was primarily due to higher sales of Barostim.</w:t>
      </w:r>
    </w:p>
    <w:p>
      <w:pPr>
        <w:spacing w:after="0" w:line="131"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Gross profit was $43.0 million for the year ended December 31, 2024, an increase of $9.9 million, or 30%, over the year ended December 31, 2023. Gross margin was 84% for both the years ended December 31, 2024 and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R&amp;D expenses decreased $0.5 million, or 4%, to $11.1 million for the year ended December 31, 2024, compared to the year ended December 31, 2023. This change was primarily driven by a $0.5 million decrease in consulting expenses, a $0.3 million decrease in compensation expenses, and a $0.2 million decrease in travel expenses, partially offset by a $0.5 million increase in clinical study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auto"/>
        </w:rPr>
        <w:t>SG&amp;A expenses increased $ 26.8 million, or 42%, to $91.3 million for the year ended December 31, 2024, compared to the year ended December 31, 2023. This change was driven by a $12.7 million increase in non-cash stock-based compensation expense, an $11.0 million increase in compensation expenses, mainly as a result of increased headcount, a $1.3 million increase in travel expenses, a $0.6 million increase in bad debt expenses, and a $0.5 million increase in consulting expenses. Approximately $8.4 million of the increase in non-cash stock-based compensation expense is related to the modification of stock options held by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former Chief Executive Officer in connection with his retirement in the first quarter of 2024 described in Note 7 to our consolidated financial statements included elsewhere in this Annual Report on Form 10-K.</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Interest expense increased $2.6 million to $4.4 million for the year ended December 31, 2024, compared to the year ended December 31, 2023. This increase was driven by the interest expense on higher levels of borrowings under the Loan Agreement entered into on October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Other income, net was $4.0 million for the year ended December 31, 2024, compared to $3.9 million for the year ended December 31, 2023. This increase was primarily driven by greater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the years ended December 31, 2024 and 2023.</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December 31, 2024 and 2023, we had cash and cash equivalents of $105.9 million and $90.6 million, respectively. For the years ended December 31, 2024 and 2023, our net losses were $60.0 million and $ 41.2 million, respectively. Our net cash used in operating activities for the years ended December 31, 2024 and 2023 was $39.1 million and $39.0 million, respectively.</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consolidated financial statements included elsewhere in this Annual Report on Form 10-K. We had $50.0 million in outstanding Term Loans under the Loan Agreement at December 31, 2024.</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(“ATM”) offering, to or through the agent. In January 2024, we commenced this ATM offering and issued 3,251,198 shares of common stock for gross proceeds of $33.8 million under the ATM offering during the year ended December 31, 2024. We have remaining capacity to issue and sell up to $16.2 million of additional shares of common stock under this ATM offering.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319" w:hanging="330"/>
        <w:spacing w:after="0" w:line="270" w:lineRule="auto"/>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(39,144)</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(39,021)</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55,870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23,984</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15,364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Net cash used in operating activities for the year ended December 31, 2024 was $39.1 million and consisted primarily of a net loss of $60.0 million, partially offset by $19.1 million from non-cash stock-based compensation expense, an increase in net operating assets of $0.9 million, $0.6 million from the depreciation of property and equipment, and $0.2 million from amortization of deferred financing costs and loan discount. Net operating assets consisted primarily of inventory, accounts receivable, prepaid expenses and other current assets, accrued expenses to support the growth of our operations and accounts payable.</w:t>
      </w:r>
    </w:p>
    <w:p>
      <w:pPr>
        <w:spacing w:after="0" w:line="17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Net cash used in operating activities for the year ended December 31, 2023 was $39.0 million and consisted primarily of a net loss of $41.2 million and a decrease in net operating assets of $ 4.8 million, partially offset by $6.3 million from non-cash stock-based compensation expense, $0.5 million from the depreciation of property and equipment and $0.2 million from amortization of deferred financing costs and loan discount. Net operating assets consisted primarily of inventory, accounts receivable, prepaid expenses and other current assets, accrued expenses to support the growth of our operations and accounts payable.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Cash used in investing activities was $1.4 million and $0.6 million for the years ended December 31, 2024 and 2023,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Net cash provided by financing activities for the year ended </w:t>
      </w:r>
      <w:r>
        <w:rPr>
          <w:rFonts w:ascii="Arial" w:cs="Arial" w:eastAsia="Arial" w:hAnsi="Arial"/>
          <w:sz w:val="18"/>
          <w:szCs w:val="18"/>
          <w:color w:val="212529"/>
        </w:rPr>
        <w:t>December 31, 2024 was $55.9 million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consisted of $32.5 million related to proceeds from the issuance of common stock through the ATM offering,</w:t>
      </w:r>
    </w:p>
    <w:p>
      <w:pPr>
        <w:ind w:left="60"/>
        <w:spacing w:after="0" w:line="234" w:lineRule="auto"/>
        <w:rPr>
          <w:sz w:val="20"/>
          <w:szCs w:val="20"/>
          <w:color w:val="auto"/>
        </w:rPr>
      </w:pPr>
      <w:r>
        <w:rPr>
          <w:rFonts w:ascii="Arial" w:cs="Arial" w:eastAsia="Arial" w:hAnsi="Arial"/>
          <w:sz w:val="18"/>
          <w:szCs w:val="18"/>
          <w:color w:val="212529"/>
        </w:rPr>
        <w:t>$20.0 million related to proceeds under the Loan Agreement, $2.7 million related to proceeds from the exercise</w:t>
      </w:r>
    </w:p>
    <w:p>
      <w:pPr>
        <w:ind w:left="60"/>
        <w:spacing w:after="0" w:line="235" w:lineRule="auto"/>
        <w:rPr>
          <w:sz w:val="20"/>
          <w:szCs w:val="20"/>
          <w:color w:val="auto"/>
        </w:rPr>
      </w:pPr>
      <w:r>
        <w:rPr>
          <w:rFonts w:ascii="Arial" w:cs="Arial" w:eastAsia="Arial" w:hAnsi="Arial"/>
          <w:sz w:val="18"/>
          <w:szCs w:val="18"/>
          <w:color w:val="212529"/>
        </w:rPr>
        <w:t>of common stock options, and $0.8 million related to proceeds from the Employee Stock Purchase Plan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(“ESPP”), partially offset by $0.2 million related to debt financing costs.</w:t>
      </w:r>
    </w:p>
    <w:p>
      <w:pPr>
        <w:spacing w:after="0" w:line="19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Net cash provided by financing activities for the year ended December 31, 2023 was $24.0 million and consisted of $22.5 million related to proceeds from debt financing, $0.9 million related to proceeds from the ESPP and $0.7 million related to proceeds from the exercise of common stock options, partially offset by debt financing costs of $0.2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1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October 31, 2022, we entered into the Loan Agreement with Innovatus, as the collateral agent and a lender, under which we may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$15.0 million under the second tranche of the Loan Agreement. On September 30, 2024, we borrowed the remaining $20.0 million under the third and final tranche of the Loan Agreement. The term loans advanced pursuant to the Loan Agreement (collectively, the “Term Loans”) bear interest at a floating rate per annum equal to the sum of (a) the greater of (i) the prime rate and</w:t>
      </w:r>
    </w:p>
    <w:p>
      <w:pPr>
        <w:spacing w:after="0" w:line="3" w:lineRule="exact"/>
        <w:rPr>
          <w:sz w:val="20"/>
          <w:szCs w:val="20"/>
          <w:color w:val="auto"/>
        </w:rPr>
      </w:pPr>
    </w:p>
    <w:p>
      <w:pPr>
        <w:ind w:left="60" w:right="99" w:hanging="10"/>
        <w:spacing w:after="0"/>
        <w:tabs>
          <w:tab w:leader="none" w:pos="3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5.50% plus (b) 2.65%. The Term Loans mature on January 31, 2028 and require interest-only payments until November 1, 2027. The Term Loans are secured by substantially all of our personal property. A performance covenant took effect upon the third tranche funding, requiring that we achieve 50% of the trailing twelve months revenue target set in the Board-approved revenue plan in effect for such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our management to make estimates and judgments that affect the amounts reported in our consolidated financial statements and accompanying notes included elsewhere in this Annual Report on Form 10-K.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consolidated financial statements.</w:t>
      </w:r>
    </w:p>
    <w:p>
      <w:pPr>
        <w:spacing w:after="0" w:line="180"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We maintain an equity incentive plan that was adopted in 2001 to provide long-term incentives for employees, consultants, and members of the Board of Directors. The plan allows for the issuance of non-statutory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incentive stock options to employees and non-statutory stock options to consultants and non-employee directors. In connection with the IPO, we adopted the 2021 Equity Incentive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176" w:lineRule="exact"/>
        <w:rPr>
          <w:sz w:val="20"/>
          <w:szCs w:val="20"/>
          <w:color w:val="auto"/>
        </w:rPr>
      </w:pPr>
    </w:p>
    <w:p>
      <w:pPr>
        <w:ind w:left="60" w:right="239"/>
        <w:spacing w:after="0" w:line="256" w:lineRule="auto"/>
        <w:rPr>
          <w:sz w:val="20"/>
          <w:szCs w:val="20"/>
          <w:color w:val="auto"/>
        </w:rPr>
      </w:pPr>
      <w:r>
        <w:rPr>
          <w:rFonts w:ascii="Arial" w:cs="Arial" w:eastAsia="Arial" w:hAnsi="Arial"/>
          <w:sz w:val="17"/>
          <w:szCs w:val="17"/>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equity-based compensation awards to employees and non-employee directors, including grants of restricted shares and stock options, to be recognized as expense in the consolidated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168"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69" w:lineRule="exact"/>
        <w:rPr>
          <w:sz w:val="20"/>
          <w:szCs w:val="20"/>
          <w:color w:val="auto"/>
        </w:rPr>
      </w:pPr>
    </w:p>
    <w:p>
      <w:pPr>
        <w:ind w:left="380" w:right="259" w:hanging="330"/>
        <w:spacing w:after="0" w:line="232" w:lineRule="auto"/>
        <w:tabs>
          <w:tab w:leader="none" w:pos="380" w:val="left"/>
        </w:tabs>
        <w:numPr>
          <w:ilvl w:val="0"/>
          <w:numId w:val="54"/>
        </w:numPr>
        <w:rPr>
          <w:rFonts w:ascii="Times New Roman" w:cs="Times New Roman" w:eastAsia="Times New Roman" w:hAnsi="Times New Roman"/>
          <w:sz w:val="22"/>
          <w:szCs w:val="22"/>
          <w:color w:val="auto"/>
        </w:rPr>
      </w:pPr>
      <w:r>
        <w:rPr>
          <w:rFonts w:ascii="Arial" w:cs="Arial" w:eastAsia="Arial" w:hAnsi="Arial"/>
          <w:sz w:val="18"/>
          <w:szCs w:val="18"/>
          <w:color w:val="231F20"/>
        </w:rPr>
        <w:t>Fair value of common stock — For valuations after the completion of the IPO, our Board of Directors determines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81" w:lineRule="exact"/>
        <w:rPr>
          <w:rFonts w:ascii="Times New Roman" w:cs="Times New Roman" w:eastAsia="Times New Roman" w:hAnsi="Times New Roman"/>
          <w:sz w:val="22"/>
          <w:szCs w:val="22"/>
          <w:color w:val="auto"/>
        </w:rPr>
      </w:pPr>
    </w:p>
    <w:p>
      <w:pPr>
        <w:ind w:left="380" w:right="579" w:hanging="330"/>
        <w:spacing w:after="0" w:line="270" w:lineRule="auto"/>
        <w:tabs>
          <w:tab w:leader="none" w:pos="3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231F20"/>
        </w:rPr>
        <w:t>Expected share price volatility — We make assumptions with respect to expected stock price volatility based upon the historical volatility of our stock price.</w:t>
      </w:r>
    </w:p>
    <w:p>
      <w:pPr>
        <w:spacing w:after="0" w:line="154" w:lineRule="exact"/>
        <w:rPr>
          <w:rFonts w:ascii="Times New Roman" w:cs="Times New Roman" w:eastAsia="Times New Roman" w:hAnsi="Times New Roman"/>
          <w:sz w:val="18"/>
          <w:szCs w:val="18"/>
          <w:color w:val="auto"/>
        </w:rPr>
      </w:pPr>
    </w:p>
    <w:p>
      <w:pPr>
        <w:ind w:left="380" w:right="79" w:hanging="330"/>
        <w:spacing w:after="0" w:line="252" w:lineRule="auto"/>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0" w:lineRule="exact"/>
        <w:rPr>
          <w:rFonts w:ascii="Times New Roman" w:cs="Times New Roman" w:eastAsia="Times New Roman" w:hAnsi="Times New Roman"/>
          <w:sz w:val="18"/>
          <w:szCs w:val="18"/>
          <w:color w:val="231F20"/>
        </w:rPr>
      </w:pPr>
    </w:p>
    <w:p>
      <w:pPr>
        <w:ind w:left="380" w:right="259" w:hanging="330"/>
        <w:spacing w:after="0" w:line="270" w:lineRule="auto"/>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4" w:lineRule="exact"/>
        <w:rPr>
          <w:rFonts w:ascii="Times New Roman" w:cs="Times New Roman" w:eastAsia="Times New Roman" w:hAnsi="Times New Roman"/>
          <w:sz w:val="18"/>
          <w:szCs w:val="18"/>
          <w:color w:val="231F20"/>
        </w:rPr>
      </w:pPr>
    </w:p>
    <w:p>
      <w:pPr>
        <w:ind w:left="380" w:right="859" w:hanging="330"/>
        <w:spacing w:after="0" w:line="270" w:lineRule="auto"/>
        <w:tabs>
          <w:tab w:leader="none" w:pos="38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54"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included elsewhere in this Annual Report on Form 10-K.</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As of December 31, 2024 and 2023,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CVRx, Inc.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audited the accompanying consolidated balance sheets of CVRx, Inc. (a Delaware corporation) and subsidiary (the “Company”) as of December 31, 2024 and 2023, the related consolidated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18, 2025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$780 and $508,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129,813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112,090</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133,414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115,229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10,762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62,359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39,282</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December 31, 2024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2023; 25,324,684 and 20,879,199 shares issued and outstanding as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 and 2023, respectively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608,354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553,326</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(537,346)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(477,381)</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75,947</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133,414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115,229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56"/>
        </w:trPr>
        <w:tc>
          <w:tcPr>
            <w:tcW w:w="50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51,292</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39,295</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8,334</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6,256</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42,958</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33,039</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11,131</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11,633</w:t>
            </w:r>
          </w:p>
        </w:tc>
      </w:tr>
      <w:tr>
        <w:trPr>
          <w:trHeight w:val="203"/>
        </w:trPr>
        <w:tc>
          <w:tcPr>
            <w:tcW w:w="50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91,317</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64,509</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102,448</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76,142</w:t>
            </w:r>
          </w:p>
        </w:tc>
      </w:tr>
      <w:tr>
        <w:trPr>
          <w:trHeight w:val="196"/>
        </w:trPr>
        <w:tc>
          <w:tcPr>
            <w:tcW w:w="508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(59,490)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(43,103)</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3,977</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3,850</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(59,910)</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(41,052)</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(59,965)</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(41,199)</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(59,964)</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(41,199)</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32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(1.99)</w:t>
            </w:r>
          </w:p>
        </w:tc>
      </w:tr>
      <w:tr>
        <w:trPr>
          <w:trHeight w:val="184"/>
        </w:trPr>
        <w:tc>
          <w:tcPr>
            <w:tcW w:w="5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per share, basic and diluted</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22,596,229</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20,754,375</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20" w:type="dxa"/>
            <w:vAlign w:val="bottom"/>
            <w:gridSpan w:val="4"/>
            <w:vMerge w:val="restart"/>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20" w:type="dxa"/>
            <w:vAlign w:val="bottom"/>
            <w:tcBorders>
              <w:bottom w:val="single" w:sz="8" w:color="auto"/>
            </w:tcBorders>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72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loss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3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December 31, 2022</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20,663,736</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545,362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(436,182)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109,180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144,187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71,276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6,303</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 ended December 31, 2023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(41,199)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(41,199)</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Balances as of December 31, 2023</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20,879,199</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209</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553,326</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(477,381)</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75,947</w:t>
            </w: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510,669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2,693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2,698</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79,618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19,050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19,050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Issuance of common stock, net of costs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3,251,198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32,489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32,521</w:t>
            </w:r>
          </w:p>
        </w:tc>
        <w:tc>
          <w:tcPr>
            <w:tcW w:w="0" w:type="dxa"/>
            <w:vAlign w:val="bottom"/>
          </w:tcPr>
          <w:p>
            <w:pPr>
              <w:spacing w:after="0"/>
              <w:rPr>
                <w:sz w:val="1"/>
                <w:szCs w:val="1"/>
                <w:color w:val="auto"/>
              </w:rPr>
            </w:pPr>
          </w:p>
        </w:tc>
      </w:tr>
      <w:tr>
        <w:trPr>
          <w:trHeight w:val="117"/>
        </w:trPr>
        <w:tc>
          <w:tcPr>
            <w:tcW w:w="33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Issuance of common stock upon net exercise of</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common 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Net loss for the year ended December 31, 2024</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(59,965)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(59,965)</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30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December 31, 2024</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25,324,684</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253</w:t>
            </w:r>
          </w:p>
        </w:tc>
        <w:tc>
          <w:tcPr>
            <w:tcW w:w="1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608,354</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(537,346)</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71,055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2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(59,965)</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(41,199)</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19,050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6,303</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(2,047)</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(4,026)</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(39,144)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22,500</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55,870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23,984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15,364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(15,625)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106,194</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90,569</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3,614</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income taxes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U.S. Securities and Exchange Commission (“SEC”).</w:t>
      </w:r>
    </w:p>
    <w:p>
      <w:pPr>
        <w:spacing w:after="0" w:line="16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The consolidated financial statements include the accounts of CVRx, Inc., its wholly owned subsidiary, CVRx Switzerland LLC, and its sales branch in Italy, which was closed during 2023.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and assumptions that affect the amounts reported in the consolidated financial statements and the accompanying notes. Actual results could differ from those estimates.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December 31, 2024 and 2023, cash equivalents consisted of money market funds, which are stated at cost and approximate fair value. Additionally, as of December 31, 2024 and 2023, a majority of our cash and cash equivalents were maintained with two financial institutions in the U.S., and our current deposits are likely in excess of insured limits.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consolidated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consolidated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In November 2023, the FASB issued Accounting Standards Update (“ASU”) 2023-07,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(“ASU 2023-07”), which requires public companies to disclose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reportable segment the significant expense categories and amounts for such expenses. ASU 2023-07 became effective for us for annual periods beginning December 15, 2023, and for interim periods within fiscal years beginning after December 15, 2024. Accordingly, we have expanded our financial statement disclosures in order to comply with the guidance.</w:t>
      </w:r>
    </w:p>
    <w:p>
      <w:pPr>
        <w:spacing w:after="0" w:line="16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2024. This ASU will be effective for our annual period ended December 31, 2025.</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6,857</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4,714</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$0.6 million and $0.5 million for the years ended December 31, 2024 and 2023,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3,335</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401(k) employer match</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2"/>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8,180</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5,980</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an additional $15.0 million under the second tranche of the Loan Agreement. On September 30, 2024, we borrowed the remaining $20.0 million under the third and final tranche of the Loan Agreement. The Loan Agreement initially requires interest only payments through November 2027, followed by three monthly principal and interest payments. A final payment of $2.3 million, equal to 4.5% of the original borrowed principal, is due in January 2028. The term loans advanced pursuant to the Loan Agreement (collectively, the “Term Loans”) bear interest at a floating rate per annum equal to the sum of (a) the greater of (i) the prime rate and (ii) 5.50% plus</w:t>
      </w:r>
    </w:p>
    <w:p>
      <w:pPr>
        <w:spacing w:after="0" w:line="6" w:lineRule="exact"/>
        <w:rPr>
          <w:sz w:val="20"/>
          <w:szCs w:val="20"/>
          <w:color w:val="auto"/>
        </w:rPr>
      </w:pPr>
    </w:p>
    <w:p>
      <w:pPr>
        <w:ind w:left="60" w:right="79" w:hanging="10"/>
        <w:spacing w:after="0" w:line="237"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December 31, 2024.</w:t>
      </w:r>
    </w:p>
    <w:p>
      <w:pPr>
        <w:spacing w:after="0" w:line="17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20" w:type="dxa"/>
            <w:vAlign w:val="bottom"/>
            <w:vMerge w:val="restart"/>
          </w:tcPr>
          <w:p>
            <w:pPr>
              <w:jc w:val="right"/>
              <w:ind w:right="283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6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consolidated balance sheets: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1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r>
      <w:tr>
        <w:trPr>
          <w:trHeight w:val="237"/>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1,069</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4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09"/>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03"/>
        </w:trPr>
        <w:tc>
          <w:tcPr>
            <w:tcW w:w="7820" w:type="dxa"/>
            <w:vAlign w:val="bottom"/>
            <w:gridSpan w:val="5"/>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December 31, 2024: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1"/>
        </w:trPr>
        <w:tc>
          <w:tcPr>
            <w:tcW w:w="6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6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1,309</w:t>
            </w: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196"/>
        </w:trPr>
        <w:tc>
          <w:tcPr>
            <w:tcW w:w="68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December 31, 2024, the remaining lease term was 3.7 years, and the weighted average discount rate was 6.7%. The operating cash outflows from our operating lease were $0.5 million and $0.4 million for the years ended December 31, 2024 and 2023, respectively.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had common stock warrants exercisable for 103,349 shares of common stock upon conversion at a weighted average exercise price of $ 12.92 per share and 716,131 shares of common stock upon conversion at a weighted average exercise price of $2.39 per share outstanding at December 31 2024 and 2023, respectively. Johnson &amp; Johnson Innovation – JJDC, Inc. had common stock warrants exercisable for</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607,725 shares of our common stock with an exercise price of $0.16 per share that were all exercised through a net exercise transaction for 604,000 shares of common stock during the year ended December 31, 2024.</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$ 50.0 million. We issued 3,251,198 shares of common stock for gross proceeds of $33.8 million under the ATM offering during the year ended December 31, 2024. We have remaining capacity to issue and sell up to approximately $16.2 million of additional shares of common stock under this ATM offering.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1,043,959 shares being reserved for issuance under the 2021 Plan as of January 1, 2024.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December 31, 2024, there were 1,142,918 shares available for future issuance under the 2021 Plan.</w:t>
      </w:r>
    </w:p>
    <w:p>
      <w:pPr>
        <w:spacing w:after="0" w:line="188"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our common stock on the date of grant.</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4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Intrinsic</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154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top w:val="single" w:sz="8" w:color="auto"/>
            </w:tcBorders>
            <w:gridSpan w:val="2"/>
          </w:tcPr>
          <w:p>
            <w:pPr>
              <w:jc w:val="center"/>
              <w:ind w:left="468"/>
              <w:spacing w:after="0" w:line="155" w:lineRule="exact"/>
              <w:rPr>
                <w:sz w:val="20"/>
                <w:szCs w:val="20"/>
                <w:color w:val="auto"/>
              </w:rPr>
            </w:pPr>
            <w:r>
              <w:rPr>
                <w:rFonts w:ascii="Arial" w:cs="Arial" w:eastAsia="Arial" w:hAnsi="Arial"/>
                <w:sz w:val="14"/>
                <w:szCs w:val="14"/>
                <w:i w:val="1"/>
                <w:iCs w:val="1"/>
                <w:color w:val="auto"/>
              </w:rPr>
              <w:t>(in thousands)</w:t>
            </w: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3,756,835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00" w:type="dxa"/>
            <w:vAlign w:val="bottom"/>
          </w:tcPr>
          <w:p>
            <w:pPr>
              <w:jc w:val="right"/>
              <w:spacing w:after="0"/>
              <w:rPr>
                <w:sz w:val="20"/>
                <w:szCs w:val="20"/>
                <w:color w:val="auto"/>
              </w:rPr>
            </w:pPr>
            <w:r>
              <w:rPr>
                <w:rFonts w:ascii="Arial" w:cs="Arial" w:eastAsia="Arial" w:hAnsi="Arial"/>
                <w:sz w:val="14"/>
                <w:szCs w:val="14"/>
                <w:color w:val="auto"/>
              </w:rPr>
              <w:t>1,161,926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14.20</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(285,729)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(144,187)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5.05</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4,488,845</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9.77</w:t>
            </w:r>
          </w:p>
        </w:tc>
        <w:tc>
          <w:tcPr>
            <w:tcW w:w="2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97,266</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00" w:type="dxa"/>
            <w:vAlign w:val="bottom"/>
          </w:tcPr>
          <w:p>
            <w:pPr>
              <w:jc w:val="right"/>
              <w:spacing w:after="0"/>
              <w:rPr>
                <w:sz w:val="20"/>
                <w:szCs w:val="20"/>
                <w:color w:val="auto"/>
              </w:rPr>
            </w:pPr>
            <w:r>
              <w:rPr>
                <w:rFonts w:ascii="Arial" w:cs="Arial" w:eastAsia="Arial" w:hAnsi="Arial"/>
                <w:sz w:val="14"/>
                <w:szCs w:val="14"/>
                <w:color w:val="auto"/>
              </w:rPr>
              <w:t>3,237,758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12.77</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(1,665,515)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(510,669)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5.28</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5,550,419</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11.81</w:t>
            </w:r>
          </w:p>
        </w:tc>
        <w:tc>
          <w:tcPr>
            <w:tcW w:w="2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18,771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as of December 31, 2024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9.24</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2,854,762</w:t>
            </w: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13,390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of December 31, 2024, stock options outstanding included 4,402 options that were not granted under the 2001 Plan or the 2021 Plan. For options outstanding as of December 31, 2024, the weighted average remaining contractual life was 7.0 years. For options exercisable as of December 31, 2024, the weighted average remaining contractual life was 5.5 years.</w:t>
      </w:r>
    </w:p>
    <w:p>
      <w:pPr>
        <w:spacing w:after="0" w:line="17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208,791 shares being reserved for issuance under the ESPP as of January 1, 2024.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year ended December 31, 2024, 79,618 shares of common stock were purchased under the ESPP for $0.8 million of employee contributions. As of December 31, 2024, there were 632,807 shares available for issuance under the ESPP.</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We measure stock-based compensation expense based on the grant date fair value of the award and recognize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years ended December 31, 2024 and 2023:</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9"/>
                <w:szCs w:val="19"/>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to 6.1</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 to 6.1</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6.1</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 to 6.1</w:t>
            </w:r>
          </w:p>
        </w:tc>
      </w:tr>
    </w:tbl>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374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87.7% to 98.9 %</w:t>
            </w:r>
          </w:p>
        </w:tc>
        <w:tc>
          <w:tcPr>
            <w:tcW w:w="1680" w:type="dxa"/>
            <w:vAlign w:val="bottom"/>
          </w:tcPr>
          <w:p>
            <w:pPr>
              <w:jc w:val="right"/>
              <w:spacing w:after="0"/>
              <w:rPr>
                <w:sz w:val="20"/>
                <w:szCs w:val="20"/>
                <w:color w:val="auto"/>
              </w:rPr>
            </w:pPr>
            <w:r>
              <w:rPr>
                <w:rFonts w:ascii="Arial" w:cs="Arial" w:eastAsia="Arial" w:hAnsi="Arial"/>
                <w:sz w:val="18"/>
                <w:szCs w:val="18"/>
                <w:color w:val="auto"/>
              </w:rPr>
              <w:t>77.2% to 79.6 %</w:t>
            </w: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3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3.67% to 4.71 %</w:t>
            </w:r>
          </w:p>
        </w:tc>
        <w:tc>
          <w:tcPr>
            <w:tcW w:w="1680" w:type="dxa"/>
            <w:vAlign w:val="bottom"/>
          </w:tcPr>
          <w:p>
            <w:pPr>
              <w:jc w:val="right"/>
              <w:spacing w:after="0"/>
              <w:rPr>
                <w:sz w:val="20"/>
                <w:szCs w:val="20"/>
                <w:color w:val="auto"/>
              </w:rPr>
            </w:pPr>
            <w:r>
              <w:rPr>
                <w:rFonts w:ascii="Arial" w:cs="Arial" w:eastAsia="Arial" w:hAnsi="Arial"/>
                <w:sz w:val="18"/>
                <w:szCs w:val="18"/>
                <w:color w:val="auto"/>
              </w:rPr>
              <w:t>3.40% to 4.89 %</w:t>
            </w:r>
          </w:p>
        </w:tc>
      </w:tr>
    </w:tbl>
    <w:p>
      <w:pPr>
        <w:spacing w:after="0" w:line="166"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years ended December 31, 2024 and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December 31,</w:t>
            </w:r>
          </w:p>
        </w:tc>
      </w:tr>
      <w:tr>
        <w:trPr>
          <w:trHeight w:val="218"/>
        </w:trPr>
        <w:tc>
          <w:tcPr>
            <w:tcW w:w="5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9"/>
                <w:szCs w:val="19"/>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74.0% to 96.9 %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76.2% to 84.6 %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5.24% to 5.37 %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4.77% to 5.53 %</w:t>
            </w:r>
          </w:p>
        </w:tc>
      </w:tr>
    </w:tbl>
    <w:p>
      <w:pPr>
        <w:spacing w:after="0" w:line="40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540"/>
              <w:spacing w:after="0"/>
              <w:rPr>
                <w:sz w:val="20"/>
                <w:szCs w:val="20"/>
                <w:color w:val="auto"/>
              </w:rPr>
            </w:pPr>
            <w:r>
              <w:rPr>
                <w:rFonts w:ascii="Arial" w:cs="Arial" w:eastAsia="Arial" w:hAnsi="Arial"/>
                <w:sz w:val="14"/>
                <w:szCs w:val="14"/>
                <w:b w:val="1"/>
                <w:bCs w:val="1"/>
                <w:color w:val="auto"/>
                <w:w w:val="98"/>
              </w:rPr>
              <w:t>Year Ended</w:t>
            </w:r>
          </w:p>
        </w:tc>
        <w:tc>
          <w:tcPr>
            <w:tcW w:w="64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20" w:type="dxa"/>
            <w:vAlign w:val="bottom"/>
          </w:tcPr>
          <w:p>
            <w:pPr>
              <w:jc w:val="right"/>
              <w:ind w:right="215"/>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2023</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18,633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5,901</w:t>
            </w: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196"/>
        </w:trPr>
        <w:tc>
          <w:tcPr>
            <w:tcW w:w="68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19,050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6,303</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3"/>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5,073</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19,050</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6,303</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As of December 31, 2024, unrecognized compensation expense related to unvested stock-based compensation arrangements was $26.5 million. As of December 31, 2024, the related weighted average period over which the expense is expected to be recognized is approximately 2.7 years.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Chief Executive Officer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Chief Executive Officer until the earlier of (a) five years following his retirement date, or (b) the applicable option expiration date. The modification of these option awards resulted in an additional $8.4 million of non-cash stock-based compensation expense recognized during the year ended December 31, 2024.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As of December 31, 2024 and 2023, a valuation allowance was recorded against all deferred tax assets due to our cumulative net loss position.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our provision for income taxes are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gridSpan w:val="3"/>
          </w:tcPr>
          <w:p>
            <w:pPr>
              <w:jc w:val="center"/>
              <w:ind w:left="859"/>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100" w:type="dxa"/>
            <w:vAlign w:val="bottom"/>
          </w:tcPr>
          <w:p>
            <w:pPr>
              <w:ind w:left="120"/>
              <w:spacing w:after="0" w:line="202" w:lineRule="exact"/>
              <w:rPr>
                <w:sz w:val="20"/>
                <w:szCs w:val="20"/>
                <w:color w:val="auto"/>
              </w:rPr>
            </w:pPr>
            <w:r>
              <w:rPr>
                <w:rFonts w:ascii="Arial" w:cs="Arial" w:eastAsia="Arial" w:hAnsi="Arial"/>
                <w:sz w:val="18"/>
                <w:szCs w:val="18"/>
                <w:color w:val="auto"/>
              </w:rPr>
              <w:t>Federal and state</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17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1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reconciliation of taxes at the federal statutory rate to our provision for income taxes are as follows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3"/>
          </w:tcPr>
          <w:p>
            <w:pPr>
              <w:jc w:val="center"/>
              <w:ind w:left="1039"/>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3"/>
          </w:tcPr>
          <w:p>
            <w:pPr>
              <w:jc w:val="center"/>
              <w:ind w:left="999"/>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9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Tax at federal statutory rate</w:t>
            </w:r>
          </w:p>
        </w:tc>
        <w:tc>
          <w:tcPr>
            <w:tcW w:w="16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440" w:type="dxa"/>
            <w:vAlign w:val="bottom"/>
            <w:tcBorders>
              <w:top w:val="single" w:sz="8" w:color="CCEEFF"/>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3380" w:type="dxa"/>
            <w:vAlign w:val="bottom"/>
            <w:gridSpan w:val="3"/>
          </w:tcPr>
          <w:p>
            <w:pPr>
              <w:jc w:val="right"/>
              <w:ind w:right="350"/>
              <w:spacing w:after="0" w:line="202" w:lineRule="exact"/>
              <w:rPr>
                <w:sz w:val="20"/>
                <w:szCs w:val="20"/>
                <w:color w:val="auto"/>
              </w:rPr>
            </w:pPr>
            <w:r>
              <w:rPr>
                <w:rFonts w:ascii="Arial" w:cs="Arial" w:eastAsia="Arial" w:hAnsi="Arial"/>
                <w:sz w:val="18"/>
                <w:szCs w:val="18"/>
                <w:color w:val="auto"/>
              </w:rPr>
              <w:t>(4.2)</w:t>
            </w:r>
          </w:p>
        </w:tc>
        <w:tc>
          <w:tcPr>
            <w:tcW w:w="4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("R&amp;D") tax credit</w:t>
            </w:r>
          </w:p>
        </w:tc>
        <w:tc>
          <w:tcPr>
            <w:tcW w:w="2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w:t>
            </w:r>
          </w:p>
        </w:tc>
        <w:tc>
          <w:tcPr>
            <w:tcW w:w="3380" w:type="dxa"/>
            <w:vAlign w:val="bottom"/>
            <w:gridSpan w:val="3"/>
          </w:tcPr>
          <w:p>
            <w:pPr>
              <w:jc w:val="right"/>
              <w:ind w:right="350"/>
              <w:spacing w:after="0" w:line="202" w:lineRule="exact"/>
              <w:rPr>
                <w:sz w:val="20"/>
                <w:szCs w:val="20"/>
                <w:color w:val="auto"/>
              </w:rPr>
            </w:pPr>
            <w:r>
              <w:rPr>
                <w:rFonts w:ascii="Arial" w:cs="Arial" w:eastAsia="Arial" w:hAnsi="Arial"/>
                <w:sz w:val="18"/>
                <w:szCs w:val="18"/>
                <w:color w:val="auto"/>
              </w:rPr>
              <w:t>(0.1)</w:t>
            </w:r>
          </w:p>
        </w:tc>
        <w:tc>
          <w:tcPr>
            <w:tcW w:w="4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net of federal benefit</w:t>
            </w:r>
          </w:p>
        </w:tc>
        <w:tc>
          <w:tcPr>
            <w:tcW w:w="2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Deferred rate change</w:t>
            </w:r>
          </w:p>
        </w:tc>
        <w:tc>
          <w:tcPr>
            <w:tcW w:w="3380" w:type="dxa"/>
            <w:vAlign w:val="bottom"/>
            <w:gridSpan w:val="3"/>
          </w:tcPr>
          <w:p>
            <w:pPr>
              <w:jc w:val="right"/>
              <w:ind w:right="350"/>
              <w:spacing w:after="0" w:line="202" w:lineRule="exact"/>
              <w:rPr>
                <w:sz w:val="20"/>
                <w:szCs w:val="20"/>
                <w:color w:val="auto"/>
              </w:rPr>
            </w:pPr>
            <w:r>
              <w:rPr>
                <w:rFonts w:ascii="Arial" w:cs="Arial" w:eastAsia="Arial" w:hAnsi="Arial"/>
                <w:sz w:val="18"/>
                <w:szCs w:val="18"/>
                <w:color w:val="auto"/>
              </w:rPr>
              <w:t>(0.3)</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3380" w:type="dxa"/>
            <w:vAlign w:val="bottom"/>
            <w:gridSpan w:val="3"/>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c>
          <w:tcPr>
            <w:tcW w:w="44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vMerge w:val="restart"/>
          </w:tcPr>
          <w:p>
            <w:pPr>
              <w:jc w:val="right"/>
              <w:ind w:right="1052"/>
              <w:spacing w:after="0"/>
              <w:rPr>
                <w:sz w:val="20"/>
                <w:szCs w:val="20"/>
                <w:color w:val="auto"/>
              </w:rPr>
            </w:pPr>
            <w:r>
              <w:rPr>
                <w:rFonts w:ascii="Arial" w:cs="Arial" w:eastAsia="Arial" w:hAnsi="Arial"/>
                <w:sz w:val="18"/>
                <w:szCs w:val="18"/>
                <w:color w:val="auto"/>
              </w:rPr>
              <w:t>96</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0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4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net deferred tax assets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4"/>
          </w:tcPr>
          <w:p>
            <w:pPr>
              <w:jc w:val="center"/>
              <w:ind w:left="874"/>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4"/>
          </w:tcPr>
          <w:p>
            <w:pPr>
              <w:jc w:val="center"/>
              <w:ind w:left="834"/>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Net operating loss carryforwards</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98,329</w:t>
            </w:r>
          </w:p>
        </w:tc>
        <w:tc>
          <w:tcPr>
            <w:tcW w:w="12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R&amp;D tax credits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Capitalized R&amp;D expenses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8,015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Non-qualified stock options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Start-up costs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vacation</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6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122,102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Valuation allowance</w:t>
            </w: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(122,102)</w:t>
            </w: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(110,552)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68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December 31, 2024, we had federal and state net operating loss carryforwards (“NOLs”) of approximately $429.7 million and $8.1 million, respectively. The federal NOLs began expiring in 2021 and the state NOLs began expiring in 2020. As of December 31, 2024, we had federal and state tax credit carryforwards of approximately $10.2 million and $ 1.7 million, respectively. The federal tax credit carryforwards began expiring in 2021 and the state tax credits will begin expiring in 2028.</w:t>
      </w:r>
    </w:p>
    <w:p>
      <w:pPr>
        <w:spacing w:after="0" w:line="16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to our gross unrecognized tax benefits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ind w:left="877"/>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ind w:left="837"/>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beginning of year</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2,046</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increases:</w:t>
            </w: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Current year tax positions</w:t>
            </w:r>
          </w:p>
        </w:tc>
        <w:tc>
          <w:tcPr>
            <w:tcW w:w="9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decreases:</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end of year</w:t>
            </w:r>
          </w:p>
        </w:tc>
        <w:tc>
          <w:tcPr>
            <w:tcW w:w="9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All of these unrecognized tax benefits, if recognized, would impact the effective tax rate before taking consideration of the valuation allowance. The amount of unrecognized tax benefits subjected to the valuation allowance was $1.8 million and $1.7 million for the years ended December 31, 2024 and 2023, respectively. We recognized a nominal amount and approximately $0.1 million of interest or penalties for each of the years ended December 31, 2024 and 2023, respectively. As of December 31, 2024 and 2023, total accrued interest and penalties were both $0.5 million. We recognize accrued interest and penalties related to unrecognized tax positions as a component of income tax expense. We do not expect a significant change in the amount of unrecognized tax benefits in the next year.</w:t>
      </w:r>
    </w:p>
    <w:p>
      <w:pPr>
        <w:spacing w:after="0" w:line="167"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We are subject to U.S. federal income tax as well as income tax of multiple state and foreign jurisdictions. Tax years from 2005 through present remain open for audit under the applicable statute of limitations due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the carryover of the unused NOLs and tax credit carryforwards. We do not have any tax audits or other proceedings pending.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(59,965)</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(41,199)</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3"/>
        </w:trPr>
        <w:tc>
          <w:tcPr>
            <w:tcW w:w="6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22,596,229</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20,754,375</w:t>
            </w:r>
          </w:p>
        </w:tc>
      </w:tr>
      <w:tr>
        <w:trPr>
          <w:trHeight w:val="183"/>
        </w:trPr>
        <w:tc>
          <w:tcPr>
            <w:tcW w:w="62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(2.65)</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(1.99)</w:t>
            </w: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December 31,</w:t>
      </w:r>
    </w:p>
    <w:p>
      <w:pPr>
        <w:ind w:left="7080"/>
        <w:spacing w:after="0" w:line="232" w:lineRule="auto"/>
        <w:tabs>
          <w:tab w:leader="none" w:pos="82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67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Options to purchase common stock</w:t>
            </w:r>
          </w:p>
        </w:tc>
        <w:tc>
          <w:tcPr>
            <w:tcW w:w="9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5,550,419</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4,488,845</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103,349</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7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5,653,768</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5,204,976</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 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December 31, 2024 or December 31, 2023.</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$1.1 million and $0 for the years ended December 31, 2024 and 2023,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 Segment, geographic information and revenue disaggregation</w:t>
      </w:r>
    </w:p>
    <w:p>
      <w:pPr>
        <w:spacing w:after="0" w:line="21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results or plans for levels or components below the consolidated unit level. Our chief operating decision maker is our Chief Executive Officer. Our Chief Executive Officer evaluates performance based primarily on revenue in the geographic locations in which the Company operates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consolidated statements of operations and comprehensive loss in this Annual Report on Form 10-K.</w:t>
      </w:r>
    </w:p>
    <w:p>
      <w:pPr>
        <w:spacing w:after="0" w:line="180"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71"/>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47,167</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35,111</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3,460</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3,690</w:t>
            </w: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665</w:t>
            </w:r>
          </w:p>
        </w:tc>
        <w:tc>
          <w:tcPr>
            <w:tcW w:w="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r>
      <w:tr>
        <w:trPr>
          <w:trHeight w:val="196"/>
        </w:trPr>
        <w:tc>
          <w:tcPr>
            <w:tcW w:w="55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51,292</w:t>
            </w:r>
          </w:p>
        </w:tc>
        <w:tc>
          <w:tcPr>
            <w:tcW w:w="4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39,295</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and 2023, long-lived assets were located primarily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39"/>
        <w:spacing w:after="0" w:line="27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9A. Controls and Procedures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the end of the period covered by this Annual Report on Form 10-K.</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three months ended December 31, 2024, that have materially affected, or are reasonably likely to materially affect, our internal control over financial reporting.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accounting principles generally accepted in the United States of America (“U.S. GAAP”).</w:t>
      </w:r>
    </w:p>
    <w:p>
      <w:pPr>
        <w:spacing w:after="0" w:line="244"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Management assessed our internal control over financial reporting as of December 31, 2024 based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24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During the three months ended December 31, 2024, none of our directors or officers adopted, modified or terminated a “Rule 10b5-1 trading arrangement” or “non-Rule 10b5-1 trading arrangement,” as each term is defined in Item 408(a) of Regulation S-K.</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to be filed with the SEC within 120 days of the fiscal year ended December 31, 2024.</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11. Executive Compensation</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to be filed with the SEC within 120 days of the fiscal year ended December 31, 2024.</w:t>
      </w:r>
    </w:p>
    <w:p>
      <w:pPr>
        <w:spacing w:after="0" w:line="159" w:lineRule="exact"/>
        <w:rPr>
          <w:sz w:val="20"/>
          <w:szCs w:val="20"/>
          <w:color w:val="auto"/>
        </w:rPr>
      </w:pPr>
    </w:p>
    <w:p>
      <w:pPr>
        <w:ind w:left="60" w:right="799"/>
        <w:spacing w:after="0" w:line="27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8"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to be filed with the SEC within 120 days of the fiscal year ended December 31, 2024.</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27"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to be filed with the SEC within 120 days of the fiscal year ended December 31, 2024.</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to be filed with the SEC within 120 days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of the Company are set forth in Part II, Item 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 (PCAOB ID 248)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as of December 31, 2024 and 2023</w:t>
      </w:r>
    </w:p>
    <w:p>
      <w:pPr>
        <w:spacing w:after="0" w:line="212" w:lineRule="exact"/>
        <w:rPr>
          <w:sz w:val="20"/>
          <w:szCs w:val="20"/>
          <w:color w:val="auto"/>
        </w:rPr>
      </w:pPr>
    </w:p>
    <w:p>
      <w:pPr>
        <w:ind w:left="1340" w:right="839"/>
        <w:spacing w:after="0" w:line="271" w:lineRule="auto"/>
        <w:rPr>
          <w:sz w:val="20"/>
          <w:szCs w:val="20"/>
          <w:color w:val="auto"/>
        </w:rPr>
      </w:pPr>
      <w:r>
        <w:rPr>
          <w:rFonts w:ascii="Arial" w:cs="Arial" w:eastAsia="Arial" w:hAnsi="Arial"/>
          <w:sz w:val="18"/>
          <w:szCs w:val="18"/>
          <w:color w:val="auto"/>
        </w:rPr>
        <w:t>Consolidated Statements of Operations and Comprehensive Loss for the years ended December 31, 2024 and 2023</w:t>
      </w:r>
    </w:p>
    <w:p>
      <w:pPr>
        <w:spacing w:after="0" w:line="154" w:lineRule="exact"/>
        <w:rPr>
          <w:sz w:val="20"/>
          <w:szCs w:val="20"/>
          <w:color w:val="auto"/>
        </w:rPr>
      </w:pPr>
    </w:p>
    <w:p>
      <w:pPr>
        <w:ind w:left="1340" w:right="199"/>
        <w:spacing w:after="0" w:line="271" w:lineRule="auto"/>
        <w:rPr>
          <w:sz w:val="20"/>
          <w:szCs w:val="20"/>
          <w:color w:val="auto"/>
        </w:rPr>
      </w:pPr>
      <w:r>
        <w:rPr>
          <w:rFonts w:ascii="Arial" w:cs="Arial" w:eastAsia="Arial" w:hAnsi="Arial"/>
          <w:sz w:val="18"/>
          <w:szCs w:val="18"/>
          <w:color w:val="auto"/>
        </w:rPr>
        <w:t>Consolidated Statements of Stockholders’ Equity for the years ended December 31, 2024 and 2023</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years ended December 31, 2024 and 2023</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700" w:right="879"/>
        <w:spacing w:after="0" w:line="271"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response to Item 15(b) below.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gridSpan w:val="10"/>
          </w:tcPr>
          <w:p>
            <w:pPr>
              <w:jc w:val="center"/>
              <w:ind w:right="3500"/>
              <w:spacing w:after="0"/>
              <w:rPr>
                <w:sz w:val="20"/>
                <w:szCs w:val="20"/>
                <w:color w:val="auto"/>
              </w:rPr>
            </w:pPr>
            <w:r>
              <w:rPr>
                <w:rFonts w:ascii="Arial" w:cs="Arial" w:eastAsia="Arial" w:hAnsi="Arial"/>
                <w:sz w:val="22"/>
                <w:szCs w:val="22"/>
                <w:b w:val="1"/>
                <w:bCs w:val="1"/>
                <w:color w:val="auto"/>
                <w:w w:val="98"/>
              </w:rPr>
              <w:t>EXHIBIT INDEX</w:t>
            </w:r>
          </w:p>
        </w:tc>
      </w:tr>
      <w:tr>
        <w:trPr>
          <w:trHeight w:val="334"/>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1"/>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3"/>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7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1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Company’s Current Report on Form 8-K filed on June 7, 2024)</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900" w:type="dxa"/>
            <w:vAlign w:val="bottom"/>
            <w:gridSpan w:val="12"/>
          </w:tcPr>
          <w:p>
            <w:pPr>
              <w:spacing w:after="0"/>
              <w:rPr>
                <w:rFonts w:ascii="Arial" w:cs="Arial" w:eastAsia="Arial" w:hAnsi="Arial"/>
                <w:sz w:val="18"/>
                <w:szCs w:val="18"/>
                <w:color w:val="0000EE"/>
              </w:rPr>
            </w:pPr>
            <w:hyperlink r:id="rId129">
              <w:r>
                <w:rPr>
                  <w:rFonts w:ascii="Arial" w:cs="Arial" w:eastAsia="Arial" w:hAnsi="Arial"/>
                  <w:sz w:val="18"/>
                  <w:szCs w:val="18"/>
                  <w:color w:val="0000EE"/>
                </w:rPr>
                <w:t>Amended and Restated By-Laws of CVRx, Inc. (incorporated by reference to Exhibit 3.2 to the</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29">
              <w:r>
                <w:rPr>
                  <w:rFonts w:ascii="Arial" w:cs="Arial" w:eastAsia="Arial" w:hAnsi="Arial"/>
                  <w:sz w:val="18"/>
                  <w:szCs w:val="18"/>
                  <w:color w:val="0000EE"/>
                  <w:w w:val="99"/>
                </w:rPr>
                <w:t>Company’s Current Report on Form 8-K filed on July 7, 2021)</w:t>
              </w:r>
            </w:hyperlink>
          </w:p>
        </w:tc>
        <w:tc>
          <w:tcPr>
            <w:tcW w:w="260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900" w:type="dxa"/>
            <w:vAlign w:val="bottom"/>
            <w:gridSpan w:val="12"/>
          </w:tcPr>
          <w:p>
            <w:pPr>
              <w:spacing w:after="0"/>
              <w:rPr>
                <w:rFonts w:ascii="Arial" w:cs="Arial" w:eastAsia="Arial" w:hAnsi="Arial"/>
                <w:sz w:val="18"/>
                <w:szCs w:val="18"/>
                <w:color w:val="0000EE"/>
              </w:rPr>
            </w:pPr>
            <w:hyperlink r:id="rId130">
              <w:r>
                <w:rPr>
                  <w:rFonts w:ascii="Arial" w:cs="Arial" w:eastAsia="Arial" w:hAnsi="Arial"/>
                  <w:sz w:val="18"/>
                  <w:szCs w:val="18"/>
                  <w:color w:val="0000EE"/>
                </w:rPr>
                <w:t>Form of Common Stock Certificate (incorporated by reference to Exhibit 4.2 to the Company’s</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Registration Statement on Form S-1/A filed on June 23, 2021)</w:t>
              </w:r>
            </w:hyperlink>
          </w:p>
        </w:tc>
        <w:tc>
          <w:tcPr>
            <w:tcW w:w="2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900" w:type="dxa"/>
            <w:vAlign w:val="bottom"/>
            <w:gridSpan w:val="1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Warrant to Purchase Stock, dated as of July 21, 2015, issued by the Company to Life Science</w:t>
              </w:r>
            </w:hyperlink>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6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Loans, LLC (incorporated by reference to Exhibit 4.5 to the Company’s Registration Statement</w:t>
              </w:r>
            </w:hyperlink>
          </w:p>
        </w:tc>
        <w:tc>
          <w:tcPr>
            <w:tcW w:w="60" w:type="dxa"/>
            <w:vAlign w:val="bottom"/>
            <w:gridSpan w:val="2"/>
          </w:tcPr>
          <w:p>
            <w:pPr>
              <w:spacing w:after="0"/>
              <w:rPr>
                <w:sz w:val="15"/>
                <w:szCs w:val="15"/>
                <w:color w:val="auto"/>
              </w:rPr>
            </w:pPr>
          </w:p>
        </w:tc>
        <w:tc>
          <w:tcPr>
            <w:tcW w:w="380" w:type="dxa"/>
            <w:vAlign w:val="bottom"/>
            <w:gridSpan w:val="4"/>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on</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Form S-1 filed on June 4, 2021)</w:t>
              </w:r>
            </w:hyperlink>
          </w:p>
        </w:tc>
        <w:tc>
          <w:tcPr>
            <w:tcW w:w="160" w:type="dxa"/>
            <w:vAlign w:val="bottom"/>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900" w:type="dxa"/>
            <w:vAlign w:val="bottom"/>
            <w:gridSpan w:val="12"/>
          </w:tcPr>
          <w:p>
            <w:pPr>
              <w:spacing w:after="0"/>
              <w:rPr>
                <w:rFonts w:ascii="Arial" w:cs="Arial" w:eastAsia="Arial" w:hAnsi="Arial"/>
                <w:sz w:val="18"/>
                <w:szCs w:val="18"/>
                <w:color w:val="0000EE"/>
              </w:rPr>
            </w:pPr>
            <w:hyperlink r:id="rId132">
              <w:r>
                <w:rPr>
                  <w:rFonts w:ascii="Arial" w:cs="Arial" w:eastAsia="Arial" w:hAnsi="Arial"/>
                  <w:sz w:val="18"/>
                  <w:szCs w:val="18"/>
                  <w:color w:val="0000EE"/>
                </w:rPr>
                <w:t>Warrant to Purchase Stock, dated as of July 21, 2015, issued by the Company to Silicon Valley</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4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gridSpan w:val="12"/>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Bank (incorporated by reference to Exhibit 4.6 to the Company’s Registration Statement on Form</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32">
              <w:r>
                <w:rPr>
                  <w:rFonts w:ascii="Arial" w:cs="Arial" w:eastAsia="Arial" w:hAnsi="Arial"/>
                  <w:sz w:val="18"/>
                  <w:szCs w:val="18"/>
                  <w:color w:val="0000EE"/>
                  <w:w w:val="97"/>
                </w:rPr>
                <w:t>S-1 filed on June 4, 2021)</w:t>
              </w:r>
            </w:hyperlink>
          </w:p>
        </w:tc>
        <w:tc>
          <w:tcPr>
            <w:tcW w:w="5640" w:type="dxa"/>
            <w:vAlign w:val="bottom"/>
            <w:tcBorders>
              <w:top w:val="single" w:sz="8" w:color="0000EE"/>
            </w:tcBorders>
            <w:gridSpan w:val="8"/>
          </w:tcPr>
          <w:p>
            <w:pPr>
              <w:spacing w:after="0"/>
              <w:rPr>
                <w:sz w:val="15"/>
                <w:szCs w:val="15"/>
                <w:color w:val="auto"/>
              </w:rPr>
            </w:pPr>
          </w:p>
        </w:tc>
        <w:tc>
          <w:tcPr>
            <w:tcW w:w="220" w:type="dxa"/>
            <w:vAlign w:val="bottom"/>
            <w:gridSpan w:val="3"/>
          </w:tcPr>
          <w:p>
            <w:pPr>
              <w:spacing w:after="0"/>
              <w:rPr>
                <w:sz w:val="15"/>
                <w:szCs w:val="15"/>
                <w:color w:val="auto"/>
              </w:rPr>
            </w:pPr>
          </w:p>
        </w:tc>
      </w:tr>
      <w:tr>
        <w:trPr>
          <w:trHeight w:val="64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60" w:type="dxa"/>
            <w:vAlign w:val="bottom"/>
            <w:gridSpan w:val="4"/>
          </w:tcPr>
          <w:p>
            <w:pPr>
              <w:jc w:val="right"/>
              <w:ind w:right="117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4.4*</w:t>
            </w:r>
          </w:p>
        </w:tc>
        <w:tc>
          <w:tcPr>
            <w:tcW w:w="7780" w:type="dxa"/>
            <w:vAlign w:val="bottom"/>
            <w:tcBorders>
              <w:bottom w:val="single" w:sz="8" w:color="0000EE"/>
            </w:tcBorders>
            <w:gridSpan w:val="19"/>
          </w:tcPr>
          <w:p>
            <w:pPr>
              <w:spacing w:after="0"/>
              <w:rPr>
                <w:rFonts w:ascii="Arial" w:cs="Arial" w:eastAsia="Arial" w:hAnsi="Arial"/>
                <w:sz w:val="18"/>
                <w:szCs w:val="18"/>
                <w:color w:val="0000EE"/>
              </w:rPr>
            </w:pPr>
            <w:hyperlink r:id="rId133">
              <w:r>
                <w:rPr>
                  <w:rFonts w:ascii="Arial" w:cs="Arial" w:eastAsia="Arial" w:hAnsi="Arial"/>
                  <w:sz w:val="18"/>
                  <w:szCs w:val="18"/>
                  <w:color w:val="0000EE"/>
                </w:rPr>
                <w:t>Warrant to Purchase Stock, dated as of May 31, 2016, issued by the Company to Oxford Finance</w:t>
              </w:r>
            </w:hyperlink>
          </w:p>
        </w:tc>
        <w:tc>
          <w:tcPr>
            <w:tcW w:w="160" w:type="dxa"/>
            <w:vAlign w:val="bottom"/>
            <w:gridSpan w:val="5"/>
          </w:tcPr>
          <w:p>
            <w:pPr>
              <w:spacing w:after="0"/>
              <w:rPr>
                <w:sz w:val="17"/>
                <w:szCs w:val="17"/>
                <w:color w:val="auto"/>
              </w:rPr>
            </w:pPr>
          </w:p>
        </w:tc>
      </w:tr>
      <w:tr>
        <w:trPr>
          <w:trHeight w:val="182"/>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LLC (incorporated by reference to Exhibit 4.7 to the Company’s Registration Statement on Form S-</w:t>
              </w:r>
            </w:hyperlink>
          </w:p>
        </w:tc>
      </w:tr>
      <w:tr>
        <w:trPr>
          <w:trHeight w:val="183"/>
        </w:trPr>
        <w:tc>
          <w:tcPr>
            <w:tcW w:w="980" w:type="dxa"/>
            <w:vAlign w:val="bottom"/>
          </w:tcPr>
          <w:p>
            <w:pPr>
              <w:spacing w:after="0"/>
              <w:rPr>
                <w:sz w:val="15"/>
                <w:szCs w:val="15"/>
                <w:color w:val="auto"/>
              </w:rPr>
            </w:pPr>
          </w:p>
        </w:tc>
        <w:tc>
          <w:tcPr>
            <w:tcW w:w="7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1 filed on June 4,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4.5*</w:t>
            </w:r>
          </w:p>
        </w:tc>
        <w:tc>
          <w:tcPr>
            <w:tcW w:w="7780" w:type="dxa"/>
            <w:vAlign w:val="bottom"/>
            <w:tcBorders>
              <w:bottom w:val="single" w:sz="8" w:color="0000EE"/>
            </w:tcBorders>
            <w:gridSpan w:val="19"/>
          </w:tcPr>
          <w:p>
            <w:pPr>
              <w:spacing w:after="0"/>
              <w:rPr>
                <w:rFonts w:ascii="Arial" w:cs="Arial" w:eastAsia="Arial" w:hAnsi="Arial"/>
                <w:sz w:val="18"/>
                <w:szCs w:val="18"/>
                <w:color w:val="0000EE"/>
              </w:rPr>
            </w:pPr>
            <w:hyperlink r:id="rId134">
              <w:r>
                <w:rPr>
                  <w:rFonts w:ascii="Arial" w:cs="Arial" w:eastAsia="Arial" w:hAnsi="Arial"/>
                  <w:sz w:val="18"/>
                  <w:szCs w:val="18"/>
                  <w:color w:val="0000EE"/>
                </w:rPr>
                <w:t>Warrant to Purchase Stock, dated as of May 31, 2016, issued by the Company to Oxford Finance</w:t>
              </w:r>
            </w:hyperlink>
          </w:p>
        </w:tc>
        <w:tc>
          <w:tcPr>
            <w:tcW w:w="160" w:type="dxa"/>
            <w:vAlign w:val="bottom"/>
            <w:gridSpan w:val="5"/>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LLC (incorporated by reference to Exhibit 4.8 to the Company’s Registration Statement on Form S-</w:t>
              </w:r>
            </w:hyperlink>
          </w:p>
        </w:tc>
      </w:tr>
      <w:tr>
        <w:trPr>
          <w:trHeight w:val="183"/>
        </w:trPr>
        <w:tc>
          <w:tcPr>
            <w:tcW w:w="980" w:type="dxa"/>
            <w:vAlign w:val="bottom"/>
          </w:tcPr>
          <w:p>
            <w:pPr>
              <w:spacing w:after="0"/>
              <w:rPr>
                <w:sz w:val="15"/>
                <w:szCs w:val="15"/>
                <w:color w:val="auto"/>
              </w:rPr>
            </w:pPr>
          </w:p>
        </w:tc>
        <w:tc>
          <w:tcPr>
            <w:tcW w:w="7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1 filed on June 4,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4.6*</w:t>
            </w:r>
          </w:p>
        </w:tc>
        <w:tc>
          <w:tcPr>
            <w:tcW w:w="7780" w:type="dxa"/>
            <w:vAlign w:val="bottom"/>
            <w:tcBorders>
              <w:bottom w:val="single" w:sz="8" w:color="0000EE"/>
            </w:tcBorders>
            <w:gridSpan w:val="19"/>
          </w:tcPr>
          <w:p>
            <w:pPr>
              <w:spacing w:after="0"/>
              <w:rPr>
                <w:rFonts w:ascii="Arial" w:cs="Arial" w:eastAsia="Arial" w:hAnsi="Arial"/>
                <w:sz w:val="18"/>
                <w:szCs w:val="18"/>
                <w:color w:val="0000EE"/>
              </w:rPr>
            </w:pPr>
            <w:hyperlink r:id="rId135">
              <w:r>
                <w:rPr>
                  <w:rFonts w:ascii="Arial" w:cs="Arial" w:eastAsia="Arial" w:hAnsi="Arial"/>
                  <w:sz w:val="18"/>
                  <w:szCs w:val="18"/>
                  <w:color w:val="0000EE"/>
                </w:rPr>
                <w:t>Warrant to Purchase Stock, dated as of May 31, 2016, issued by the Company to Oxford Finance</w:t>
              </w:r>
            </w:hyperlink>
          </w:p>
        </w:tc>
        <w:tc>
          <w:tcPr>
            <w:tcW w:w="160" w:type="dxa"/>
            <w:vAlign w:val="bottom"/>
            <w:gridSpan w:val="5"/>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LLC (incorporated by reference to Exhibit 4.9 to the Company’s Registration Statement on Form S-</w:t>
              </w:r>
            </w:hyperlink>
          </w:p>
        </w:tc>
      </w:tr>
      <w:tr>
        <w:trPr>
          <w:trHeight w:val="183"/>
        </w:trPr>
        <w:tc>
          <w:tcPr>
            <w:tcW w:w="980" w:type="dxa"/>
            <w:vAlign w:val="bottom"/>
          </w:tcPr>
          <w:p>
            <w:pPr>
              <w:spacing w:after="0"/>
              <w:rPr>
                <w:sz w:val="15"/>
                <w:szCs w:val="15"/>
                <w:color w:val="auto"/>
              </w:rPr>
            </w:pPr>
          </w:p>
        </w:tc>
        <w:tc>
          <w:tcPr>
            <w:tcW w:w="7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1 filed on June 4,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4.7*</w:t>
            </w:r>
          </w:p>
        </w:tc>
        <w:tc>
          <w:tcPr>
            <w:tcW w:w="7940" w:type="dxa"/>
            <w:vAlign w:val="bottom"/>
            <w:gridSpan w:val="24"/>
          </w:tcPr>
          <w:p>
            <w:pPr>
              <w:spacing w:after="0"/>
              <w:rPr>
                <w:rFonts w:ascii="Arial" w:cs="Arial" w:eastAsia="Arial" w:hAnsi="Arial"/>
                <w:sz w:val="18"/>
                <w:szCs w:val="18"/>
                <w:color w:val="0000EE"/>
              </w:rPr>
            </w:pPr>
            <w:hyperlink r:id="rId136">
              <w:r>
                <w:rPr>
                  <w:rFonts w:ascii="Arial" w:cs="Arial" w:eastAsia="Arial" w:hAnsi="Arial"/>
                  <w:sz w:val="18"/>
                  <w:szCs w:val="18"/>
                  <w:color w:val="0000EE"/>
                </w:rPr>
                <w:t>Warrant to Purchase Stock, dated as of May 31, 2016, issued by the Company to Oxford Finance</w:t>
              </w:r>
            </w:hyperlink>
          </w:p>
        </w:tc>
      </w:tr>
      <w:tr>
        <w:trPr>
          <w:trHeight w:val="183"/>
        </w:trPr>
        <w:tc>
          <w:tcPr>
            <w:tcW w:w="980" w:type="dxa"/>
            <w:vAlign w:val="bottom"/>
          </w:tcPr>
          <w:p>
            <w:pPr>
              <w:spacing w:after="0"/>
              <w:rPr>
                <w:sz w:val="15"/>
                <w:szCs w:val="15"/>
                <w:color w:val="auto"/>
              </w:rPr>
            </w:pPr>
          </w:p>
        </w:tc>
        <w:tc>
          <w:tcPr>
            <w:tcW w:w="77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LLC (incorporated by reference to Exhibit 4.10 to the Company’s Registration Statement on Form</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7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S-1 filed on June 4, 2021)</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4.8</w:t>
            </w:r>
          </w:p>
        </w:tc>
        <w:tc>
          <w:tcPr>
            <w:tcW w:w="7520" w:type="dxa"/>
            <w:vAlign w:val="bottom"/>
            <w:tcBorders>
              <w:bottom w:val="single" w:sz="8" w:color="0000EE"/>
            </w:tcBorders>
            <w:gridSpan w:val="13"/>
          </w:tcPr>
          <w:p>
            <w:pPr>
              <w:spacing w:after="0"/>
              <w:rPr>
                <w:rFonts w:ascii="Arial" w:cs="Arial" w:eastAsia="Arial" w:hAnsi="Arial"/>
                <w:sz w:val="18"/>
                <w:szCs w:val="18"/>
                <w:color w:val="0000EE"/>
              </w:rPr>
            </w:pPr>
            <w:hyperlink r:id="rId137">
              <w:r>
                <w:rPr>
                  <w:rFonts w:ascii="Arial" w:cs="Arial" w:eastAsia="Arial" w:hAnsi="Arial"/>
                  <w:sz w:val="18"/>
                  <w:szCs w:val="18"/>
                  <w:color w:val="0000EE"/>
                </w:rPr>
                <w:t>Warrant to Purchase Shares of Series G Preferred Stock (Loan A), dated as of September 30,</w:t>
              </w:r>
            </w:hyperlink>
          </w:p>
        </w:tc>
        <w:tc>
          <w:tcPr>
            <w:tcW w:w="420" w:type="dxa"/>
            <w:vAlign w:val="bottom"/>
            <w:gridSpan w:val="11"/>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Credit II LLC on February 6, 2020 (incorporated by reference to Exhibit 4.13 to the Company’s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Registration Statement on Form S-1 filed on June 4,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4.9</w:t>
            </w:r>
          </w:p>
        </w:tc>
        <w:tc>
          <w:tcPr>
            <w:tcW w:w="7540" w:type="dxa"/>
            <w:vAlign w:val="bottom"/>
            <w:tcBorders>
              <w:bottom w:val="single" w:sz="8" w:color="0000EE"/>
            </w:tcBorders>
            <w:gridSpan w:val="14"/>
          </w:tcPr>
          <w:p>
            <w:pPr>
              <w:spacing w:after="0"/>
              <w:rPr>
                <w:rFonts w:ascii="Arial" w:cs="Arial" w:eastAsia="Arial" w:hAnsi="Arial"/>
                <w:sz w:val="18"/>
                <w:szCs w:val="18"/>
                <w:color w:val="0000EE"/>
              </w:rPr>
            </w:pPr>
            <w:hyperlink r:id="rId138">
              <w:r>
                <w:rPr>
                  <w:rFonts w:ascii="Arial" w:cs="Arial" w:eastAsia="Arial" w:hAnsi="Arial"/>
                  <w:sz w:val="18"/>
                  <w:szCs w:val="18"/>
                  <w:color w:val="0000EE"/>
                </w:rPr>
                <w:t>Warrant to Purchase Shares of Series G Preferred Stock (Loan B), dated as of September 30,</w:t>
              </w:r>
            </w:hyperlink>
          </w:p>
        </w:tc>
        <w:tc>
          <w:tcPr>
            <w:tcW w:w="400" w:type="dxa"/>
            <w:vAlign w:val="bottom"/>
            <w:gridSpan w:val="10"/>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Credit II LLC on February 6, 2020 (incorporated by reference to Exhibit 4.14 to the Company’s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Registration Statement on Form S-1 filed on June 4,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4.10</w:t>
            </w:r>
          </w:p>
        </w:tc>
        <w:tc>
          <w:tcPr>
            <w:tcW w:w="7540" w:type="dxa"/>
            <w:vAlign w:val="bottom"/>
            <w:tcBorders>
              <w:bottom w:val="single" w:sz="8" w:color="0000EE"/>
            </w:tcBorders>
            <w:gridSpan w:val="14"/>
          </w:tcPr>
          <w:p>
            <w:pPr>
              <w:spacing w:after="0"/>
              <w:rPr>
                <w:rFonts w:ascii="Arial" w:cs="Arial" w:eastAsia="Arial" w:hAnsi="Arial"/>
                <w:sz w:val="18"/>
                <w:szCs w:val="18"/>
                <w:color w:val="0000EE"/>
              </w:rPr>
            </w:pPr>
            <w:hyperlink r:id="rId139">
              <w:r>
                <w:rPr>
                  <w:rFonts w:ascii="Arial" w:cs="Arial" w:eastAsia="Arial" w:hAnsi="Arial"/>
                  <w:sz w:val="18"/>
                  <w:szCs w:val="18"/>
                  <w:color w:val="0000EE"/>
                </w:rPr>
                <w:t>Warrant to Purchase Shares of Series G Preferred Stock (Loan C), dated as of September 30,</w:t>
              </w:r>
            </w:hyperlink>
          </w:p>
        </w:tc>
        <w:tc>
          <w:tcPr>
            <w:tcW w:w="400" w:type="dxa"/>
            <w:vAlign w:val="bottom"/>
            <w:gridSpan w:val="10"/>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8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Funding Trust 2019-1 on February 18, 2020 (incorporated by reference to Exhibit 4.15 to the</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39">
              <w:r>
                <w:rPr>
                  <w:rFonts w:ascii="Arial" w:cs="Arial" w:eastAsia="Arial" w:hAnsi="Arial"/>
                  <w:sz w:val="18"/>
                  <w:szCs w:val="18"/>
                  <w:color w:val="0000EE"/>
                  <w:w w:val="99"/>
                </w:rPr>
                <w:t>Company’s Registration Statement on Form S-1 filed on June 4, 2021)</w:t>
              </w:r>
            </w:hyperlink>
          </w:p>
        </w:tc>
        <w:tc>
          <w:tcPr>
            <w:tcW w:w="172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4.11</w:t>
            </w:r>
          </w:p>
        </w:tc>
        <w:tc>
          <w:tcPr>
            <w:tcW w:w="7540" w:type="dxa"/>
            <w:vAlign w:val="bottom"/>
            <w:tcBorders>
              <w:bottom w:val="single" w:sz="8" w:color="0000EE"/>
            </w:tcBorders>
            <w:gridSpan w:val="14"/>
          </w:tcPr>
          <w:p>
            <w:pPr>
              <w:spacing w:after="0"/>
              <w:rPr>
                <w:rFonts w:ascii="Arial" w:cs="Arial" w:eastAsia="Arial" w:hAnsi="Arial"/>
                <w:sz w:val="18"/>
                <w:szCs w:val="18"/>
                <w:color w:val="0000EE"/>
              </w:rPr>
            </w:pPr>
            <w:hyperlink r:id="rId140">
              <w:r>
                <w:rPr>
                  <w:rFonts w:ascii="Arial" w:cs="Arial" w:eastAsia="Arial" w:hAnsi="Arial"/>
                  <w:sz w:val="18"/>
                  <w:szCs w:val="18"/>
                  <w:color w:val="0000EE"/>
                </w:rPr>
                <w:t>Warrant to Purchase Shares of Series G Preferred Stock (Loan D), dated as of September 30,</w:t>
              </w:r>
            </w:hyperlink>
          </w:p>
        </w:tc>
        <w:tc>
          <w:tcPr>
            <w:tcW w:w="400" w:type="dxa"/>
            <w:vAlign w:val="bottom"/>
            <w:gridSpan w:val="10"/>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2019, issued by the Company to Horizon Technology Finance Corporation as assigned to Horizon</w:t>
              </w:r>
            </w:hyperlink>
          </w:p>
        </w:tc>
      </w:tr>
      <w:tr>
        <w:trPr>
          <w:trHeight w:val="183"/>
        </w:trPr>
        <w:tc>
          <w:tcPr>
            <w:tcW w:w="980" w:type="dxa"/>
            <w:vAlign w:val="bottom"/>
          </w:tcPr>
          <w:p>
            <w:pPr>
              <w:spacing w:after="0"/>
              <w:rPr>
                <w:sz w:val="15"/>
                <w:szCs w:val="15"/>
                <w:color w:val="auto"/>
              </w:rPr>
            </w:pPr>
          </w:p>
        </w:tc>
        <w:tc>
          <w:tcPr>
            <w:tcW w:w="77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Funding Trust 2019-1 on February 18, 2020 (incorporated by reference to Exhibit 4.16 to the</w:t>
              </w:r>
            </w:hyperlink>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Company’s Registration Statement on Form S-1 filed on June 4, 2021)</w:t>
              </w:r>
            </w:hyperlink>
          </w:p>
        </w:tc>
        <w:tc>
          <w:tcPr>
            <w:tcW w:w="172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4.12</w:t>
            </w:r>
          </w:p>
        </w:tc>
        <w:tc>
          <w:tcPr>
            <w:tcW w:w="7940" w:type="dxa"/>
            <w:vAlign w:val="bottom"/>
            <w:gridSpan w:val="24"/>
          </w:tcPr>
          <w:p>
            <w:pPr>
              <w:spacing w:after="0"/>
              <w:rPr>
                <w:rFonts w:ascii="Arial" w:cs="Arial" w:eastAsia="Arial" w:hAnsi="Arial"/>
                <w:sz w:val="18"/>
                <w:szCs w:val="18"/>
                <w:color w:val="0000EE"/>
              </w:rPr>
            </w:pPr>
            <w:hyperlink r:id="rId141">
              <w:r>
                <w:rPr>
                  <w:rFonts w:ascii="Arial" w:cs="Arial" w:eastAsia="Arial" w:hAnsi="Arial"/>
                  <w:sz w:val="18"/>
                  <w:szCs w:val="18"/>
                  <w:color w:val="0000EE"/>
                </w:rPr>
                <w:t>Description of the Company’s Common Stock (incorporated by reference to Exhibit 4.16 to the</w:t>
              </w:r>
            </w:hyperlink>
          </w:p>
        </w:tc>
      </w:tr>
      <w:tr>
        <w:trPr>
          <w:trHeight w:val="183"/>
        </w:trPr>
        <w:tc>
          <w:tcPr>
            <w:tcW w:w="98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Company’s Annual Report on Form 10-K filed on February 22, 2022)</w:t>
              </w:r>
            </w:hyperlink>
          </w:p>
        </w:tc>
        <w:tc>
          <w:tcPr>
            <w:tcW w:w="20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7940" w:type="dxa"/>
            <w:vAlign w:val="bottom"/>
            <w:gridSpan w:val="2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Lease, dated October 13, 2008, by and between the Company and Duke Realty Limited</w:t>
              </w:r>
            </w:hyperlink>
          </w:p>
        </w:tc>
      </w:tr>
      <w:tr>
        <w:trPr>
          <w:trHeight w:val="183"/>
        </w:trPr>
        <w:tc>
          <w:tcPr>
            <w:tcW w:w="980" w:type="dxa"/>
            <w:vAlign w:val="bottom"/>
          </w:tcPr>
          <w:p>
            <w:pPr>
              <w:spacing w:after="0"/>
              <w:rPr>
                <w:sz w:val="15"/>
                <w:szCs w:val="15"/>
                <w:color w:val="auto"/>
              </w:rPr>
            </w:pPr>
          </w:p>
        </w:tc>
        <w:tc>
          <w:tcPr>
            <w:tcW w:w="69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Partnership (incorporated by reference to Exhibit 10.1 to the Company’s Registration</w:t>
              </w:r>
            </w:hyperlink>
          </w:p>
        </w:tc>
        <w:tc>
          <w:tcPr>
            <w:tcW w:w="960" w:type="dxa"/>
            <w:vAlign w:val="bottom"/>
            <w:gridSpan w:val="16"/>
          </w:tcPr>
          <w:p>
            <w:pPr>
              <w:spacing w:after="0" w:line="182"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Statement on</w:t>
              </w:r>
            </w:hyperlink>
          </w:p>
        </w:tc>
      </w:tr>
      <w:tr>
        <w:trPr>
          <w:trHeight w:val="183"/>
        </w:trPr>
        <w:tc>
          <w:tcPr>
            <w:tcW w:w="980" w:type="dxa"/>
            <w:vAlign w:val="bottom"/>
          </w:tcPr>
          <w:p>
            <w:pPr>
              <w:spacing w:after="0"/>
              <w:rPr>
                <w:sz w:val="15"/>
                <w:szCs w:val="15"/>
                <w:color w:val="auto"/>
              </w:rPr>
            </w:pPr>
          </w:p>
        </w:tc>
        <w:tc>
          <w:tcPr>
            <w:tcW w:w="78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Form S-1/A filed on June 23, 2021)</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7940" w:type="dxa"/>
            <w:vAlign w:val="bottom"/>
            <w:gridSpan w:val="2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First Lease Amendment, dated November 30, 2010, by and between the Company and Duke</w:t>
              </w:r>
            </w:hyperlink>
          </w:p>
        </w:tc>
      </w:tr>
      <w:tr>
        <w:trPr>
          <w:trHeight w:val="20"/>
        </w:trPr>
        <w:tc>
          <w:tcPr>
            <w:tcW w:w="980" w:type="dxa"/>
            <w:vAlign w:val="bottom"/>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Realty Limited Partnership (incorporated by reference to Exhibit 10.2 to the Company’s Registration</w:t>
              </w:r>
            </w:hyperlink>
          </w:p>
        </w:tc>
      </w:tr>
      <w:tr>
        <w:trPr>
          <w:trHeight w:val="183"/>
        </w:trPr>
        <w:tc>
          <w:tcPr>
            <w:tcW w:w="980" w:type="dxa"/>
            <w:vAlign w:val="bottom"/>
          </w:tcPr>
          <w:p>
            <w:pPr>
              <w:spacing w:after="0"/>
              <w:rPr>
                <w:sz w:val="15"/>
                <w:szCs w:val="15"/>
                <w:color w:val="auto"/>
              </w:rPr>
            </w:pPr>
          </w:p>
        </w:tc>
        <w:tc>
          <w:tcPr>
            <w:tcW w:w="79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Statement on Form S-1/A filed on June 23, 2021)</w:t>
              </w:r>
            </w:hyperlink>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7500" w:type="dxa"/>
            <w:vAlign w:val="bottom"/>
            <w:tcBorders>
              <w:bottom w:val="single" w:sz="8" w:color="0000EE"/>
            </w:tcBorders>
            <w:gridSpan w:val="12"/>
          </w:tcPr>
          <w:p>
            <w:pPr>
              <w:spacing w:after="0"/>
              <w:rPr>
                <w:rFonts w:ascii="Arial" w:cs="Arial" w:eastAsia="Arial" w:hAnsi="Arial"/>
                <w:sz w:val="18"/>
                <w:szCs w:val="18"/>
                <w:color w:val="0000EE"/>
              </w:rPr>
            </w:pPr>
            <w:hyperlink r:id="rId144">
              <w:r>
                <w:rPr>
                  <w:rFonts w:ascii="Arial" w:cs="Arial" w:eastAsia="Arial" w:hAnsi="Arial"/>
                  <w:sz w:val="18"/>
                  <w:szCs w:val="18"/>
                  <w:color w:val="0000EE"/>
                </w:rPr>
                <w:t>Second Lease Amendment, dated October 22, 2012, by and between the Company and Duke</w:t>
              </w:r>
            </w:hyperlink>
          </w:p>
        </w:tc>
        <w:tc>
          <w:tcPr>
            <w:tcW w:w="440" w:type="dxa"/>
            <w:vAlign w:val="bottom"/>
            <w:gridSpan w:val="12"/>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7940" w:type="dxa"/>
            <w:vAlign w:val="bottom"/>
            <w:gridSpan w:val="24"/>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Realty Limited Partnership (incorporated by reference to Exhibit 10.3 to the Company’s Registration</w:t>
              </w:r>
            </w:hyperlink>
          </w:p>
        </w:tc>
      </w:tr>
      <w:tr>
        <w:trPr>
          <w:trHeight w:val="183"/>
        </w:trPr>
        <w:tc>
          <w:tcPr>
            <w:tcW w:w="980" w:type="dxa"/>
            <w:vAlign w:val="bottom"/>
          </w:tcPr>
          <w:p>
            <w:pPr>
              <w:spacing w:after="0"/>
              <w:rPr>
                <w:sz w:val="15"/>
                <w:szCs w:val="15"/>
                <w:color w:val="auto"/>
              </w:rPr>
            </w:pPr>
          </w:p>
        </w:tc>
        <w:tc>
          <w:tcPr>
            <w:tcW w:w="79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Statement on Form S-1/A filed on June 23, 2021)</w:t>
              </w:r>
            </w:hyperlink>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7940" w:type="dxa"/>
            <w:vAlign w:val="bottom"/>
            <w:gridSpan w:val="24"/>
          </w:tcPr>
          <w:p>
            <w:pPr>
              <w:spacing w:after="0"/>
              <w:rPr>
                <w:rFonts w:ascii="Arial" w:cs="Arial" w:eastAsia="Arial" w:hAnsi="Arial"/>
                <w:sz w:val="18"/>
                <w:szCs w:val="18"/>
                <w:color w:val="0000EE"/>
              </w:rPr>
            </w:pPr>
            <w:hyperlink r:id="rId145">
              <w:r>
                <w:rPr>
                  <w:rFonts w:ascii="Arial" w:cs="Arial" w:eastAsia="Arial" w:hAnsi="Arial"/>
                  <w:sz w:val="18"/>
                  <w:szCs w:val="18"/>
                  <w:color w:val="0000EE"/>
                </w:rPr>
                <w:t>Lease Amending Agreement No. 3, dated April 21, 2016, by and between the Company and AX</w:t>
              </w:r>
            </w:hyperlink>
          </w:p>
        </w:tc>
      </w:tr>
      <w:tr>
        <w:trPr>
          <w:trHeight w:val="183"/>
        </w:trPr>
        <w:tc>
          <w:tcPr>
            <w:tcW w:w="980" w:type="dxa"/>
            <w:vAlign w:val="bottom"/>
          </w:tcPr>
          <w:p>
            <w:pPr>
              <w:spacing w:after="0"/>
              <w:rPr>
                <w:sz w:val="15"/>
                <w:szCs w:val="15"/>
                <w:color w:val="auto"/>
              </w:rPr>
            </w:pPr>
          </w:p>
        </w:tc>
        <w:tc>
          <w:tcPr>
            <w:tcW w:w="7600" w:type="dxa"/>
            <w:vAlign w:val="bottom"/>
            <w:tcBorders>
              <w:top w:val="single" w:sz="8" w:color="0000EE"/>
            </w:tcBorders>
            <w:gridSpan w:val="16"/>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CROSSTOWN VI L.P. (incorporated by reference to Exhibit 10.4 to the Company’s Registration</w:t>
              </w:r>
            </w:hyperlink>
          </w:p>
        </w:tc>
        <w:tc>
          <w:tcPr>
            <w:tcW w:w="340" w:type="dxa"/>
            <w:vAlign w:val="bottom"/>
            <w:gridSpan w:val="8"/>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75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Statement on Form S-1/A filed on June 23, 2021)</w:t>
              </w:r>
            </w:hyperlink>
          </w:p>
        </w:tc>
        <w:tc>
          <w:tcPr>
            <w:tcW w:w="380" w:type="dxa"/>
            <w:vAlign w:val="bottom"/>
            <w:gridSpan w:val="9"/>
          </w:tcPr>
          <w:p>
            <w:pPr>
              <w:spacing w:after="0"/>
              <w:rPr>
                <w:sz w:val="15"/>
                <w:szCs w:val="15"/>
                <w:color w:val="auto"/>
              </w:rPr>
            </w:pPr>
          </w:p>
        </w:tc>
      </w:tr>
      <w:tr>
        <w:trPr>
          <w:trHeight w:val="645"/>
        </w:trPr>
        <w:tc>
          <w:tcPr>
            <w:tcW w:w="980" w:type="dxa"/>
            <w:vAlign w:val="bottom"/>
          </w:tcPr>
          <w:p>
            <w:pPr>
              <w:spacing w:after="0"/>
              <w:rPr>
                <w:sz w:val="24"/>
                <w:szCs w:val="24"/>
                <w:color w:val="auto"/>
              </w:rPr>
            </w:pPr>
          </w:p>
        </w:tc>
        <w:tc>
          <w:tcPr>
            <w:tcW w:w="3920" w:type="dxa"/>
            <w:vAlign w:val="bottom"/>
            <w:tcBorders>
              <w:top w:val="single" w:sz="8" w:color="0000EE"/>
            </w:tcBorders>
            <w:gridSpan w:val="4"/>
          </w:tcPr>
          <w:p>
            <w:pPr>
              <w:ind w:left="334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020" w:right="4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6">
        <w:r>
          <w:rPr>
            <w:rFonts w:ascii="Arial" w:cs="Arial" w:eastAsia="Arial" w:hAnsi="Arial"/>
            <w:sz w:val="18"/>
            <w:szCs w:val="18"/>
            <w:u w:val="single" w:color="auto"/>
            <w:color w:val="0000EE"/>
          </w:rPr>
          <w:t>Lease Amending Agreement No. 4, dated May 18, 2020, by and between the Company and AX</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CROSSTOWN VI L.P. (incorporated by reference to Exhibit 10.5 to the Company’s Registration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Statement on Form S-1/A filed on June 23, 2021)</w:t>
        </w:r>
      </w:hyperlink>
    </w:p>
    <w:p>
      <w:pPr>
        <w:spacing w:after="0" w:line="155" w:lineRule="exact"/>
        <w:rPr>
          <w:rFonts w:ascii="Arial" w:cs="Arial" w:eastAsia="Arial" w:hAnsi="Arial"/>
          <w:sz w:val="18"/>
          <w:szCs w:val="18"/>
          <w:u w:val="single" w:color="auto"/>
          <w:color w:val="0000EE"/>
        </w:rPr>
      </w:pPr>
    </w:p>
    <w:p>
      <w:pPr>
        <w:jc w:val="both"/>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7">
        <w:r>
          <w:rPr>
            <w:rFonts w:ascii="Arial" w:cs="Arial" w:eastAsia="Arial" w:hAnsi="Arial"/>
            <w:sz w:val="18"/>
            <w:szCs w:val="18"/>
            <w:u w:val="single" w:color="auto"/>
            <w:color w:val="0000EE"/>
          </w:rPr>
          <w:t>Fifth Amendment to Lease, dated April 21, 2023, by and between the Company and TCI TT, LLC</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(incorporated by reference to Exhibit 10.1 to the Company’s Quarterly Report on Form 10-Q filed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on May 11, 2023)</w:t>
        </w:r>
      </w:hyperlink>
    </w:p>
    <w:p>
      <w:pPr>
        <w:spacing w:after="0" w:line="155" w:lineRule="exact"/>
        <w:rPr>
          <w:rFonts w:ascii="Arial" w:cs="Arial" w:eastAsia="Arial" w:hAnsi="Arial"/>
          <w:sz w:val="18"/>
          <w:szCs w:val="18"/>
          <w:u w:val="single" w:color="auto"/>
          <w:color w:val="0000EE"/>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8">
        <w:r>
          <w:rPr>
            <w:rFonts w:ascii="Arial" w:cs="Arial" w:eastAsia="Arial" w:hAnsi="Arial"/>
            <w:sz w:val="18"/>
            <w:szCs w:val="18"/>
            <w:u w:val="single" w:color="auto"/>
            <w:color w:val="0000EE"/>
          </w:rPr>
          <w:t>Sixth Amendment to Lease, dated November 7, 2023 by and between the Company and TCI TT,</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LLC (incorporated by reference to Exhibit 10.7 to the Company’s Annual Report on Form 10-K filed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on February 9, 2024)</w:t>
        </w:r>
      </w:hyperlink>
    </w:p>
    <w:p>
      <w:pPr>
        <w:spacing w:after="0" w:line="155" w:lineRule="exact"/>
        <w:rPr>
          <w:rFonts w:ascii="Arial" w:cs="Arial" w:eastAsia="Arial" w:hAnsi="Arial"/>
          <w:sz w:val="18"/>
          <w:szCs w:val="18"/>
          <w:u w:val="single" w:color="auto"/>
          <w:color w:val="0000EE"/>
        </w:rPr>
      </w:pPr>
    </w:p>
    <w:p>
      <w:pPr>
        <w:ind w:left="1020" w:right="1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49">
        <w:r>
          <w:rPr>
            <w:rFonts w:ascii="Arial" w:cs="Arial" w:eastAsia="Arial" w:hAnsi="Arial"/>
            <w:sz w:val="18"/>
            <w:szCs w:val="18"/>
            <w:u w:val="single" w:color="auto"/>
            <w:color w:val="0000EE"/>
          </w:rPr>
          <w:t>Eighth Amended and Restated Investors’ Rights Agreement, dated July 1, 2020, by and among the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Company and the holders listed therein (incorporated by reference to Exhibit 10.7 to the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Company’s Registration Statement on Form S-1/A filed on June 23, 2021)</w:t>
        </w:r>
      </w:hyperlink>
    </w:p>
    <w:p>
      <w:pPr>
        <w:spacing w:after="0" w:line="155" w:lineRule="exact"/>
        <w:rPr>
          <w:rFonts w:ascii="Arial" w:cs="Arial" w:eastAsia="Arial" w:hAnsi="Arial"/>
          <w:sz w:val="18"/>
          <w:szCs w:val="18"/>
          <w:u w:val="single" w:color="auto"/>
          <w:color w:val="0000EE"/>
        </w:rPr>
      </w:pPr>
    </w:p>
    <w:p>
      <w:pPr>
        <w:ind w:left="1020" w:right="2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50">
        <w:r>
          <w:rPr>
            <w:rFonts w:ascii="Arial" w:cs="Arial" w:eastAsia="Arial" w:hAnsi="Arial"/>
            <w:sz w:val="18"/>
            <w:szCs w:val="18"/>
            <w:u w:val="single" w:color="auto"/>
            <w:color w:val="0000EE"/>
          </w:rPr>
          <w:t>2001 Stock Incentive Plan, as amended and restated (incorporated by reference to Exhibit 10.8 to</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the Company’s 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51">
        <w:r>
          <w:rPr>
            <w:rFonts w:ascii="Arial" w:cs="Arial" w:eastAsia="Arial" w:hAnsi="Arial"/>
            <w:sz w:val="18"/>
            <w:szCs w:val="18"/>
            <w:u w:val="single" w:color="auto"/>
            <w:color w:val="0000EE"/>
          </w:rPr>
          <w:t>Form of Stock Option Agreement (Employees/Officers) pursuant to 2001 Stock Incentive Plan</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(incorporated by reference to Exhibit 10.2 to the Company’s Registration Statement on Form S-8</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5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52">
        <w:r>
          <w:rPr>
            <w:rFonts w:ascii="Arial" w:cs="Arial" w:eastAsia="Arial" w:hAnsi="Arial"/>
            <w:sz w:val="18"/>
            <w:szCs w:val="18"/>
            <w:u w:val="single" w:color="auto"/>
            <w:color w:val="0000EE"/>
          </w:rPr>
          <w:t>Form of Stock Option Agreement (Non-Employee Directors) pursuant to 2001 Stock Incentive Plan</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(incorporated by reference to Exhibit 10.3 to the Company’s Registration Statement on Form S-8</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05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53">
        <w:r>
          <w:rPr>
            <w:rFonts w:ascii="Arial" w:cs="Arial" w:eastAsia="Arial" w:hAnsi="Arial"/>
            <w:sz w:val="18"/>
            <w:szCs w:val="18"/>
            <w:u w:val="single" w:color="auto"/>
            <w:color w:val="0000EE"/>
          </w:rPr>
          <w:t>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54">
        <w:r>
          <w:rPr>
            <w:rFonts w:ascii="Arial" w:cs="Arial" w:eastAsia="Arial" w:hAnsi="Arial"/>
            <w:sz w:val="18"/>
            <w:szCs w:val="18"/>
            <w:u w:val="single" w:color="auto"/>
            <w:color w:val="0000EE"/>
          </w:rPr>
          <w:t>Form of Stock Option Agreement (Employees/Officers) pursuant to 2021 Equity Incentive Plan</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(incorporated by reference to Exhibit 10.5 to the Company’s Registration Statement on Form S-8</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9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55">
        <w:r>
          <w:rPr>
            <w:rFonts w:ascii="Arial" w:cs="Arial" w:eastAsia="Arial" w:hAnsi="Arial"/>
            <w:sz w:val="18"/>
            <w:szCs w:val="18"/>
            <w:u w:val="single" w:color="auto"/>
            <w:color w:val="0000EE"/>
          </w:rPr>
          <w:t>Form of Stock Option Agreement (Non-Employee Directors) pursuant to 2021 Equity Incentive Plan</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(incorporated by reference to Exhibit 10.6 to the Company’s Registration Statement on Form S-8</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7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56">
        <w:r>
          <w:rPr>
            <w:rFonts w:ascii="Arial" w:cs="Arial" w:eastAsia="Arial" w:hAnsi="Arial"/>
            <w:sz w:val="18"/>
            <w:szCs w:val="18"/>
            <w:u w:val="single" w:color="auto"/>
            <w:color w:val="0000EE"/>
          </w:rPr>
          <w:t>Form of Non-Plan Stock Option Agreement (incorporated by reference to Exhibit 10.7 to the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Company’s Registration Statement on Form S-8 filed on July 1, 2021)</w:t>
        </w:r>
      </w:hyperlink>
    </w:p>
    <w:p>
      <w:pPr>
        <w:spacing w:after="0" w:line="140" w:lineRule="exact"/>
        <w:rPr>
          <w:sz w:val="20"/>
          <w:szCs w:val="20"/>
          <w:color w:val="auto"/>
        </w:rPr>
      </w:pPr>
    </w:p>
    <w:p>
      <w:pPr>
        <w:ind w:left="1020" w:right="57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57">
        <w:r>
          <w:rPr>
            <w:rFonts w:ascii="Arial" w:cs="Arial" w:eastAsia="Arial" w:hAnsi="Arial"/>
            <w:sz w:val="18"/>
            <w:szCs w:val="18"/>
            <w:u w:val="single" w:color="auto"/>
            <w:color w:val="0000EE"/>
          </w:rPr>
          <w:t>Employee Stock Purchase Plan (incorporated by reference to Exhibit 10.14 to the Company’s</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Annual Report on Form 10-K filed on February 22, 2022)</w:t>
        </w:r>
      </w:hyperlink>
    </w:p>
    <w:p>
      <w:pPr>
        <w:spacing w:after="0" w:line="140" w:lineRule="exact"/>
        <w:rPr>
          <w:sz w:val="20"/>
          <w:szCs w:val="20"/>
          <w:color w:val="auto"/>
        </w:rPr>
      </w:pPr>
    </w:p>
    <w:p>
      <w:pPr>
        <w:ind w:left="1020" w:right="33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58">
        <w:r>
          <w:rPr>
            <w:rFonts w:ascii="Arial" w:cs="Arial" w:eastAsia="Arial" w:hAnsi="Arial"/>
            <w:sz w:val="18"/>
            <w:szCs w:val="18"/>
            <w:u w:val="single" w:color="auto"/>
            <w:color w:val="0000EE"/>
          </w:rPr>
          <w:t>Form of Executive Officer Employment Agreement (incorporated by reference to Exhibit 10.12 to</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the Company’s 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9">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(incorporated by reference to Exhibit 10.13 to the Company’s Registration Statement on Form S-</w:t>
        </w:r>
      </w:hyperlink>
      <w:hyperlink r:id="rId159">
        <w:r>
          <w:rPr>
            <w:rFonts w:ascii="Arial" w:cs="Arial" w:eastAsia="Arial" w:hAnsi="Arial"/>
            <w:sz w:val="18"/>
            <w:szCs w:val="18"/>
            <w:u w:val="single" w:color="auto"/>
            <w:color w:val="0000EE"/>
          </w:rPr>
          <w:t>1/A filed on June 23, 2021)</w:t>
        </w:r>
      </w:hyperlink>
    </w:p>
    <w:p>
      <w:pPr>
        <w:spacing w:after="0" w:line="155" w:lineRule="exact"/>
        <w:rPr>
          <w:rFonts w:ascii="Arial" w:cs="Arial" w:eastAsia="Arial" w:hAnsi="Arial"/>
          <w:sz w:val="18"/>
          <w:szCs w:val="18"/>
          <w:u w:val="single" w:color="auto"/>
          <w:color w:val="0000EE"/>
        </w:rPr>
      </w:pPr>
    </w:p>
    <w:p>
      <w:pPr>
        <w:ind w:left="1020" w:right="219" w:hanging="957"/>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60">
        <w:r>
          <w:rPr>
            <w:rFonts w:ascii="Arial" w:cs="Arial" w:eastAsia="Arial" w:hAnsi="Arial"/>
            <w:sz w:val="18"/>
            <w:szCs w:val="18"/>
            <w:u w:val="single" w:color="auto"/>
            <w:color w:val="0000EE"/>
          </w:rPr>
          <w:t>Loan and Security Agreement, dated as of October 31, 2022, among the Company, Innovatus Life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Sciences Fund I, LP, as the collateral agent and a lender, and the other lenders from time to time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party thereto (incorporated by reference to Exhibit 10.1 to the Company’s Current Report on Form</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8-K filed on November 1, 2022)</w:t>
        </w:r>
      </w:hyperlink>
    </w:p>
    <w:p>
      <w:pPr>
        <w:spacing w:after="0" w:line="17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right="25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62">
        <w:r>
          <w:rPr>
            <w:rFonts w:ascii="Arial" w:cs="Arial" w:eastAsia="Arial" w:hAnsi="Arial"/>
            <w:sz w:val="18"/>
            <w:szCs w:val="18"/>
            <w:u w:val="single" w:color="auto"/>
            <w:color w:val="0000EE"/>
          </w:rPr>
          <w:t>Equity Distribution Agreement, dated as of November 4, 2022, by and between the Company and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Piper Sandler &amp; Co. (incorporated by reference to Exhibit 1.2 to the Company’s Registration</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Statement on Form S-3 filed on November 4, 2022)</w:t>
        </w:r>
      </w:hyperlink>
    </w:p>
    <w:p>
      <w:pPr>
        <w:spacing w:after="0" w:line="155" w:lineRule="exact"/>
        <w:rPr>
          <w:rFonts w:ascii="Arial" w:cs="Arial" w:eastAsia="Arial" w:hAnsi="Arial"/>
          <w:sz w:val="18"/>
          <w:szCs w:val="18"/>
          <w:u w:val="single" w:color="auto"/>
          <w:color w:val="0000EE"/>
        </w:rPr>
      </w:pPr>
    </w:p>
    <w:p>
      <w:pPr>
        <w:ind w:left="1020" w:right="3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63">
        <w:r>
          <w:rPr>
            <w:rFonts w:ascii="Arial" w:cs="Arial" w:eastAsia="Arial" w:hAnsi="Arial"/>
            <w:sz w:val="18"/>
            <w:szCs w:val="18"/>
            <w:u w:val="single" w:color="auto"/>
            <w:color w:val="0000EE"/>
          </w:rPr>
          <w:t>Employment Agreement between the Company and Kevin Hykes dated January 26, 2024</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(incorporated by reference to Exhibit 10.1 to the Company’s Current Report on Form 8-K filed 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January 31, 2024)</w:t>
        </w:r>
      </w:hyperlink>
    </w:p>
    <w:p>
      <w:pPr>
        <w:spacing w:after="0" w:line="155" w:lineRule="exact"/>
        <w:rPr>
          <w:rFonts w:ascii="Arial" w:cs="Arial" w:eastAsia="Arial" w:hAnsi="Arial"/>
          <w:sz w:val="18"/>
          <w:szCs w:val="18"/>
          <w:u w:val="single" w:color="auto"/>
          <w:color w:val="0000EE"/>
        </w:rPr>
      </w:pPr>
    </w:p>
    <w:p>
      <w:pPr>
        <w:ind w:left="1020" w:right="1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64">
        <w:r>
          <w:rPr>
            <w:rFonts w:ascii="Arial" w:cs="Arial" w:eastAsia="Arial" w:hAnsi="Arial"/>
            <w:sz w:val="18"/>
            <w:szCs w:val="18"/>
            <w:u w:val="single" w:color="auto"/>
            <w:color w:val="0000EE"/>
          </w:rPr>
          <w:t>Transition and Consulting Agreement between the Company and Nadim Yared dated January 30,</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2024 (incorporated by reference to Exhibit 10.2 to the Company’s Current Report on Form 8-K filed</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on January 31, 2024)</w:t>
        </w:r>
      </w:hyperlink>
    </w:p>
    <w:p>
      <w:pPr>
        <w:spacing w:after="0" w:line="155" w:lineRule="exact"/>
        <w:rPr>
          <w:rFonts w:ascii="Arial" w:cs="Arial" w:eastAsia="Arial" w:hAnsi="Arial"/>
          <w:sz w:val="18"/>
          <w:szCs w:val="18"/>
          <w:u w:val="single" w:color="auto"/>
          <w:color w:val="0000EE"/>
        </w:rPr>
      </w:pPr>
    </w:p>
    <w:p>
      <w:pPr>
        <w:ind w:left="60"/>
        <w:spacing w:after="0"/>
        <w:tabs>
          <w:tab w:leader="none" w:pos="1000" w:val="left"/>
        </w:tabs>
        <w:rPr>
          <w:sz w:val="20"/>
          <w:szCs w:val="20"/>
          <w:color w:val="auto"/>
        </w:rPr>
      </w:pPr>
      <w:r>
        <w:rPr>
          <w:rFonts w:ascii="Arial" w:cs="Arial" w:eastAsia="Arial" w:hAnsi="Arial"/>
          <w:sz w:val="18"/>
          <w:szCs w:val="18"/>
          <w:color w:val="auto"/>
        </w:rPr>
        <w:t>19.1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CVRx, Inc. Insider Trading Policy</w:t>
      </w:r>
    </w:p>
    <w:p>
      <w:pPr>
        <w:spacing w:after="0" w:line="211" w:lineRule="exact"/>
        <w:rPr>
          <w:rFonts w:ascii="Arial" w:cs="Arial" w:eastAsia="Arial" w:hAnsi="Arial"/>
          <w:sz w:val="18"/>
          <w:szCs w:val="18"/>
          <w:u w:val="single" w:color="auto"/>
          <w:color w:val="0000EE"/>
        </w:rPr>
      </w:pPr>
    </w:p>
    <w:p>
      <w:pPr>
        <w:ind w:left="1020" w:right="23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65">
        <w:r>
          <w:rPr>
            <w:rFonts w:ascii="Arial" w:cs="Arial" w:eastAsia="Arial" w:hAnsi="Arial"/>
            <w:sz w:val="18"/>
            <w:szCs w:val="18"/>
            <w:u w:val="single" w:color="auto"/>
            <w:color w:val="0000EE"/>
          </w:rPr>
          <w:t>List of Subsidiaries (incorporated by reference to Exhibit 21.1 to the Company’s Annual Report on</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Form 10-K filed on February 22, 2022)</w:t>
        </w:r>
      </w:hyperlink>
    </w:p>
    <w:p>
      <w:pPr>
        <w:spacing w:after="0" w:line="14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Consent of Grant Thornton LLP, independent registered public accounting firm</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Executive Officer Pursuant to Section 302 of the Sarbanes-Oxley Act of 2002</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Financial Officer Pursuant to Section 302 of the Sarbanes-Oxley Act of 2002</w:t>
      </w:r>
    </w:p>
    <w:p>
      <w:pPr>
        <w:spacing w:after="0" w:line="211" w:lineRule="exact"/>
        <w:rPr>
          <w:sz w:val="20"/>
          <w:szCs w:val="20"/>
          <w:color w:val="auto"/>
        </w:rPr>
      </w:pPr>
    </w:p>
    <w:p>
      <w:pPr>
        <w:ind w:left="1020" w:right="139" w:hanging="969"/>
        <w:spacing w:after="0" w:line="287" w:lineRule="auto"/>
        <w:tabs>
          <w:tab w:leader="none" w:pos="1000" w:val="left"/>
        </w:tabs>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p>
    <w:p>
      <w:pPr>
        <w:spacing w:after="0" w:line="139" w:lineRule="exact"/>
        <w:rPr>
          <w:sz w:val="20"/>
          <w:szCs w:val="20"/>
          <w:color w:val="auto"/>
        </w:rPr>
      </w:pPr>
    </w:p>
    <w:p>
      <w:pPr>
        <w:ind w:left="1020" w:right="199" w:hanging="969"/>
        <w:spacing w:after="0" w:line="287" w:lineRule="auto"/>
        <w:tabs>
          <w:tab w:leader="none" w:pos="1000" w:val="left"/>
        </w:tabs>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39" w:lineRule="exact"/>
        <w:rPr>
          <w:sz w:val="20"/>
          <w:szCs w:val="20"/>
          <w:color w:val="auto"/>
        </w:rPr>
      </w:pPr>
    </w:p>
    <w:p>
      <w:pPr>
        <w:ind w:left="1020" w:right="139" w:hanging="957"/>
        <w:spacing w:after="0" w:line="270"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97.1</w:t>
      </w:r>
      <w:r>
        <w:rPr>
          <w:sz w:val="20"/>
          <w:szCs w:val="20"/>
          <w:color w:val="auto"/>
        </w:rPr>
        <w:tab/>
      </w:r>
      <w:hyperlink r:id="rId166">
        <w:r>
          <w:rPr>
            <w:rFonts w:ascii="Arial" w:cs="Arial" w:eastAsia="Arial" w:hAnsi="Arial"/>
            <w:sz w:val="18"/>
            <w:szCs w:val="18"/>
            <w:u w:val="single" w:color="auto"/>
            <w:color w:val="0000EE"/>
          </w:rPr>
          <w:t>CVRx, Inc. Mandatory Compensation Recovery Policy (incorporated by reference to Exhibit 97.1 to</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the Company</w:t>
        </w:r>
        <w:r>
          <w:rPr>
            <w:rFonts w:ascii="Times New Roman" w:cs="Times New Roman" w:eastAsia="Times New Roman" w:hAnsi="Times New Roman"/>
            <w:sz w:val="18"/>
            <w:szCs w:val="18"/>
            <w:u w:val="single" w:color="auto"/>
            <w:color w:val="0000EE"/>
          </w:rPr>
          <w:t>’</w:t>
        </w:r>
        <w:r>
          <w:rPr>
            <w:rFonts w:ascii="Arial" w:cs="Arial" w:eastAsia="Arial" w:hAnsi="Arial"/>
            <w:sz w:val="18"/>
            <w:szCs w:val="18"/>
            <w:u w:val="single" w:color="auto"/>
            <w:color w:val="0000EE"/>
          </w:rPr>
          <w:t>s Annual Report on Form 10-K filed on February 9, 2024)</w:t>
        </w:r>
      </w:hyperlink>
    </w:p>
    <w:p>
      <w:pPr>
        <w:spacing w:after="0" w:line="154" w:lineRule="exact"/>
        <w:rPr>
          <w:sz w:val="20"/>
          <w:szCs w:val="20"/>
          <w:color w:val="auto"/>
        </w:rPr>
      </w:pPr>
    </w:p>
    <w:p>
      <w:pPr>
        <w:ind w:left="1020" w:right="299" w:hanging="969"/>
        <w:spacing w:after="0" w:line="286" w:lineRule="auto"/>
        <w:tabs>
          <w:tab w:leader="none" w:pos="100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24" w:lineRule="exact"/>
        <w:rPr>
          <w:sz w:val="20"/>
          <w:szCs w:val="20"/>
          <w:color w:val="auto"/>
        </w:rPr>
      </w:pPr>
    </w:p>
    <w:p>
      <w:pPr>
        <w:jc w:val="right"/>
        <w:ind w:left="4360" w:right="4299" w:hanging="4310"/>
        <w:spacing w:after="0" w:line="832" w:lineRule="auto"/>
        <w:tabs>
          <w:tab w:leader="none" w:pos="381"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right="239" w:hanging="330"/>
        <w:spacing w:after="0" w:line="25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18, 2025</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6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960"/>
        <w:spacing w:after="0"/>
        <w:tabs>
          <w:tab w:leader="none" w:pos="4520" w:val="left"/>
        </w:tabs>
        <w:rPr>
          <w:sz w:val="20"/>
          <w:szCs w:val="20"/>
          <w:color w:val="auto"/>
        </w:rPr>
      </w:pPr>
      <w:r>
        <w:rPr>
          <w:rFonts w:ascii="Arial" w:cs="Arial" w:eastAsia="Arial" w:hAnsi="Arial"/>
          <w:sz w:val="18"/>
          <w:szCs w:val="18"/>
          <w:color w:val="auto"/>
        </w:rPr>
        <w:t>Title:</w:t>
        <w:tab/>
        <w:t>President and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18, 2025</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Signature</w:t>
            </w:r>
          </w:p>
        </w:tc>
        <w:tc>
          <w:tcPr>
            <w:tcW w:w="5040" w:type="dxa"/>
            <w:vAlign w:val="bottom"/>
            <w:gridSpan w:val="3"/>
          </w:tcPr>
          <w:p>
            <w:pPr>
              <w:ind w:left="2360"/>
              <w:spacing w:after="0"/>
              <w:rPr>
                <w:sz w:val="20"/>
                <w:szCs w:val="20"/>
                <w:color w:val="auto"/>
              </w:rPr>
            </w:pPr>
            <w:r>
              <w:rPr>
                <w:rFonts w:ascii="Arial" w:cs="Arial" w:eastAsia="Arial" w:hAnsi="Arial"/>
                <w:sz w:val="16"/>
                <w:szCs w:val="16"/>
                <w:b w:val="1"/>
                <w:bCs w:val="1"/>
                <w:color w:val="auto"/>
              </w:rPr>
              <w:t>Title</w:t>
            </w:r>
          </w:p>
        </w:tc>
        <w:tc>
          <w:tcPr>
            <w:tcW w:w="1520" w:type="dxa"/>
            <w:vAlign w:val="bottom"/>
            <w:gridSpan w:val="3"/>
          </w:tcPr>
          <w:p>
            <w:pPr>
              <w:ind w:left="640"/>
              <w:spacing w:after="0"/>
              <w:rPr>
                <w:sz w:val="20"/>
                <w:szCs w:val="20"/>
                <w:color w:val="auto"/>
              </w:rPr>
            </w:pPr>
            <w:r>
              <w:rPr>
                <w:rFonts w:ascii="Arial" w:cs="Arial" w:eastAsia="Arial" w:hAnsi="Arial"/>
                <w:sz w:val="16"/>
                <w:szCs w:val="16"/>
                <w:b w:val="1"/>
                <w:bCs w:val="1"/>
                <w:color w:val="auto"/>
              </w:rPr>
              <w:t>Date</w:t>
            </w: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7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Hykes</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Hykes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Jared Oasheim</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Jared Oasheim</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Kevin Ballinger</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Ballinger</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Mitch Hill</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760" w:type="dxa"/>
            <w:vAlign w:val="bottom"/>
          </w:tcPr>
          <w:p>
            <w:pPr>
              <w:spacing w:after="0"/>
              <w:rPr>
                <w:sz w:val="18"/>
                <w:szCs w:val="18"/>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Mitch Hill</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Mudit Jain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Mudit Jain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Kirk Nielsen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Kirk Nielsen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Shadan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Martha Shadan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Joseph Slattery</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18, 2025</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Joseph Slattery</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CVRx,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6" w:lineRule="exact"/>
        <w:rPr>
          <w:sz w:val="20"/>
          <w:szCs w:val="20"/>
          <w:color w:val="auto"/>
        </w:rPr>
      </w:pPr>
    </w:p>
    <w:p>
      <w:pPr>
        <w:jc w:val="both"/>
        <w:ind w:left="80" w:right="119"/>
        <w:spacing w:after="0" w:line="246" w:lineRule="auto"/>
        <w:rPr>
          <w:sz w:val="20"/>
          <w:szCs w:val="20"/>
          <w:color w:val="auto"/>
        </w:rPr>
      </w:pPr>
      <w:r>
        <w:rPr>
          <w:rFonts w:ascii="Times New Roman" w:cs="Times New Roman" w:eastAsia="Times New Roman" w:hAnsi="Times New Roman"/>
          <w:sz w:val="20"/>
          <w:szCs w:val="20"/>
          <w:color w:val="auto"/>
        </w:rPr>
        <w:t>Federal and state securities laws prohibit individuals from trading in the securities of a company while they are aware of material information about that company that is not generally known or available to the public. Such trading is often referred to as “insider trading.” The purpose of this Insider Trading Policy is to prevent insider trading or allegations of insider trading, and to protect the reputation for integrity and ethical conduct of CVRx, Inc. (“CVRx” or the “Company”).</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Applicability of Policy and Certain Definitions</w:t>
      </w:r>
    </w:p>
    <w:p>
      <w:pPr>
        <w:spacing w:after="0" w:line="202" w:lineRule="exact"/>
        <w:rPr>
          <w:sz w:val="20"/>
          <w:szCs w:val="20"/>
          <w:color w:val="auto"/>
        </w:rPr>
      </w:pPr>
    </w:p>
    <w:p>
      <w:pPr>
        <w:ind w:left="720" w:right="179" w:hanging="643"/>
        <w:spacing w:after="0" w:line="246" w:lineRule="auto"/>
        <w:tabs>
          <w:tab w:leader="none" w:pos="720" w:val="left"/>
        </w:tabs>
        <w:numPr>
          <w:ilvl w:val="0"/>
          <w:numId w:val="5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Material Nonpublic Information </w:t>
      </w:r>
      <w:r>
        <w:rPr>
          <w:rFonts w:ascii="Times New Roman" w:cs="Times New Roman" w:eastAsia="Times New Roman" w:hAnsi="Times New Roman"/>
          <w:sz w:val="20"/>
          <w:szCs w:val="20"/>
          <w:color w:val="auto"/>
        </w:rPr>
        <w:t>means material information (described below) that has either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been disclosed to the public generally, or has been disclosed so recently that sufficient time has not yet passed to allow the information to become widely available among investors and the financial community. Information has been disclosed publicly when it has been disclosed through a press release, a filing with the Securities and Exchange Commission or a pre-announced broadly-accessible webcast or conference call.</w:t>
      </w:r>
    </w:p>
    <w:p>
      <w:pPr>
        <w:spacing w:after="0" w:line="151" w:lineRule="exact"/>
        <w:rPr>
          <w:rFonts w:ascii="Times New Roman" w:cs="Times New Roman" w:eastAsia="Times New Roman" w:hAnsi="Times New Roman"/>
          <w:sz w:val="20"/>
          <w:szCs w:val="20"/>
          <w:b w:val="1"/>
          <w:bCs w:val="1"/>
          <w:i w:val="1"/>
          <w:iCs w:val="1"/>
          <w:color w:val="auto"/>
        </w:rPr>
      </w:pPr>
    </w:p>
    <w:p>
      <w:pPr>
        <w:ind w:left="720" w:right="139" w:hanging="643"/>
        <w:spacing w:after="0" w:line="264" w:lineRule="auto"/>
        <w:tabs>
          <w:tab w:leader="none" w:pos="720" w:val="left"/>
        </w:tabs>
        <w:numPr>
          <w:ilvl w:val="0"/>
          <w:numId w:val="5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Material Information </w:t>
      </w:r>
      <w:r>
        <w:rPr>
          <w:rFonts w:ascii="Times New Roman" w:cs="Times New Roman" w:eastAsia="Times New Roman" w:hAnsi="Times New Roman"/>
          <w:sz w:val="19"/>
          <w:szCs w:val="19"/>
          <w:color w:val="auto"/>
        </w:rPr>
        <w:t>means information, whether positive or negative, about a company that would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 expected to affect the investment decisions of a reasonable investor or that could reasonably be expected to have an effect on the price of that company’s securities. While the materiality of information will depend on the specific facts and circumstances, examples of categories of information that are more likely to be considered material, or may be presumptively material, include:</w:t>
      </w:r>
    </w:p>
    <w:p>
      <w:pPr>
        <w:spacing w:after="0" w:line="138" w:lineRule="exact"/>
        <w:rPr>
          <w:rFonts w:ascii="Times New Roman" w:cs="Times New Roman" w:eastAsia="Times New Roman" w:hAnsi="Times New Roman"/>
          <w:sz w:val="19"/>
          <w:szCs w:val="19"/>
          <w:b w:val="1"/>
          <w:bCs w:val="1"/>
          <w:i w:val="1"/>
          <w:iCs w:val="1"/>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financial condition</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of a significant nature</w:t>
      </w:r>
    </w:p>
    <w:p>
      <w:pPr>
        <w:spacing w:after="0" w:line="202"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regulatory developments, such as product approvals</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developments, such as product modifications or product recalls</w:t>
      </w:r>
    </w:p>
    <w:p>
      <w:pPr>
        <w:spacing w:after="0" w:line="202"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customer or supplier relationship</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equity or debt offerings</w:t>
      </w:r>
    </w:p>
    <w:p>
      <w:pPr>
        <w:spacing w:after="0" w:line="202" w:lineRule="exact"/>
        <w:rPr>
          <w:rFonts w:ascii="Times New Roman" w:cs="Times New Roman" w:eastAsia="Times New Roman" w:hAnsi="Times New Roman"/>
          <w:sz w:val="20"/>
          <w:szCs w:val="20"/>
          <w:color w:val="auto"/>
        </w:rPr>
      </w:pPr>
    </w:p>
    <w:p>
      <w:pPr>
        <w:ind w:left="1380" w:right="199" w:hanging="655"/>
        <w:spacing w:after="0" w:line="269" w:lineRule="auto"/>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exposure due to actual or threatened litigation or regulatory action</w:t>
      </w:r>
    </w:p>
    <w:p>
      <w:pPr>
        <w:spacing w:after="0" w:line="132"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or data privacy incidents</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management changes or changes in control of the company</w:t>
      </w:r>
    </w:p>
    <w:p>
      <w:pPr>
        <w:spacing w:after="0" w:line="202"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significant merger, or significant divestiture or acquisition</w:t>
      </w:r>
    </w:p>
    <w:p>
      <w:pPr>
        <w:spacing w:after="0" w:line="188"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 significant financing arrangement, or financial liquidity problems</w:t>
      </w:r>
    </w:p>
    <w:p>
      <w:pPr>
        <w:spacing w:after="0" w:line="265"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8" w:name="page109"/>
    <w:bookmarkEnd w:id="108"/>
    <w:p>
      <w:pPr>
        <w:ind w:left="1380" w:hanging="655"/>
        <w:spacing w:after="0"/>
        <w:tabs>
          <w:tab w:leader="none" w:pos="13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restructuring actions or asset impairments</w:t>
      </w:r>
    </w:p>
    <w:p>
      <w:pPr>
        <w:spacing w:after="0" w:line="202"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auditors</w:t>
      </w:r>
    </w:p>
    <w:p>
      <w:pPr>
        <w:spacing w:after="0" w:line="188" w:lineRule="exact"/>
        <w:rPr>
          <w:rFonts w:ascii="Times New Roman" w:cs="Times New Roman" w:eastAsia="Times New Roman" w:hAnsi="Times New Roman"/>
          <w:sz w:val="20"/>
          <w:szCs w:val="20"/>
          <w:color w:val="auto"/>
        </w:rPr>
      </w:pPr>
    </w:p>
    <w:p>
      <w:pPr>
        <w:ind w:left="1380" w:right="619" w:hanging="655"/>
        <w:spacing w:after="0" w:line="269" w:lineRule="auto"/>
        <w:tabs>
          <w:tab w:leader="none" w:pos="13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events regarding a company’s securities (such as defaults, redemptions, stock splits, repurchase plans, changes in dividends)</w:t>
      </w:r>
    </w:p>
    <w:p>
      <w:pPr>
        <w:spacing w:after="0" w:line="141" w:lineRule="exact"/>
        <w:rPr>
          <w:rFonts w:ascii="Times New Roman" w:cs="Times New Roman" w:eastAsia="Times New Roman" w:hAnsi="Times New Roman"/>
          <w:sz w:val="20"/>
          <w:szCs w:val="20"/>
          <w:color w:val="auto"/>
        </w:rPr>
      </w:pPr>
    </w:p>
    <w:p>
      <w:pPr>
        <w:ind w:left="720" w:hanging="643"/>
        <w:spacing w:after="0"/>
        <w:tabs>
          <w:tab w:leader="none" w:pos="720" w:val="left"/>
        </w:tabs>
        <w:numPr>
          <w:ilvl w:val="0"/>
          <w:numId w:val="6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Policy applies to:</w:t>
      </w:r>
    </w:p>
    <w:p>
      <w:pPr>
        <w:spacing w:after="0" w:line="189" w:lineRule="exact"/>
        <w:rPr>
          <w:sz w:val="20"/>
          <w:szCs w:val="20"/>
          <w:color w:val="auto"/>
        </w:rPr>
      </w:pPr>
    </w:p>
    <w:p>
      <w:pPr>
        <w:ind w:left="1380" w:right="279" w:hanging="655"/>
        <w:spacing w:after="0" w:line="256" w:lineRule="auto"/>
        <w:tabs>
          <w:tab w:leader="none" w:pos="1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All CVRx Personnel. </w:t>
      </w:r>
      <w:r>
        <w:rPr>
          <w:rFonts w:ascii="Times New Roman" w:cs="Times New Roman" w:eastAsia="Times New Roman" w:hAnsi="Times New Roman"/>
          <w:sz w:val="20"/>
          <w:szCs w:val="20"/>
          <w:color w:val="auto"/>
        </w:rPr>
        <w:t>All directors, officers and employees of CVRx and its subsidiaries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(“CVRx Personnel”), as well as members of their immediate families and others living in the same household.</w:t>
      </w:r>
    </w:p>
    <w:p>
      <w:pPr>
        <w:spacing w:after="0" w:line="141" w:lineRule="exact"/>
        <w:rPr>
          <w:rFonts w:ascii="Times New Roman" w:cs="Times New Roman" w:eastAsia="Times New Roman" w:hAnsi="Times New Roman"/>
          <w:sz w:val="20"/>
          <w:szCs w:val="20"/>
          <w:color w:val="auto"/>
        </w:rPr>
      </w:pPr>
    </w:p>
    <w:p>
      <w:pPr>
        <w:jc w:val="both"/>
        <w:ind w:left="1380" w:right="299" w:hanging="655"/>
        <w:spacing w:after="0" w:line="256" w:lineRule="auto"/>
        <w:tabs>
          <w:tab w:leader="none" w:pos="1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Consultants and Advisors. </w:t>
      </w:r>
      <w:r>
        <w:rPr>
          <w:rFonts w:ascii="Times New Roman" w:cs="Times New Roman" w:eastAsia="Times New Roman" w:hAnsi="Times New Roman"/>
          <w:sz w:val="20"/>
          <w:szCs w:val="20"/>
          <w:color w:val="auto"/>
        </w:rPr>
        <w:t>All consultants and advisors to CVRx and its subsidiaries whose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work brings them into contact with material nonpublic information and who are advised they are subject to this Policy.</w:t>
      </w:r>
    </w:p>
    <w:p>
      <w:pPr>
        <w:spacing w:after="0" w:line="155" w:lineRule="exact"/>
        <w:rPr>
          <w:rFonts w:ascii="Times New Roman" w:cs="Times New Roman" w:eastAsia="Times New Roman" w:hAnsi="Times New Roman"/>
          <w:sz w:val="20"/>
          <w:szCs w:val="20"/>
          <w:color w:val="auto"/>
        </w:rPr>
      </w:pPr>
    </w:p>
    <w:p>
      <w:pPr>
        <w:jc w:val="both"/>
        <w:ind w:left="1380" w:right="119" w:hanging="655"/>
        <w:spacing w:after="0" w:line="256" w:lineRule="auto"/>
        <w:tabs>
          <w:tab w:leader="none" w:pos="1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Related Parties. </w:t>
      </w:r>
      <w:r>
        <w:rPr>
          <w:rFonts w:ascii="Times New Roman" w:cs="Times New Roman" w:eastAsia="Times New Roman" w:hAnsi="Times New Roman"/>
          <w:sz w:val="20"/>
          <w:szCs w:val="20"/>
          <w:color w:val="auto"/>
        </w:rPr>
        <w:t>Any other person or entity, including a trust, corporation, partnership or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association, whose transactions in the Company’s securities are directed by any person covered by paragraph C(1) or C(2) or are subject to that person’s influence or control.</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individuals and entities described in paragraphs C(1), C(2) and C(3) are “Covered Persons.”</w:t>
      </w:r>
    </w:p>
    <w:p>
      <w:pPr>
        <w:spacing w:after="0" w:line="198" w:lineRule="exact"/>
        <w:rPr>
          <w:sz w:val="20"/>
          <w:szCs w:val="20"/>
          <w:color w:val="auto"/>
        </w:rPr>
      </w:pPr>
    </w:p>
    <w:p>
      <w:pPr>
        <w:ind w:left="720" w:hanging="643"/>
        <w:spacing w:after="0"/>
        <w:tabs>
          <w:tab w:leader="none" w:pos="720" w:val="left"/>
        </w:tabs>
        <w:numPr>
          <w:ilvl w:val="0"/>
          <w:numId w:val="6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Covered Companies. </w:t>
      </w:r>
      <w:r>
        <w:rPr>
          <w:rFonts w:ascii="Times New Roman" w:cs="Times New Roman" w:eastAsia="Times New Roman" w:hAnsi="Times New Roman"/>
          <w:sz w:val="20"/>
          <w:szCs w:val="20"/>
          <w:color w:val="auto"/>
        </w:rPr>
        <w:t>This Policy applies to trading in the securities of the following, as set forth</w:t>
      </w:r>
    </w:p>
    <w:p>
      <w:pPr>
        <w:spacing w:after="0" w:line="25" w:lineRule="exact"/>
        <w:rPr>
          <w:rFonts w:ascii="Times New Roman" w:cs="Times New Roman" w:eastAsia="Times New Roman" w:hAnsi="Times New Roman"/>
          <w:sz w:val="20"/>
          <w:szCs w:val="20"/>
          <w:b w:val="1"/>
          <w:bCs w:val="1"/>
          <w:i w:val="1"/>
          <w:iCs w:val="1"/>
          <w:color w:val="auto"/>
        </w:rPr>
      </w:pPr>
    </w:p>
    <w:p>
      <w:pPr>
        <w:ind w:left="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below:</w:t>
      </w:r>
    </w:p>
    <w:p>
      <w:pPr>
        <w:spacing w:after="0" w:line="166" w:lineRule="exact"/>
        <w:rPr>
          <w:rFonts w:ascii="Times New Roman" w:cs="Times New Roman" w:eastAsia="Times New Roman" w:hAnsi="Times New Roman"/>
          <w:sz w:val="20"/>
          <w:szCs w:val="20"/>
          <w:b w:val="1"/>
          <w:bCs w:val="1"/>
          <w:i w:val="1"/>
          <w:iCs w:val="1"/>
          <w:color w:val="auto"/>
        </w:rPr>
      </w:pPr>
    </w:p>
    <w:p>
      <w:pPr>
        <w:ind w:left="1500" w:hanging="653"/>
        <w:spacing w:after="0"/>
        <w:tabs>
          <w:tab w:leader="none" w:pos="150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CVRx; and</w:t>
      </w:r>
    </w:p>
    <w:p>
      <w:pPr>
        <w:spacing w:after="0" w:line="188" w:lineRule="exact"/>
        <w:rPr>
          <w:rFonts w:ascii="Times New Roman" w:cs="Times New Roman" w:eastAsia="Times New Roman" w:hAnsi="Times New Roman"/>
          <w:sz w:val="20"/>
          <w:szCs w:val="20"/>
          <w:color w:val="auto"/>
        </w:rPr>
      </w:pPr>
    </w:p>
    <w:p>
      <w:pPr>
        <w:ind w:left="1500" w:right="119" w:hanging="653"/>
        <w:spacing w:after="0" w:line="246" w:lineRule="auto"/>
        <w:tabs>
          <w:tab w:leader="none" w:pos="150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company about which the Covered Person obtained material nonpublic information in the course of the Covered Person’s service to CVRx or any of its subsidiaries, such as customers, suppliers, competitors or companies with which a major transaction such as a merger, acquisition or divestiture may be or is being contemplated or negotiated (collectively, with CVRx, “Covered Companies”).</w:t>
      </w:r>
    </w:p>
    <w:p>
      <w:pPr>
        <w:spacing w:after="0" w:line="167" w:lineRule="exact"/>
        <w:rPr>
          <w:rFonts w:ascii="Times New Roman" w:cs="Times New Roman" w:eastAsia="Times New Roman" w:hAnsi="Times New Roman"/>
          <w:sz w:val="20"/>
          <w:szCs w:val="20"/>
          <w:color w:val="auto"/>
        </w:rPr>
      </w:pPr>
    </w:p>
    <w:p>
      <w:pPr>
        <w:ind w:left="720" w:right="259" w:hanging="643"/>
        <w:spacing w:after="0" w:line="246" w:lineRule="auto"/>
        <w:tabs>
          <w:tab w:leader="none" w:pos="720" w:val="left"/>
        </w:tabs>
        <w:numPr>
          <w:ilvl w:val="0"/>
          <w:numId w:val="6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Covered Transactions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securities trading that this Policy covers includes purchases and sales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common stock, options to acquire common stock and any other securities CVRx may issue from time to time, such as preferred stock, warrants and convertible debentures, and purchases and sales of derivative securities relating to CVRx’s stock, whether or not issued by CVRx, such as exchange-traded options. Trading covered by this Policy may or may not include transactions under CVRx sponsored plans and bona fide gifts as follows:</w:t>
      </w:r>
    </w:p>
    <w:p>
      <w:pPr>
        <w:spacing w:after="0" w:line="151" w:lineRule="exact"/>
        <w:rPr>
          <w:rFonts w:ascii="Times New Roman" w:cs="Times New Roman" w:eastAsia="Times New Roman" w:hAnsi="Times New Roman"/>
          <w:sz w:val="20"/>
          <w:szCs w:val="20"/>
          <w:b w:val="1"/>
          <w:bCs w:val="1"/>
          <w:i w:val="1"/>
          <w:iCs w:val="1"/>
          <w:color w:val="auto"/>
        </w:rPr>
      </w:pPr>
    </w:p>
    <w:p>
      <w:pPr>
        <w:ind w:left="1380" w:right="119" w:hanging="655"/>
        <w:spacing w:after="0" w:line="247" w:lineRule="auto"/>
        <w:tabs>
          <w:tab w:leader="none" w:pos="13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Option Exercises. </w:t>
      </w:r>
      <w:r>
        <w:rPr>
          <w:rFonts w:ascii="Times New Roman" w:cs="Times New Roman" w:eastAsia="Times New Roman" w:hAnsi="Times New Roman"/>
          <w:sz w:val="20"/>
          <w:szCs w:val="20"/>
          <w:color w:val="auto"/>
        </w:rPr>
        <w:t>This Policy’s trading restrictions do not apply to the purchase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CVRx stock through the exercise of stock options granted by CVRx (whether by cash exercise, stock swap or net exercise, to the extent such forms of exercise are permitted by CVRx). The trading restrictions do apply to any subsequent sale of CVRx stock acquired through an option exercise; and, therefore, do apply to a broker-assisted cashless exercise.</w:t>
      </w:r>
    </w:p>
    <w:p>
      <w:pPr>
        <w:spacing w:after="0" w:line="153" w:lineRule="exact"/>
        <w:rPr>
          <w:rFonts w:ascii="Times New Roman" w:cs="Times New Roman" w:eastAsia="Times New Roman" w:hAnsi="Times New Roman"/>
          <w:sz w:val="20"/>
          <w:szCs w:val="20"/>
          <w:color w:val="auto"/>
        </w:rPr>
      </w:pPr>
    </w:p>
    <w:p>
      <w:pPr>
        <w:ind w:left="1380" w:right="99" w:hanging="655"/>
        <w:spacing w:after="0" w:line="250" w:lineRule="auto"/>
        <w:tabs>
          <w:tab w:leader="none" w:pos="13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Stock Purchase Plan Purchases</w:t>
      </w:r>
      <w:r>
        <w:rPr>
          <w:rFonts w:ascii="Times New Roman" w:cs="Times New Roman" w:eastAsia="Times New Roman" w:hAnsi="Times New Roman"/>
          <w:sz w:val="20"/>
          <w:szCs w:val="20"/>
          <w:color w:val="auto"/>
        </w:rPr>
        <w:t>. This Policy’s trading restrictions do not apply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of CVRx stock through any Employee Stock Purchase Plan (the ESPP) CVRx may maintain from time to time (but this Policy’s trading restrictions do apply to the sale of any shares acquired under the ESPP).</w:t>
      </w:r>
    </w:p>
    <w:p>
      <w:pPr>
        <w:spacing w:after="0" w:line="148" w:lineRule="exact"/>
        <w:rPr>
          <w:rFonts w:ascii="Times New Roman" w:cs="Times New Roman" w:eastAsia="Times New Roman" w:hAnsi="Times New Roman"/>
          <w:sz w:val="20"/>
          <w:szCs w:val="20"/>
          <w:color w:val="auto"/>
        </w:rPr>
      </w:pPr>
    </w:p>
    <w:p>
      <w:pPr>
        <w:ind w:left="1380" w:right="339" w:hanging="655"/>
        <w:spacing w:after="0" w:line="300" w:lineRule="auto"/>
        <w:tabs>
          <w:tab w:leader="none" w:pos="13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Restricted Stock/Unit and Performance Stock/Unit Awards</w:t>
      </w:r>
      <w:r>
        <w:rPr>
          <w:rFonts w:ascii="Times New Roman" w:cs="Times New Roman" w:eastAsia="Times New Roman" w:hAnsi="Times New Roman"/>
          <w:sz w:val="19"/>
          <w:szCs w:val="19"/>
          <w:color w:val="auto"/>
        </w:rPr>
        <w:t>. This Policy’s trading restrictions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 not apply to the vesting of restricted stock/units or performance stock/units, or to the</w:t>
      </w:r>
    </w:p>
    <w:p>
      <w:pPr>
        <w:spacing w:after="0" w:line="182"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109" w:name="page110"/>
    <w:bookmarkEnd w:id="109"/>
    <w:p>
      <w:pPr>
        <w:ind w:left="1380" w:right="159"/>
        <w:spacing w:after="0" w:line="249" w:lineRule="auto"/>
        <w:rPr>
          <w:sz w:val="20"/>
          <w:szCs w:val="20"/>
          <w:color w:val="auto"/>
        </w:rPr>
      </w:pPr>
      <w:r>
        <w:rPr>
          <w:rFonts w:ascii="Times New Roman" w:cs="Times New Roman" w:eastAsia="Times New Roman" w:hAnsi="Times New Roman"/>
          <w:sz w:val="20"/>
          <w:szCs w:val="20"/>
          <w:color w:val="auto"/>
        </w:rPr>
        <w:t>exercise of a tax withholding right pursuant to which the person elects to have CVRx withhold shares of stock to satisfy tax withholding requirements upon vesting, to the extent such withholding is permitted by CVRx. The trading restrictions do apply to any market sales of shares.</w:t>
      </w:r>
    </w:p>
    <w:p>
      <w:pPr>
        <w:spacing w:after="0" w:line="162" w:lineRule="exact"/>
        <w:rPr>
          <w:sz w:val="20"/>
          <w:szCs w:val="20"/>
          <w:color w:val="auto"/>
        </w:rPr>
      </w:pPr>
    </w:p>
    <w:p>
      <w:pPr>
        <w:ind w:left="1380" w:right="139" w:hanging="655"/>
        <w:spacing w:after="0" w:line="261" w:lineRule="auto"/>
        <w:tabs>
          <w:tab w:leader="none" w:pos="13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Bona Fide Gifts</w:t>
      </w:r>
      <w:r>
        <w:rPr>
          <w:rFonts w:ascii="Times New Roman" w:cs="Times New Roman" w:eastAsia="Times New Roman" w:hAnsi="Times New Roman"/>
          <w:sz w:val="19"/>
          <w:szCs w:val="19"/>
          <w:color w:val="auto"/>
        </w:rPr>
        <w:t>. This Policy’s trading restrictions do not apply to any</w:t>
      </w:r>
      <w:r>
        <w:rPr>
          <w:rFonts w:ascii="Times New Roman" w:cs="Times New Roman" w:eastAsia="Times New Roman" w:hAnsi="Times New Roman"/>
          <w:sz w:val="19"/>
          <w:szCs w:val="19"/>
          <w:i w:val="1"/>
          <w:iCs w:val="1"/>
          <w:color w:val="auto"/>
        </w:rPr>
        <w:t xml:space="preserve"> bona fide </w:t>
      </w:r>
      <w:r>
        <w:rPr>
          <w:rFonts w:ascii="Times New Roman" w:cs="Times New Roman" w:eastAsia="Times New Roman" w:hAnsi="Times New Roman"/>
          <w:sz w:val="19"/>
          <w:szCs w:val="19"/>
          <w:color w:val="auto"/>
        </w:rPr>
        <w:t>gift of CVRx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if either of the following applies: (i) the recipient of the gift of CVRx securities is a Covered Person subject to the same provisions of this Policy as applicable to the Covered Person making the gift, or (ii) the Covered Person making the gift has a reasonable basis for believing that the recipient of the gift will not sell the CVRx securities during any blackout period or other trading restriction applicable to the Covered Person at the time the gift is made.</w:t>
      </w:r>
    </w:p>
    <w:p>
      <w:pPr>
        <w:spacing w:after="0" w:line="140" w:lineRule="exact"/>
        <w:rPr>
          <w:rFonts w:ascii="Times New Roman" w:cs="Times New Roman" w:eastAsia="Times New Roman" w:hAnsi="Times New Roman"/>
          <w:sz w:val="19"/>
          <w:szCs w:val="19"/>
          <w:color w:val="auto"/>
        </w:rPr>
      </w:pPr>
    </w:p>
    <w:p>
      <w:pPr>
        <w:ind w:left="80" w:right="319" w:hanging="3"/>
        <w:spacing w:after="0" w:line="256" w:lineRule="auto"/>
        <w:tabs>
          <w:tab w:leader="none" w:pos="728" w:val="left"/>
        </w:tabs>
        <w:numPr>
          <w:ilvl w:val="0"/>
          <w:numId w:val="6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Transactions by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time to time, the Company may engage in transactions in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own securities. It is the Company’s policy that any transactions by the Company will comply with applicable laws with respect to insider trading, guided by the principles in this Policy as applicable.</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Statement of Policy</w:t>
      </w:r>
    </w:p>
    <w:p>
      <w:pPr>
        <w:spacing w:after="0" w:line="189" w:lineRule="exact"/>
        <w:rPr>
          <w:sz w:val="20"/>
          <w:szCs w:val="20"/>
          <w:color w:val="auto"/>
        </w:rPr>
      </w:pPr>
    </w:p>
    <w:p>
      <w:pPr>
        <w:ind w:left="80" w:right="179"/>
        <w:spacing w:after="0" w:line="250" w:lineRule="auto"/>
        <w:rPr>
          <w:sz w:val="20"/>
          <w:szCs w:val="20"/>
          <w:color w:val="auto"/>
        </w:rPr>
      </w:pPr>
      <w:r>
        <w:rPr>
          <w:rFonts w:ascii="Times New Roman" w:cs="Times New Roman" w:eastAsia="Times New Roman" w:hAnsi="Times New Roman"/>
          <w:sz w:val="20"/>
          <w:szCs w:val="20"/>
          <w:color w:val="auto"/>
        </w:rPr>
        <w:t xml:space="preserve">Insider trading involves trading at any time when the person making the purchase or sale </w:t>
      </w:r>
      <w:r>
        <w:rPr>
          <w:rFonts w:ascii="Times New Roman" w:cs="Times New Roman" w:eastAsia="Times New Roman" w:hAnsi="Times New Roman"/>
          <w:sz w:val="20"/>
          <w:szCs w:val="20"/>
          <w:i w:val="1"/>
          <w:iCs w:val="1"/>
          <w:color w:val="auto"/>
        </w:rPr>
        <w:t>is aware</w:t>
      </w:r>
      <w:r>
        <w:rPr>
          <w:rFonts w:ascii="Times New Roman" w:cs="Times New Roman" w:eastAsia="Times New Roman" w:hAnsi="Times New Roman"/>
          <w:sz w:val="20"/>
          <w:szCs w:val="20"/>
          <w:color w:val="auto"/>
        </w:rPr>
        <w:t xml:space="preserve"> of material nonpublic information regarding the company whose securities are being traded. If you have a doubt or question about whether you are aware of or in possession of material nonpublic information concerning CVRx or another company, you should contact CVRx’s Chief Financial Officer.</w:t>
      </w:r>
    </w:p>
    <w:p>
      <w:pPr>
        <w:spacing w:after="0" w:line="149" w:lineRule="exact"/>
        <w:rPr>
          <w:sz w:val="20"/>
          <w:szCs w:val="20"/>
          <w:color w:val="auto"/>
        </w:rPr>
      </w:pPr>
    </w:p>
    <w:p>
      <w:pPr>
        <w:ind w:left="720" w:hanging="643"/>
        <w:spacing w:after="0"/>
        <w:tabs>
          <w:tab w:leader="none" w:pos="7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No Trading on Material Nonpublic Information</w:t>
      </w:r>
    </w:p>
    <w:p>
      <w:pPr>
        <w:spacing w:after="0" w:line="202" w:lineRule="exact"/>
        <w:rPr>
          <w:rFonts w:ascii="Times New Roman" w:cs="Times New Roman" w:eastAsia="Times New Roman" w:hAnsi="Times New Roman"/>
          <w:sz w:val="20"/>
          <w:szCs w:val="20"/>
          <w:b w:val="1"/>
          <w:bCs w:val="1"/>
          <w:color w:val="auto"/>
        </w:rPr>
      </w:pPr>
    </w:p>
    <w:p>
      <w:pPr>
        <w:ind w:left="1380" w:right="199" w:hanging="655"/>
        <w:spacing w:after="0" w:line="256" w:lineRule="auto"/>
        <w:tabs>
          <w:tab w:leader="none" w:pos="13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CVRx Securities</w:t>
      </w:r>
      <w:r>
        <w:rPr>
          <w:rFonts w:ascii="Times New Roman" w:cs="Times New Roman" w:eastAsia="Times New Roman" w:hAnsi="Times New Roman"/>
          <w:sz w:val="20"/>
          <w:szCs w:val="20"/>
          <w:color w:val="auto"/>
        </w:rPr>
        <w:t>. If you are a Covered Person, you must not purchase or sell any CVRx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or otherwise advise or assist any third-party trading CVRx securities, while you are aware of material nonpublic information regarding CVRx.</w:t>
      </w:r>
    </w:p>
    <w:p>
      <w:pPr>
        <w:spacing w:after="0" w:line="141" w:lineRule="exact"/>
        <w:rPr>
          <w:rFonts w:ascii="Times New Roman" w:cs="Times New Roman" w:eastAsia="Times New Roman" w:hAnsi="Times New Roman"/>
          <w:sz w:val="20"/>
          <w:szCs w:val="20"/>
          <w:color w:val="auto"/>
        </w:rPr>
      </w:pPr>
    </w:p>
    <w:p>
      <w:pPr>
        <w:ind w:left="1380" w:right="219" w:hanging="655"/>
        <w:spacing w:after="0" w:line="256" w:lineRule="auto"/>
        <w:tabs>
          <w:tab w:leader="none" w:pos="13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Companies’ Securities</w:t>
      </w:r>
      <w:r>
        <w:rPr>
          <w:rFonts w:ascii="Times New Roman" w:cs="Times New Roman" w:eastAsia="Times New Roman" w:hAnsi="Times New Roman"/>
          <w:sz w:val="20"/>
          <w:szCs w:val="20"/>
          <w:color w:val="auto"/>
        </w:rPr>
        <w:t>. If you are a Covered Person and you obtain material nonpublic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about any other publicly held company as a result of your work on behalf of CVRx or any of its subsidiaries, you must not trade in that company’s securities.</w:t>
      </w:r>
    </w:p>
    <w:p>
      <w:pPr>
        <w:spacing w:after="0" w:line="155" w:lineRule="exact"/>
        <w:rPr>
          <w:rFonts w:ascii="Times New Roman" w:cs="Times New Roman" w:eastAsia="Times New Roman" w:hAnsi="Times New Roman"/>
          <w:sz w:val="20"/>
          <w:szCs w:val="20"/>
          <w:color w:val="auto"/>
        </w:rPr>
      </w:pPr>
    </w:p>
    <w:p>
      <w:pPr>
        <w:ind w:left="720" w:right="219" w:hanging="643"/>
        <w:spacing w:after="0" w:line="245" w:lineRule="auto"/>
        <w:tabs>
          <w:tab w:leader="none" w:pos="7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No Disclosure to Others Who Might Trade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you are a Covered Person, you must not communicate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nonpublic information about CVRx or any other Covered Company to any person who does not need that information for a legitimate business purpose, or recommend to anyone the purchase or sale of securities when you are aware of material nonpublic information about the company involved. This practice, known as “tipping,” also violates the securities laws and can result in the same civil and criminal penalties that apply to insider trading, even though you did not actually trade and did not benefit from another’s trading.</w:t>
      </w:r>
    </w:p>
    <w:p>
      <w:pPr>
        <w:spacing w:after="0" w:line="152" w:lineRule="exact"/>
        <w:rPr>
          <w:rFonts w:ascii="Times New Roman" w:cs="Times New Roman" w:eastAsia="Times New Roman" w:hAnsi="Times New Roman"/>
          <w:sz w:val="20"/>
          <w:szCs w:val="20"/>
          <w:b w:val="1"/>
          <w:bCs w:val="1"/>
          <w:color w:val="auto"/>
        </w:rPr>
      </w:pPr>
    </w:p>
    <w:p>
      <w:pPr>
        <w:ind w:left="720" w:right="399" w:hanging="643"/>
        <w:spacing w:after="0" w:line="273" w:lineRule="auto"/>
        <w:tabs>
          <w:tab w:leader="none" w:pos="7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Protect Material Nonpublic Information. </w:t>
      </w:r>
      <w:r>
        <w:rPr>
          <w:rFonts w:ascii="Times New Roman" w:cs="Times New Roman" w:eastAsia="Times New Roman" w:hAnsi="Times New Roman"/>
          <w:sz w:val="20"/>
          <w:szCs w:val="20"/>
          <w:color w:val="auto"/>
        </w:rPr>
        <w:t>In order to reduce the possibility that material nonpublic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will be inadvertently disclosed:</w:t>
      </w:r>
    </w:p>
    <w:p>
      <w:pPr>
        <w:spacing w:after="0" w:line="128" w:lineRule="exact"/>
        <w:rPr>
          <w:rFonts w:ascii="Times New Roman" w:cs="Times New Roman" w:eastAsia="Times New Roman" w:hAnsi="Times New Roman"/>
          <w:sz w:val="20"/>
          <w:szCs w:val="20"/>
          <w:b w:val="1"/>
          <w:bCs w:val="1"/>
          <w:color w:val="auto"/>
        </w:rPr>
      </w:pPr>
    </w:p>
    <w:p>
      <w:pPr>
        <w:ind w:left="1500" w:right="179" w:hanging="653"/>
        <w:spacing w:after="0" w:line="254" w:lineRule="auto"/>
        <w:tabs>
          <w:tab w:leader="none" w:pos="15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spacing w:after="0" w:line="160" w:lineRule="exact"/>
        <w:rPr>
          <w:rFonts w:ascii="Times New Roman" w:cs="Times New Roman" w:eastAsia="Times New Roman" w:hAnsi="Times New Roman"/>
          <w:sz w:val="20"/>
          <w:szCs w:val="20"/>
          <w:color w:val="auto"/>
        </w:rPr>
      </w:pPr>
    </w:p>
    <w:p>
      <w:pPr>
        <w:ind w:left="1500" w:right="259" w:hanging="653"/>
        <w:spacing w:after="0" w:line="269" w:lineRule="auto"/>
        <w:tabs>
          <w:tab w:leader="none" w:pos="15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should refrain from discussing material nonpublic information relating to CVRx or any public company in public places where such discussions can be overheard.</w:t>
      </w:r>
    </w:p>
    <w:p>
      <w:pPr>
        <w:spacing w:after="0" w:line="132" w:lineRule="exact"/>
        <w:rPr>
          <w:rFonts w:ascii="Times New Roman" w:cs="Times New Roman" w:eastAsia="Times New Roman" w:hAnsi="Times New Roman"/>
          <w:sz w:val="20"/>
          <w:szCs w:val="20"/>
          <w:color w:val="auto"/>
        </w:rPr>
      </w:pPr>
    </w:p>
    <w:p>
      <w:pPr>
        <w:ind w:left="1500" w:right="99" w:hanging="653"/>
        <w:spacing w:after="0" w:line="269" w:lineRule="auto"/>
        <w:tabs>
          <w:tab w:leader="none" w:pos="15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become aware of any unauthorized disclosure of material nonpublic information, whether inadvertent or otherwise, you should report such disclosure immediately to CVRx’s</w:t>
      </w:r>
    </w:p>
    <w:p>
      <w:pPr>
        <w:spacing w:after="0" w:line="20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110" w:name="page111"/>
    <w:bookmarkEnd w:id="110"/>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98" w:lineRule="exact"/>
        <w:rPr>
          <w:sz w:val="20"/>
          <w:szCs w:val="20"/>
          <w:color w:val="auto"/>
        </w:rPr>
      </w:pPr>
    </w:p>
    <w:p>
      <w:pPr>
        <w:jc w:val="both"/>
        <w:ind w:left="720" w:right="99" w:hanging="643"/>
        <w:spacing w:after="0" w:line="247" w:lineRule="auto"/>
        <w:tabs>
          <w:tab w:leader="none" w:pos="7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Event-Specific Blackout Periods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time to time, material developments known only to a limited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CVRx Personnel may occur and cause CVRx to impose on an appropriate group of CVRx Personnel additional restrictions on trading. You will be notified if you become part of such a group, and you should not disclose to others the fact that you have been so notified or that additional restrictions on your trading have been imposed.</w:t>
      </w: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Policy Prohibiting Pledging, Hedging and Other Speculative Trading</w:t>
      </w:r>
    </w:p>
    <w:p>
      <w:pPr>
        <w:spacing w:after="0" w:line="206" w:lineRule="exact"/>
        <w:rPr>
          <w:sz w:val="20"/>
          <w:szCs w:val="20"/>
          <w:color w:val="auto"/>
        </w:rPr>
      </w:pPr>
    </w:p>
    <w:p>
      <w:pPr>
        <w:ind w:left="80" w:right="199"/>
        <w:spacing w:after="0" w:line="254" w:lineRule="auto"/>
        <w:rPr>
          <w:sz w:val="20"/>
          <w:szCs w:val="20"/>
          <w:color w:val="auto"/>
        </w:rPr>
      </w:pPr>
      <w:r>
        <w:rPr>
          <w:rFonts w:ascii="Times New Roman" w:cs="Times New Roman" w:eastAsia="Times New Roman" w:hAnsi="Times New Roman"/>
          <w:sz w:val="20"/>
          <w:szCs w:val="20"/>
          <w:color w:val="auto"/>
        </w:rPr>
        <w:t>CVRx Personnel, as well as family members and anyone designated to engage in securities transactions on behalf of CVRx Personnel, are prohibited at all times from engaging in the following transactions with respect to CVRx securities:</w:t>
      </w:r>
    </w:p>
    <w:p>
      <w:pPr>
        <w:spacing w:after="0" w:line="147" w:lineRule="exact"/>
        <w:rPr>
          <w:sz w:val="20"/>
          <w:szCs w:val="20"/>
          <w:color w:val="auto"/>
        </w:rPr>
      </w:pPr>
    </w:p>
    <w:p>
      <w:pPr>
        <w:ind w:left="1380" w:right="159" w:hanging="655"/>
        <w:spacing w:after="0" w:line="269" w:lineRule="auto"/>
        <w:tabs>
          <w:tab w:leader="none" w:pos="1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any CVRx securities in a margin account or pledging CVRx securities as collateral for a loan;</w:t>
      </w:r>
    </w:p>
    <w:p>
      <w:pPr>
        <w:spacing w:after="0" w:line="132" w:lineRule="exact"/>
        <w:rPr>
          <w:rFonts w:ascii="Times New Roman" w:cs="Times New Roman" w:eastAsia="Times New Roman" w:hAnsi="Times New Roman"/>
          <w:sz w:val="20"/>
          <w:szCs w:val="20"/>
          <w:color w:val="auto"/>
        </w:rPr>
      </w:pPr>
    </w:p>
    <w:p>
      <w:pPr>
        <w:ind w:left="1380" w:right="719" w:hanging="655"/>
        <w:spacing w:after="0" w:line="269" w:lineRule="auto"/>
        <w:tabs>
          <w:tab w:leader="none" w:pos="1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transactions in puts, calls, or other derivative transactions relating to CVRx securities;</w:t>
      </w:r>
    </w:p>
    <w:p>
      <w:pPr>
        <w:spacing w:after="0" w:line="145" w:lineRule="exact"/>
        <w:rPr>
          <w:rFonts w:ascii="Times New Roman" w:cs="Times New Roman" w:eastAsia="Times New Roman" w:hAnsi="Times New Roman"/>
          <w:sz w:val="20"/>
          <w:szCs w:val="20"/>
          <w:color w:val="auto"/>
        </w:rPr>
      </w:pPr>
    </w:p>
    <w:p>
      <w:pPr>
        <w:ind w:left="1380" w:hanging="655"/>
        <w:spacing w:after="0"/>
        <w:tabs>
          <w:tab w:leader="none" w:pos="1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of CVRx securities (selling securities not owned at the time of sale);</w:t>
      </w:r>
    </w:p>
    <w:p>
      <w:pPr>
        <w:spacing w:after="0" w:line="188" w:lineRule="exact"/>
        <w:rPr>
          <w:rFonts w:ascii="Times New Roman" w:cs="Times New Roman" w:eastAsia="Times New Roman" w:hAnsi="Times New Roman"/>
          <w:sz w:val="20"/>
          <w:szCs w:val="20"/>
          <w:color w:val="auto"/>
        </w:rPr>
      </w:pPr>
    </w:p>
    <w:p>
      <w:pPr>
        <w:ind w:left="1380" w:right="199" w:hanging="655"/>
        <w:spacing w:after="0" w:line="254" w:lineRule="auto"/>
        <w:tabs>
          <w:tab w:leader="none" w:pos="1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any financial instruments (including prepaid variable forward contracts, equity swaps, zero cost collars and exchange funds) that are designed to hedge or offset any decrease in the market value of CVRx securities; and</w:t>
      </w:r>
    </w:p>
    <w:p>
      <w:pPr>
        <w:spacing w:after="0" w:line="160" w:lineRule="exact"/>
        <w:rPr>
          <w:rFonts w:ascii="Times New Roman" w:cs="Times New Roman" w:eastAsia="Times New Roman" w:hAnsi="Times New Roman"/>
          <w:sz w:val="20"/>
          <w:szCs w:val="20"/>
          <w:color w:val="auto"/>
        </w:rPr>
      </w:pPr>
    </w:p>
    <w:p>
      <w:pPr>
        <w:ind w:left="1380" w:right="299" w:hanging="655"/>
        <w:spacing w:after="0" w:line="269" w:lineRule="auto"/>
        <w:tabs>
          <w:tab w:leader="none" w:pos="1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limit orders or other pre-arranged transactions that execute automatically, except for “same-day” limit orders and approved 10b5-1 plans.</w:t>
      </w:r>
    </w:p>
    <w:p>
      <w:pPr>
        <w:spacing w:after="0" w:line="132" w:lineRule="exact"/>
        <w:rPr>
          <w:sz w:val="20"/>
          <w:szCs w:val="20"/>
          <w:color w:val="auto"/>
        </w:rPr>
      </w:pPr>
    </w:p>
    <w:p>
      <w:pPr>
        <w:ind w:left="80" w:right="439"/>
        <w:spacing w:after="0" w:line="246" w:lineRule="auto"/>
        <w:rPr>
          <w:sz w:val="20"/>
          <w:szCs w:val="20"/>
          <w:color w:val="auto"/>
        </w:rPr>
      </w:pPr>
      <w:r>
        <w:rPr>
          <w:rFonts w:ascii="Times New Roman" w:cs="Times New Roman" w:eastAsia="Times New Roman" w:hAnsi="Times New Roman"/>
          <w:sz w:val="20"/>
          <w:szCs w:val="20"/>
          <w:color w:val="auto"/>
        </w:rPr>
        <w:t>These restrictions apply to all CVRx securities owned directly or indirectly by CVRx Personnel, including CVRx securities owned by family members where the CVRx Personnel is deemed to beneficially own such securities, and their respective designees. However, the restrictions do not prevent any CVRx Personnel or their family members or their designees from engaging in general portfolio diversification or investing in broad-based index funds.</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Obligations After Ceasing to be a Covered Person</w:t>
      </w:r>
    </w:p>
    <w:p>
      <w:pPr>
        <w:spacing w:after="0" w:line="206" w:lineRule="exact"/>
        <w:rPr>
          <w:sz w:val="20"/>
          <w:szCs w:val="20"/>
          <w:color w:val="auto"/>
        </w:rPr>
      </w:pPr>
    </w:p>
    <w:p>
      <w:pPr>
        <w:ind w:left="80" w:right="119"/>
        <w:spacing w:after="0" w:line="246" w:lineRule="auto"/>
        <w:rPr>
          <w:sz w:val="20"/>
          <w:szCs w:val="20"/>
          <w:color w:val="auto"/>
        </w:rPr>
      </w:pPr>
      <w:r>
        <w:rPr>
          <w:rFonts w:ascii="Times New Roman" w:cs="Times New Roman" w:eastAsia="Times New Roman" w:hAnsi="Times New Roman"/>
          <w:sz w:val="20"/>
          <w:szCs w:val="20"/>
          <w:color w:val="auto"/>
        </w:rPr>
        <w:t>If a person ceases to be a Covered Person at a time when the Covered Person is aware of material nonpublic information, the applicable provisions of this Policy will continue to apply to such person until that information has become public or is no longer material. Accordingly, certain provisions of this Policy, including the Addendum, if applicable, may continue to apply to a person after he or she ceases to be a Covered Person, based on the circumstances in effect at the time he or she separates from the Company.</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Additional Restrictions on Access Persons</w:t>
      </w:r>
    </w:p>
    <w:p>
      <w:pPr>
        <w:spacing w:after="0" w:line="193" w:lineRule="exact"/>
        <w:rPr>
          <w:sz w:val="20"/>
          <w:szCs w:val="20"/>
          <w:color w:val="auto"/>
        </w:rPr>
      </w:pPr>
    </w:p>
    <w:p>
      <w:pPr>
        <w:ind w:left="80" w:right="119"/>
        <w:spacing w:after="0" w:line="249" w:lineRule="auto"/>
        <w:rPr>
          <w:sz w:val="20"/>
          <w:szCs w:val="20"/>
          <w:color w:val="auto"/>
        </w:rPr>
      </w:pPr>
      <w:r>
        <w:rPr>
          <w:rFonts w:ascii="Times New Roman" w:cs="Times New Roman" w:eastAsia="Times New Roman" w:hAnsi="Times New Roman"/>
          <w:sz w:val="20"/>
          <w:szCs w:val="20"/>
          <w:color w:val="auto"/>
        </w:rPr>
        <w:t xml:space="preserve">Directors and Section 16 officers of CVRx and other officers and key employees of CVRx and its subsidiaries who have been designated as “Access Persons” by the Chief Financial Officer, as well as related parties of such individuals, are subject to additional restrictions on trading CVRx securities as set out in the attached </w:t>
      </w:r>
      <w:r>
        <w:rPr>
          <w:rFonts w:ascii="Times New Roman" w:cs="Times New Roman" w:eastAsia="Times New Roman" w:hAnsi="Times New Roman"/>
          <w:sz w:val="20"/>
          <w:szCs w:val="20"/>
          <w:b w:val="1"/>
          <w:bCs w:val="1"/>
          <w:u w:val="single" w:color="auto"/>
          <w:color w:val="auto"/>
        </w:rPr>
        <w:t>Addendum</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Implementation Procedures</w:t>
      </w:r>
    </w:p>
    <w:p>
      <w:pPr>
        <w:spacing w:after="0" w:line="193" w:lineRule="exact"/>
        <w:rPr>
          <w:sz w:val="20"/>
          <w:szCs w:val="20"/>
          <w:color w:val="auto"/>
        </w:rPr>
      </w:pPr>
    </w:p>
    <w:p>
      <w:pPr>
        <w:ind w:left="80" w:right="639"/>
        <w:spacing w:after="0" w:line="295" w:lineRule="auto"/>
        <w:rPr>
          <w:sz w:val="20"/>
          <w:szCs w:val="20"/>
          <w:color w:val="auto"/>
        </w:rPr>
      </w:pPr>
      <w:r>
        <w:rPr>
          <w:rFonts w:ascii="Times New Roman" w:cs="Times New Roman" w:eastAsia="Times New Roman" w:hAnsi="Times New Roman"/>
          <w:sz w:val="19"/>
          <w:szCs w:val="19"/>
          <w:color w:val="auto"/>
        </w:rPr>
        <w:t>The current version of this Policy will, at all times, be accessible upon request to the Company’s General Counsel. The Company will notify Access Persons of the applicable blackout dates for each quarter. The</w:t>
      </w:r>
    </w:p>
    <w:p>
      <w:pPr>
        <w:spacing w:after="0" w:line="187"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111" w:name="page112"/>
    <w:bookmarkEnd w:id="111"/>
    <w:p>
      <w:pPr>
        <w:ind w:left="80" w:right="379"/>
        <w:spacing w:after="0" w:line="294" w:lineRule="auto"/>
        <w:rPr>
          <w:sz w:val="20"/>
          <w:szCs w:val="20"/>
          <w:color w:val="auto"/>
        </w:rPr>
      </w:pPr>
      <w:r>
        <w:rPr>
          <w:rFonts w:ascii="Times New Roman" w:cs="Times New Roman" w:eastAsia="Times New Roman" w:hAnsi="Times New Roman"/>
          <w:sz w:val="19"/>
          <w:szCs w:val="19"/>
          <w:color w:val="auto"/>
        </w:rPr>
        <w:t>Company provides training and information on this Policy and the insider trading laws to appropriate CVRx Personnel from time to time, and CVRx Personnel are required to attend all trainings assigned to them.</w:t>
      </w:r>
    </w:p>
    <w:p>
      <w:pPr>
        <w:spacing w:after="0" w:line="1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Consequences of Violating Laws and Policy</w:t>
      </w:r>
    </w:p>
    <w:p>
      <w:pPr>
        <w:spacing w:after="0" w:line="202" w:lineRule="exact"/>
        <w:rPr>
          <w:sz w:val="20"/>
          <w:szCs w:val="20"/>
          <w:color w:val="auto"/>
        </w:rPr>
      </w:pPr>
    </w:p>
    <w:p>
      <w:pPr>
        <w:ind w:left="720" w:right="519" w:hanging="643"/>
        <w:spacing w:after="0" w:line="256" w:lineRule="auto"/>
        <w:tabs>
          <w:tab w:leader="none" w:pos="7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Disciplinary Action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CVRx Personnel who fail to comply with this Policy will be 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appropriate disciplinary action, which may include, among other consequences, the ineligibility to participate in CVRx’s equity incentive plans or termination of employment.</w:t>
      </w:r>
    </w:p>
    <w:p>
      <w:pPr>
        <w:spacing w:after="0" w:line="141" w:lineRule="exact"/>
        <w:rPr>
          <w:rFonts w:ascii="Times New Roman" w:cs="Times New Roman" w:eastAsia="Times New Roman" w:hAnsi="Times New Roman"/>
          <w:sz w:val="20"/>
          <w:szCs w:val="20"/>
          <w:b w:val="1"/>
          <w:bCs w:val="1"/>
          <w:color w:val="auto"/>
        </w:rPr>
      </w:pPr>
    </w:p>
    <w:p>
      <w:pPr>
        <w:ind w:left="720" w:right="179" w:hanging="643"/>
        <w:spacing w:after="0" w:line="246" w:lineRule="auto"/>
        <w:tabs>
          <w:tab w:leader="none" w:pos="7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Civil and Criminal Penalties. </w:t>
      </w:r>
      <w:r>
        <w:rPr>
          <w:rFonts w:ascii="Times New Roman" w:cs="Times New Roman" w:eastAsia="Times New Roman" w:hAnsi="Times New Roman"/>
          <w:sz w:val="20"/>
          <w:szCs w:val="20"/>
          <w:color w:val="auto"/>
        </w:rPr>
        <w:t>Under federal securities laws, the penalties for violating insider trading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laws are severe. If you trade on (or tip) material nonpublic information, you are subject to civil penalties of up to three times the profit gained or loss avoided, criminal fines of up to $5,000,000 and up to 20 years imprisonment. If CVRx fails to take appropriate steps to prevent insider trading, CVRx and its directors, officers and other supervisory CVRx Personnel may be subject to “controlling person” liability and potential civil and criminal penalties.</w:t>
      </w: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Questions</w:t>
      </w:r>
    </w:p>
    <w:p>
      <w:pPr>
        <w:spacing w:after="0" w:line="193" w:lineRule="exact"/>
        <w:rPr>
          <w:sz w:val="20"/>
          <w:szCs w:val="20"/>
          <w:color w:val="auto"/>
        </w:rPr>
      </w:pPr>
    </w:p>
    <w:p>
      <w:pPr>
        <w:ind w:left="80" w:right="139"/>
        <w:spacing w:after="0" w:line="269" w:lineRule="auto"/>
        <w:rPr>
          <w:sz w:val="20"/>
          <w:szCs w:val="20"/>
          <w:color w:val="auto"/>
        </w:rPr>
      </w:pPr>
      <w:r>
        <w:rPr>
          <w:rFonts w:ascii="Times New Roman" w:cs="Times New Roman" w:eastAsia="Times New Roman" w:hAnsi="Times New Roman"/>
          <w:sz w:val="20"/>
          <w:szCs w:val="20"/>
          <w:color w:val="auto"/>
        </w:rPr>
        <w:t>Questions regarding any of the provisions or procedures of this Insider Trading Policy should be directed to the Chief Financial Officer.</w:t>
      </w:r>
    </w:p>
    <w:p>
      <w:pPr>
        <w:spacing w:after="0" w:line="1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Revised: January 23, 2025</w:t>
      </w:r>
    </w:p>
    <w:p>
      <w:pPr>
        <w:spacing w:after="0" w:line="200" w:lineRule="exact"/>
        <w:rPr>
          <w:sz w:val="20"/>
          <w:szCs w:val="20"/>
          <w:color w:val="auto"/>
        </w:rPr>
      </w:pPr>
    </w:p>
    <w:p>
      <w:pPr>
        <w:spacing w:after="0" w:line="295"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ADDENDUM TO INSIDER TRADING POLICY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Requirements and Responsibilities for Access Persons</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3" w:lineRule="exact"/>
        <w:rPr>
          <w:sz w:val="20"/>
          <w:szCs w:val="20"/>
          <w:color w:val="auto"/>
        </w:rPr>
      </w:pPr>
    </w:p>
    <w:p>
      <w:pPr>
        <w:ind w:left="80" w:right="99"/>
        <w:spacing w:after="0" w:line="246" w:lineRule="auto"/>
        <w:rPr>
          <w:sz w:val="20"/>
          <w:szCs w:val="20"/>
          <w:color w:val="auto"/>
        </w:rPr>
      </w:pPr>
      <w:r>
        <w:rPr>
          <w:rFonts w:ascii="Times New Roman" w:cs="Times New Roman" w:eastAsia="Times New Roman" w:hAnsi="Times New Roman"/>
          <w:sz w:val="20"/>
          <w:szCs w:val="20"/>
          <w:color w:val="auto"/>
        </w:rPr>
        <w:t>This Addendum supplements the CVRx Insider Trading Policy and applies to Access Persons, as defined below. Access Persons are subject to both the requirements of the Insider Trading Policy as well as to additional procedures and requirements described below to help prevent inadvertent violations of federal securities laws, to avoid even the appearance of impermissible insider trading, and to facilitate their compliance with certain legal requirements not applicable to CVRx Personnel generally.</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Persons Covered</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individuals and entities described below are “Access Persons.”</w:t>
      </w:r>
    </w:p>
    <w:p>
      <w:pPr>
        <w:spacing w:after="0" w:line="185" w:lineRule="exact"/>
        <w:rPr>
          <w:sz w:val="20"/>
          <w:szCs w:val="20"/>
          <w:color w:val="auto"/>
        </w:rPr>
      </w:pPr>
    </w:p>
    <w:p>
      <w:pPr>
        <w:ind w:left="1380" w:right="119" w:hanging="655"/>
        <w:spacing w:after="0" w:line="256" w:lineRule="auto"/>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Directors and Section 16 Officers. </w:t>
      </w:r>
      <w:r>
        <w:rPr>
          <w:rFonts w:ascii="Times New Roman" w:cs="Times New Roman" w:eastAsia="Times New Roman" w:hAnsi="Times New Roman"/>
          <w:sz w:val="20"/>
          <w:szCs w:val="20"/>
          <w:color w:val="auto"/>
        </w:rPr>
        <w:t>All provisions of this Addendum apply to the directors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of CVRx subject to Section 16 of the Securities Exchange Act of 1934 (referred to herein as “Section 16 Persons”).</w:t>
      </w:r>
    </w:p>
    <w:p>
      <w:pPr>
        <w:spacing w:after="0" w:line="155" w:lineRule="exact"/>
        <w:rPr>
          <w:rFonts w:ascii="Times New Roman" w:cs="Times New Roman" w:eastAsia="Times New Roman" w:hAnsi="Times New Roman"/>
          <w:sz w:val="20"/>
          <w:szCs w:val="20"/>
          <w:color w:val="auto"/>
        </w:rPr>
      </w:pPr>
    </w:p>
    <w:p>
      <w:pPr>
        <w:ind w:left="1380" w:right="159" w:hanging="655"/>
        <w:spacing w:after="0" w:line="247" w:lineRule="auto"/>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Other Officers and Key Employees. </w:t>
      </w:r>
      <w:r>
        <w:rPr>
          <w:rFonts w:ascii="Times New Roman" w:cs="Times New Roman" w:eastAsia="Times New Roman" w:hAnsi="Times New Roman"/>
          <w:sz w:val="20"/>
          <w:szCs w:val="20"/>
          <w:color w:val="auto"/>
        </w:rPr>
        <w:t>Designated provisions of this Addendum apply to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officers and key employees of CVRx and its subsidiaries. These other officers and key employees, whose duties cause them to regularly have access to material nonpublic information about CVRx, will be notified by the Chief Financial Officer that they are subject to this Addendum.</w:t>
      </w:r>
    </w:p>
    <w:p>
      <w:pPr>
        <w:spacing w:after="0" w:line="153" w:lineRule="exact"/>
        <w:rPr>
          <w:rFonts w:ascii="Times New Roman" w:cs="Times New Roman" w:eastAsia="Times New Roman" w:hAnsi="Times New Roman"/>
          <w:sz w:val="20"/>
          <w:szCs w:val="20"/>
          <w:color w:val="auto"/>
        </w:rPr>
      </w:pPr>
    </w:p>
    <w:p>
      <w:pPr>
        <w:ind w:left="1380" w:right="119" w:hanging="655"/>
        <w:spacing w:after="0" w:line="245" w:lineRule="auto"/>
        <w:tabs>
          <w:tab w:leader="none" w:pos="1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Related Parties. </w:t>
      </w:r>
      <w:r>
        <w:rPr>
          <w:rFonts w:ascii="Times New Roman" w:cs="Times New Roman" w:eastAsia="Times New Roman" w:hAnsi="Times New Roman"/>
          <w:sz w:val="20"/>
          <w:szCs w:val="20"/>
          <w:color w:val="auto"/>
        </w:rPr>
        <w:t>If you are covered by either of the above categories, then this Addendum also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applies to the same extent to your immediate family members and other individuals living in your household (“Family Members”), and to any other person or entity, including a trust, corporation, partnership or other association, whose transactions in CVRx securities are directed by you or your Family Members or are subject to the influence or control of you or your Family Members. Also, you are responsible for informing all Family Members and such related parties of the requirements of this Addendum.</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Quarterly Blackout Periods for Access Persons</w:t>
      </w:r>
    </w:p>
    <w:p>
      <w:pPr>
        <w:spacing w:after="0" w:line="189" w:lineRule="exact"/>
        <w:rPr>
          <w:sz w:val="20"/>
          <w:szCs w:val="20"/>
          <w:color w:val="auto"/>
        </w:rPr>
      </w:pPr>
    </w:p>
    <w:p>
      <w:pPr>
        <w:ind w:left="80" w:right="11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Trading Not Permitted During Quarterly Blackout Periods. </w:t>
      </w:r>
      <w:r>
        <w:rPr>
          <w:rFonts w:ascii="Times New Roman" w:cs="Times New Roman" w:eastAsia="Times New Roman" w:hAnsi="Times New Roman"/>
          <w:sz w:val="20"/>
          <w:szCs w:val="20"/>
          <w:color w:val="auto"/>
        </w:rPr>
        <w:t>If you are an Access Person, you may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sell or otherwise trade CVRx securities during the period beginning on the 1st of the last calendar month of each fiscal quarter (effectively, 12:01 a.m. Central time on the 1st day of such calendar month) and continuing through the first full trading day following the public release of CVRx’s financial results for that fiscal quarter (each such period being a “blackout period”). If a Access Person wishes to trade outside of a blackout period, the person may do so only if he or she is not then aware of any material nonpublic information and has complied with the notification and pre-clearance procedures described below.</w:t>
      </w:r>
    </w:p>
    <w:p>
      <w:pPr>
        <w:spacing w:after="0" w:line="152" w:lineRule="exact"/>
        <w:rPr>
          <w:sz w:val="20"/>
          <w:szCs w:val="20"/>
          <w:color w:val="auto"/>
        </w:rPr>
      </w:pPr>
    </w:p>
    <w:p>
      <w:pPr>
        <w:ind w:left="80" w:right="13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Illustration – Quarterly Blackout Period: </w:t>
      </w:r>
      <w:r>
        <w:rPr>
          <w:rFonts w:ascii="Times New Roman" w:cs="Times New Roman" w:eastAsia="Times New Roman" w:hAnsi="Times New Roman"/>
          <w:sz w:val="20"/>
          <w:szCs w:val="20"/>
          <w:color w:val="auto"/>
        </w:rPr>
        <w:t>If financial results for the quarter ended March 31 are released after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stock market closes on April 26, then Access Persons are prohibited from trading from March 1 through April 27, but could trade from April 28 through May 31, assuming that April 27 is a trading day on the Nasdaq Stock Market and unless they are aware of material nonpublic information or have not complied with the notification and pre-clearance procedures below.</w:t>
      </w:r>
    </w:p>
    <w:p>
      <w:pPr>
        <w:spacing w:after="0" w:line="234"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3" w:name="page114"/>
    <w:bookmarkEnd w:id="113"/>
    <w:p>
      <w:pPr>
        <w:ind w:left="80"/>
        <w:spacing w:after="0"/>
        <w:rPr>
          <w:sz w:val="20"/>
          <w:szCs w:val="20"/>
          <w:color w:val="auto"/>
        </w:rPr>
      </w:pPr>
      <w:r>
        <w:rPr>
          <w:rFonts w:ascii="Times New Roman" w:cs="Times New Roman" w:eastAsia="Times New Roman" w:hAnsi="Times New Roman"/>
          <w:sz w:val="20"/>
          <w:szCs w:val="20"/>
          <w:b w:val="1"/>
          <w:bCs w:val="1"/>
          <w:color w:val="auto"/>
        </w:rPr>
        <w:t>Pre-clearance Requirements for Trades Outside of Blackout Periods</w:t>
      </w:r>
    </w:p>
    <w:p>
      <w:pPr>
        <w:spacing w:after="0" w:line="188" w:lineRule="exact"/>
        <w:rPr>
          <w:sz w:val="20"/>
          <w:szCs w:val="20"/>
          <w:color w:val="auto"/>
        </w:rPr>
      </w:pPr>
    </w:p>
    <w:p>
      <w:pPr>
        <w:ind w:left="80" w:right="19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Notices of Intended Transaction and Requests for Approval. </w:t>
      </w:r>
      <w:r>
        <w:rPr>
          <w:rFonts w:ascii="Times New Roman" w:cs="Times New Roman" w:eastAsia="Times New Roman" w:hAnsi="Times New Roman"/>
          <w:sz w:val="20"/>
          <w:szCs w:val="20"/>
          <w:color w:val="auto"/>
        </w:rPr>
        <w:t>If you are an Access Person, you may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engage in any transaction involving CVRx securities outside blackout periods without first obtaining pre-clearance of that transaction from CVRx’s Chief Financial Officer. Prior to initiating any transaction in CVRx securities outside a blackout period, you must deliver to the Chief Financial Officer an electronic notice in the form specified in the attached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during a permitted trading period requesting clearance to trade, which can be submitted by email. The Chief Financial Officer may approve modifications to this notice process and pre-clearance notice form.</w:t>
      </w:r>
    </w:p>
    <w:p>
      <w:pPr>
        <w:spacing w:after="0" w:line="170" w:lineRule="exact"/>
        <w:rPr>
          <w:sz w:val="20"/>
          <w:szCs w:val="20"/>
          <w:color w:val="auto"/>
        </w:rPr>
      </w:pPr>
    </w:p>
    <w:p>
      <w:pPr>
        <w:ind w:left="80" w:right="219"/>
        <w:spacing w:after="0" w:line="249" w:lineRule="auto"/>
        <w:rPr>
          <w:sz w:val="20"/>
          <w:szCs w:val="20"/>
          <w:color w:val="auto"/>
        </w:rPr>
      </w:pPr>
      <w:r>
        <w:rPr>
          <w:rFonts w:ascii="Times New Roman" w:cs="Times New Roman" w:eastAsia="Times New Roman" w:hAnsi="Times New Roman"/>
          <w:sz w:val="20"/>
          <w:szCs w:val="20"/>
          <w:color w:val="auto"/>
        </w:rPr>
        <w:t>To avoid signaling to others that something material and nonpublic may be happening with respect to CVRx, you should keep the response to your approval request entirely confidential. This confidentiality will be easier to maintain if you go through the required approval process prior to discussing a proposed trade with others, including your broker.</w:t>
      </w:r>
    </w:p>
    <w:p>
      <w:pPr>
        <w:spacing w:after="0" w:line="149" w:lineRule="exact"/>
        <w:rPr>
          <w:sz w:val="20"/>
          <w:szCs w:val="20"/>
          <w:color w:val="auto"/>
        </w:rPr>
      </w:pPr>
    </w:p>
    <w:p>
      <w:pPr>
        <w:ind w:left="80" w:right="15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Clearance to Proceed with a Transaction. </w:t>
      </w:r>
      <w:r>
        <w:rPr>
          <w:rFonts w:ascii="Times New Roman" w:cs="Times New Roman" w:eastAsia="Times New Roman" w:hAnsi="Times New Roman"/>
          <w:sz w:val="20"/>
          <w:szCs w:val="20"/>
          <w:color w:val="auto"/>
        </w:rPr>
        <w:t>No pre-clearance notice will be an effective clearance to a trade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unless and until the Chief Financial Officer responds to the notice with his or her approval in writing. Any such approval be valid for the period specified in the Chief Financial Officer’s pre-clearance approval. A favorable response from the Chief Financial Officer should not be interpreted as approval by the Company of the advisability of the proposed trade. Furthermore, the overarching prohibition on trading when you are aware of material nonpublic information regarding CVRx remains in effect.</w:t>
      </w: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Additional Restrictions on Section 16 Persons</w:t>
      </w:r>
    </w:p>
    <w:p>
      <w:pPr>
        <w:spacing w:after="0" w:line="193" w:lineRule="exact"/>
        <w:rPr>
          <w:sz w:val="20"/>
          <w:szCs w:val="20"/>
          <w:color w:val="auto"/>
        </w:rPr>
      </w:pPr>
    </w:p>
    <w:p>
      <w:pPr>
        <w:ind w:left="80" w:right="159"/>
        <w:spacing w:after="0" w:line="245" w:lineRule="auto"/>
        <w:rPr>
          <w:sz w:val="20"/>
          <w:szCs w:val="20"/>
          <w:color w:val="auto"/>
        </w:rPr>
      </w:pPr>
      <w:r>
        <w:rPr>
          <w:rFonts w:ascii="Times New Roman" w:cs="Times New Roman" w:eastAsia="Times New Roman" w:hAnsi="Times New Roman"/>
          <w:sz w:val="20"/>
          <w:szCs w:val="20"/>
          <w:color w:val="auto"/>
        </w:rPr>
        <w:t>Section 16 Persons must also comply with the reporting obligations and limitations on short-swing trading transactions imposed by Section 16 of the Securities Exchange Act of 1934. Among other things, Section 16 requires directors and Section 16 officers to pay over to CVRx any profit realized from any purchase and sale (in either order) of CVRx securities that occur within six months of each other. Section 16 and its related rules are very complex, and CVRx will provide to each director and Section 16 officer additional information discussing compliance with Section 16 and its related rules.</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Exceptions for Approved 10b5-1 Plans</w:t>
      </w:r>
    </w:p>
    <w:p>
      <w:pPr>
        <w:spacing w:after="0" w:line="193" w:lineRule="exact"/>
        <w:rPr>
          <w:sz w:val="20"/>
          <w:szCs w:val="20"/>
          <w:color w:val="auto"/>
        </w:rPr>
      </w:pPr>
    </w:p>
    <w:p>
      <w:pPr>
        <w:ind w:left="80" w:right="419"/>
        <w:spacing w:after="0" w:line="249" w:lineRule="auto"/>
        <w:rPr>
          <w:sz w:val="20"/>
          <w:szCs w:val="20"/>
          <w:color w:val="auto"/>
        </w:rPr>
      </w:pPr>
      <w:r>
        <w:rPr>
          <w:rFonts w:ascii="Times New Roman" w:cs="Times New Roman" w:eastAsia="Times New Roman" w:hAnsi="Times New Roman"/>
          <w:sz w:val="20"/>
          <w:szCs w:val="20"/>
          <w:color w:val="auto"/>
        </w:rPr>
        <w:t>Transactions by Access Persons in CVRx securities that are executed pursuant to a 10b5-1 plan approved in writing in advance by the Chief Financial Officer are not subject to prohibition on trading on the basis of material nonpublic information or the restrictions in this Addendum relating to the pre-clearance approval process or window periods.</w:t>
      </w:r>
    </w:p>
    <w:p>
      <w:pPr>
        <w:spacing w:after="0" w:line="166" w:lineRule="exact"/>
        <w:rPr>
          <w:sz w:val="20"/>
          <w:szCs w:val="20"/>
          <w:color w:val="auto"/>
        </w:rPr>
      </w:pPr>
    </w:p>
    <w:p>
      <w:pPr>
        <w:jc w:val="both"/>
        <w:ind w:left="80" w:right="199"/>
        <w:spacing w:after="0" w:line="249" w:lineRule="auto"/>
        <w:rPr>
          <w:sz w:val="20"/>
          <w:szCs w:val="20"/>
          <w:color w:val="auto"/>
        </w:rPr>
      </w:pPr>
      <w:r>
        <w:rPr>
          <w:rFonts w:ascii="Times New Roman" w:cs="Times New Roman" w:eastAsia="Times New Roman" w:hAnsi="Times New Roman"/>
          <w:sz w:val="20"/>
          <w:szCs w:val="20"/>
          <w:color w:val="auto"/>
        </w:rPr>
        <w:t xml:space="preserve">Rule 10b5-1 provides an affirmative defense from insider trading liability under the federal securities laws for trading plans that meet certain requirements. In general, a 10b5-1 plan must be entered into during a permitted trading period and when you are not aware of material nonpublic information, and must comply with the other requirements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GENERAL FORM OF ACCESS PERSON REQUEST FOR APPROVAL TO TRADE</w:t>
      </w:r>
    </w:p>
    <w:p>
      <w:pPr>
        <w:spacing w:after="0" w:line="112" w:lineRule="exact"/>
        <w:rPr>
          <w:sz w:val="20"/>
          <w:szCs w:val="20"/>
          <w:color w:val="auto"/>
        </w:rPr>
      </w:pPr>
    </w:p>
    <w:p>
      <w:pPr>
        <w:ind w:left="720" w:hanging="319"/>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certify I do not have any material, non-public information;</w:t>
      </w:r>
    </w:p>
    <w:p>
      <w:pPr>
        <w:spacing w:after="0" w:line="107" w:lineRule="exact"/>
        <w:rPr>
          <w:rFonts w:ascii="Times New Roman" w:cs="Times New Roman" w:eastAsia="Times New Roman" w:hAnsi="Times New Roman"/>
          <w:sz w:val="20"/>
          <w:szCs w:val="20"/>
          <w:color w:val="auto"/>
        </w:rPr>
      </w:pPr>
    </w:p>
    <w:p>
      <w:pPr>
        <w:ind w:left="720" w:right="319" w:hanging="319"/>
        <w:spacing w:after="0" w:line="269"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my proposed trade, I certify that, in making this request, I am complying with the applicable provisions of the CVRx, Inc. Insider Trading Policy;</w:t>
      </w:r>
    </w:p>
    <w:p>
      <w:pPr>
        <w:spacing w:after="0" w:line="51" w:lineRule="exact"/>
        <w:rPr>
          <w:rFonts w:ascii="Times New Roman" w:cs="Times New Roman" w:eastAsia="Times New Roman" w:hAnsi="Times New Roman"/>
          <w:sz w:val="20"/>
          <w:szCs w:val="20"/>
          <w:color w:val="auto"/>
        </w:rPr>
      </w:pPr>
    </w:p>
    <w:p>
      <w:pPr>
        <w:ind w:left="720" w:right="119" w:hanging="319"/>
        <w:spacing w:after="0" w:line="269"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clearance for the transaction(s), if granted, will be valid only until the earlier of (i) the period specific in the pre-clearance approval and (ii) the trading window closing; and</w:t>
      </w:r>
    </w:p>
    <w:p>
      <w:pPr>
        <w:spacing w:after="0" w:line="51" w:lineRule="exact"/>
        <w:rPr>
          <w:rFonts w:ascii="Times New Roman" w:cs="Times New Roman" w:eastAsia="Times New Roman" w:hAnsi="Times New Roman"/>
          <w:sz w:val="20"/>
          <w:szCs w:val="20"/>
          <w:color w:val="auto"/>
        </w:rPr>
      </w:pPr>
    </w:p>
    <w:p>
      <w:pPr>
        <w:ind w:left="720" w:right="719" w:hanging="319"/>
        <w:spacing w:after="0" w:line="269"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become aware of any material non-public information prior to the trade occurring, I will not execute the trade.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Rule 10b5-1 Trading Plan Transactions Policy</w:t>
      </w:r>
    </w:p>
    <w:p>
      <w:pPr>
        <w:spacing w:after="0" w:line="233" w:lineRule="exact"/>
        <w:rPr>
          <w:sz w:val="20"/>
          <w:szCs w:val="20"/>
          <w:color w:val="auto"/>
        </w:rPr>
      </w:pPr>
    </w:p>
    <w:p>
      <w:pPr>
        <w:ind w:left="80" w:right="99"/>
        <w:spacing w:after="0" w:line="245" w:lineRule="auto"/>
        <w:rPr>
          <w:sz w:val="20"/>
          <w:szCs w:val="20"/>
          <w:color w:val="auto"/>
        </w:rPr>
      </w:pPr>
      <w:r>
        <w:rPr>
          <w:rFonts w:ascii="Times New Roman" w:cs="Times New Roman" w:eastAsia="Times New Roman" w:hAnsi="Times New Roman"/>
          <w:sz w:val="20"/>
          <w:szCs w:val="20"/>
          <w:color w:val="auto"/>
        </w:rPr>
        <w:t>Rule 10b5-1 under the Securities Exchange Act of 1934 provides a defense from insider trading liability under Rule 10b-5. In order to be eligible to rely on this defense, a person subject to this Policy must enter into a 10b5-1 Plan for transactions in CVRx securities that meets certain conditions specified in that rule.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following guidelines apply to all 10b5-1 Plans (unless otherwise approved by the Chief Financial Officer):</w:t>
      </w:r>
    </w:p>
    <w:p>
      <w:pPr>
        <w:spacing w:after="0" w:line="241" w:lineRule="exact"/>
        <w:rPr>
          <w:sz w:val="20"/>
          <w:szCs w:val="20"/>
          <w:color w:val="auto"/>
        </w:rPr>
      </w:pPr>
    </w:p>
    <w:p>
      <w:pPr>
        <w:ind w:left="780" w:right="139" w:hanging="325"/>
        <w:spacing w:after="0"/>
        <w:tabs>
          <w:tab w:leader="none" w:pos="78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For Section 16 Persons, no transaction may take place under a 10b5-1 Plan until expiration of a cooling-off period consisting of the later of (a) 90 days after adoption or modification (as specified in Rule 10b5-1) of the 10b5-1 Plan or (b) two business days following the disclosure of the Company’s financial results in a Form 10-Q or Form 10-K for the fiscal quarter (the Company’s fourth fiscal quarter in the case of a Form 10-K) in which the 10b5-1 Plan was adopted or modified (as specified in Rule 10b5-1), but in any event, this required cooling-off period is subject to a maximum of 120 days after adoption of the plan.</w:t>
      </w:r>
    </w:p>
    <w:p>
      <w:pPr>
        <w:spacing w:after="0" w:line="81" w:lineRule="exact"/>
        <w:rPr>
          <w:rFonts w:ascii="Arial" w:cs="Arial" w:eastAsia="Arial" w:hAnsi="Arial"/>
          <w:sz w:val="22"/>
          <w:szCs w:val="22"/>
          <w:color w:val="auto"/>
        </w:rPr>
      </w:pPr>
    </w:p>
    <w:p>
      <w:pPr>
        <w:ind w:left="780" w:right="99" w:hanging="325"/>
        <w:spacing w:after="0" w:line="242" w:lineRule="auto"/>
        <w:tabs>
          <w:tab w:leader="none" w:pos="78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For persons other than Section 16 Persons, no transaction may take place under a 10b5-1 Plan until the expiration of a cooling-off period that is 30 days following the adoption or modification (as specified in Rule 10b5-1) of a 10b5-1 Plan.</w:t>
      </w:r>
    </w:p>
    <w:p>
      <w:pPr>
        <w:spacing w:after="0" w:line="77" w:lineRule="exact"/>
        <w:rPr>
          <w:rFonts w:ascii="Arial" w:cs="Arial" w:eastAsia="Arial" w:hAnsi="Arial"/>
          <w:sz w:val="22"/>
          <w:szCs w:val="22"/>
          <w:color w:val="auto"/>
        </w:rPr>
      </w:pPr>
    </w:p>
    <w:p>
      <w:pPr>
        <w:ind w:left="780" w:right="479" w:hanging="325"/>
        <w:spacing w:after="0" w:line="245" w:lineRule="auto"/>
        <w:tabs>
          <w:tab w:leader="none" w:pos="78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Subject to certain limited exceptions specified in 10b5-1, you may not have more than one 10b5-1 Plan in effect at any same time.</w:t>
      </w:r>
    </w:p>
    <w:p>
      <w:pPr>
        <w:spacing w:after="0" w:line="73" w:lineRule="exact"/>
        <w:rPr>
          <w:rFonts w:ascii="Arial" w:cs="Arial" w:eastAsia="Arial" w:hAnsi="Arial"/>
          <w:sz w:val="22"/>
          <w:szCs w:val="22"/>
          <w:color w:val="auto"/>
        </w:rPr>
      </w:pPr>
    </w:p>
    <w:p>
      <w:pPr>
        <w:ind w:left="780" w:right="219" w:hanging="325"/>
        <w:spacing w:after="0" w:line="241" w:lineRule="auto"/>
        <w:tabs>
          <w:tab w:leader="none" w:pos="78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Subject to certain limited exceptions specified in Rule 10b5-1, you may only enter into a 10b5-1 Plan that is designed to effect an open market purchase or sale of the total amount of securities subject to the 10b5-1 Plan as a single transaction (a “single-transaction plan”) if you have not entered into a “single-transaction plan” in the prior 12 months.</w:t>
      </w:r>
    </w:p>
    <w:p>
      <w:pPr>
        <w:spacing w:after="0" w:line="79" w:lineRule="exact"/>
        <w:rPr>
          <w:rFonts w:ascii="Arial" w:cs="Arial" w:eastAsia="Arial" w:hAnsi="Arial"/>
          <w:sz w:val="22"/>
          <w:szCs w:val="22"/>
          <w:color w:val="auto"/>
        </w:rPr>
      </w:pPr>
    </w:p>
    <w:p>
      <w:pPr>
        <w:ind w:left="780" w:right="159" w:hanging="325"/>
        <w:spacing w:after="0" w:line="241" w:lineRule="auto"/>
        <w:tabs>
          <w:tab w:leader="none" w:pos="78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0"/>
          <w:szCs w:val="20"/>
          <w:color w:val="auto"/>
        </w:rPr>
        <w:t>You must act in good faith with respect to a 10b5-1 Plan. A 10b5-1 Plan cannot be entered into as part of a plan or scheme to evade the prohibition of Rule 10b-5. Therefore, although modifications to an existing 10b5-1 Plan are not prohibited, a 10b5-1 Plan should be adopted with the intention that it will not be amended or terminated prior to its expiration.</w:t>
      </w:r>
    </w:p>
    <w:p>
      <w:pPr>
        <w:spacing w:after="0" w:line="79" w:lineRule="exact"/>
        <w:rPr>
          <w:rFonts w:ascii="Arial" w:cs="Arial" w:eastAsia="Arial" w:hAnsi="Arial"/>
          <w:sz w:val="22"/>
          <w:szCs w:val="22"/>
          <w:color w:val="auto"/>
        </w:rPr>
      </w:pPr>
    </w:p>
    <w:p>
      <w:pPr>
        <w:jc w:val="both"/>
        <w:ind w:left="780" w:right="139" w:hanging="325"/>
        <w:spacing w:after="0" w:line="260" w:lineRule="auto"/>
        <w:tabs>
          <w:tab w:leader="none" w:pos="780" w:val="left"/>
        </w:tabs>
        <w:numPr>
          <w:ilvl w:val="0"/>
          <w:numId w:val="71"/>
        </w:numPr>
        <w:rPr>
          <w:rFonts w:ascii="Arial" w:cs="Arial" w:eastAsia="Arial" w:hAnsi="Arial"/>
          <w:sz w:val="21"/>
          <w:szCs w:val="21"/>
          <w:color w:val="auto"/>
        </w:rPr>
      </w:pPr>
      <w:r>
        <w:rPr>
          <w:rFonts w:ascii="Times New Roman" w:cs="Times New Roman" w:eastAsia="Times New Roman" w:hAnsi="Times New Roman"/>
          <w:sz w:val="19"/>
          <w:szCs w:val="19"/>
          <w:color w:val="auto"/>
        </w:rPr>
        <w:t>Section 16 Persons must include a representation in the 10b5-1 Plan that (i) the person is not aware of material, nonpublic information about the Company or CVRx securities and (ii) the person is adopting the plan in good faith and not as part of plan or scheme to evade the prohibitions of Rule 10b-5.</w:t>
      </w:r>
    </w:p>
    <w:p>
      <w:pPr>
        <w:spacing w:after="0" w:line="62" w:lineRule="exact"/>
        <w:rPr>
          <w:sz w:val="20"/>
          <w:szCs w:val="20"/>
          <w:color w:val="auto"/>
        </w:rPr>
      </w:pPr>
    </w:p>
    <w:p>
      <w:pPr>
        <w:ind w:left="80" w:right="259" w:hanging="11"/>
        <w:spacing w:after="0" w:line="295" w:lineRule="auto"/>
        <w:rPr>
          <w:sz w:val="20"/>
          <w:szCs w:val="20"/>
          <w:color w:val="auto"/>
        </w:rPr>
      </w:pPr>
      <w:r>
        <w:rPr>
          <w:rFonts w:ascii="Times New Roman" w:cs="Times New Roman" w:eastAsia="Times New Roman" w:hAnsi="Times New Roman"/>
          <w:sz w:val="19"/>
          <w:szCs w:val="19"/>
          <w:color w:val="auto"/>
        </w:rPr>
        <w:t>For purposes of the above, a modification as specified in Rule 10b5-1 includes any modification of a 10b5-1 Plan that changes the amount, price or timing of the purchase or sale of securities underlying the 10b5-1 Plan.</w:t>
      </w:r>
    </w:p>
    <w:p>
      <w:pPr>
        <w:spacing w:after="0" w:line="187"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562356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6" w:name="page117"/>
    <w:bookmarkEnd w:id="116"/>
    <w:p>
      <w:pPr>
        <w:jc w:val="right"/>
        <w:ind w:right="219"/>
        <w:spacing w:after="0"/>
        <w:rPr>
          <w:sz w:val="20"/>
          <w:szCs w:val="20"/>
          <w:color w:val="auto"/>
        </w:rPr>
      </w:pPr>
      <w:r>
        <w:rPr>
          <w:rFonts w:ascii="Arial" w:cs="Arial" w:eastAsia="Arial" w:hAnsi="Arial"/>
          <w:sz w:val="16"/>
          <w:szCs w:val="16"/>
          <w:b w:val="1"/>
          <w:bCs w:val="1"/>
          <w:color w:val="auto"/>
        </w:rPr>
        <w:t>Exhibit 23.1</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ind w:left="200" w:right="259"/>
        <w:spacing w:after="0" w:line="262" w:lineRule="auto"/>
        <w:rPr>
          <w:sz w:val="20"/>
          <w:szCs w:val="20"/>
          <w:color w:val="auto"/>
        </w:rPr>
      </w:pPr>
      <w:r>
        <w:rPr>
          <w:rFonts w:ascii="Arial" w:cs="Arial" w:eastAsia="Arial" w:hAnsi="Arial"/>
          <w:sz w:val="16"/>
          <w:szCs w:val="16"/>
          <w:color w:val="auto"/>
        </w:rPr>
        <w:t>We have issued our report dated February 18, 2025, with respect to the consolidated financial statements included in the Annual Report of CVRx, Inc. on Form 10-K for the year ended December 31, 2024. We consent to the incorporation by reference of said report in the Registration Statements of CVRx, Inc. on Forms S-8 (File No. 333-257616, File No. 333-262901, File No. 333-269696, File No. 333-276984, and File No. 333-276985) and on Form S-3 (File No. 333-268183).</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GRANT THORNTON LLP</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lvl w:ilvl="1">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lvl w:ilvl="1">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65"/>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3"/>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Roman"/>
      <w:start w:val="2"/>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Letter"/>
      <w:start w:val="2"/>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upperLetter"/>
      <w:start w:val="1"/>
    </w:lvl>
    <w:lvl w:ilvl="1">
      <w:lvlJc w:val="left"/>
      <w:lvlText w:val="●"/>
      <w:numFmt w:val="bullet"/>
      <w:start w:val="1"/>
    </w:lvl>
  </w:abstractNum>
  <w:abstractNum w:abstractNumId="59">
    <w:nsid w:val="1381823A"/>
    <w:multiLevelType w:val="hybridMultilevel"/>
    <w:lvl w:ilvl="0">
      <w:lvlJc w:val="left"/>
      <w:lvlText w:val="%1."/>
      <w:numFmt w:val="upperLetter"/>
      <w:start w:val="2"/>
    </w:lvl>
    <w:lvl w:ilvl="1">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62">
    <w:nsid w:val="6590700B"/>
    <w:multiLevelType w:val="hybridMultilevel"/>
    <w:lvl w:ilvl="0">
      <w:lvlJc w:val="left"/>
      <w:lvlText w:val="%1"/>
      <w:numFmt w:val="upperLetter"/>
      <w:start w:val="1"/>
    </w:lvl>
    <w:lvl w:ilvl="1">
      <w:lvlJc w:val="left"/>
      <w:lvlText w:val="%2."/>
      <w:numFmt w:val="decimal"/>
      <w:start w:val="4"/>
    </w:lvl>
  </w:abstractNum>
  <w:abstractNum w:abstractNumId="63">
    <w:nsid w:val="15014ACB"/>
    <w:multiLevelType w:val="hybridMultilevel"/>
    <w:lvl w:ilvl="0">
      <w:lvlJc w:val="left"/>
      <w:lvlText w:val="%1."/>
      <w:numFmt w:val="upperLetter"/>
      <w:start w:val="6"/>
    </w:lvl>
    <w:lvl w:ilvl="1">
      <w:lvlJc w:val="left"/>
      <w:lvlText w:val="%2"/>
      <w:numFmt w:val="decimal"/>
      <w:start w:val="1"/>
    </w:lvl>
  </w:abstractNum>
  <w:abstractNum w:abstractNumId="64">
    <w:nsid w:val="5F5E7FD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65">
    <w:nsid w:val="98A3148"/>
    <w:multiLevelType w:val="hybridMultilevel"/>
    <w:lvl w:ilvl="0">
      <w:lvlJc w:val="left"/>
      <w:lvlText w:val="%1."/>
      <w:numFmt w:val="upperLetter"/>
      <w:start w:val="4"/>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upperLetter"/>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61"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28" Type="http://schemas.openxmlformats.org/officeDocument/2006/relationships/hyperlink" Target="https://www.sec.gov/Archives/edgar/data/1235912/000110465924069657/tm2416672d1_ex3-1.htm" TargetMode="External"/><Relationship Id="rId129" Type="http://schemas.openxmlformats.org/officeDocument/2006/relationships/hyperlink" Target="https://www.sec.gov/Archives/edgar/data/1235912/000110465921089779/tm2121505d1_ex3-2.htm" TargetMode="External"/><Relationship Id="rId130" Type="http://schemas.openxmlformats.org/officeDocument/2006/relationships/hyperlink" Target="https://www.sec.gov/Archives/edgar/data/1235912/000110465921084344/tm2112357d10_ex4-2.htm" TargetMode="External"/><Relationship Id="rId131" Type="http://schemas.openxmlformats.org/officeDocument/2006/relationships/hyperlink" Target="https://www.sec.gov/Archives/edgar/data/1235912/000110465921077026/tm2112357d6_ex4-5.htm" TargetMode="External"/><Relationship Id="rId132" Type="http://schemas.openxmlformats.org/officeDocument/2006/relationships/hyperlink" Target="https://www.sec.gov/Archives/edgar/data/1235912/000110465921077026/tm2112357d6_ex4-6.htm" TargetMode="External"/><Relationship Id="rId133" Type="http://schemas.openxmlformats.org/officeDocument/2006/relationships/hyperlink" Target="https://www.sec.gov/Archives/edgar/data/1235912/000110465921077026/tm2112357d6_ex4-7.htm" TargetMode="External"/><Relationship Id="rId134" Type="http://schemas.openxmlformats.org/officeDocument/2006/relationships/hyperlink" Target="https://www.sec.gov/Archives/edgar/data/1235912/000110465921077026/tm2112357d6_ex4-8.htm" TargetMode="External"/><Relationship Id="rId135" Type="http://schemas.openxmlformats.org/officeDocument/2006/relationships/hyperlink" Target="https://www.sec.gov/Archives/edgar/data/1235912/000110465921077026/tm2112357d6_ex4-9.htm" TargetMode="External"/><Relationship Id="rId136" Type="http://schemas.openxmlformats.org/officeDocument/2006/relationships/hyperlink" Target="https://www.sec.gov/Archives/edgar/data/1235912/000110465921077026/tm2112357d6_ex4-10.htm" TargetMode="External"/><Relationship Id="rId137" Type="http://schemas.openxmlformats.org/officeDocument/2006/relationships/hyperlink" Target="https://www.sec.gov/Archives/edgar/data/1235912/000110465921077026/tm2112357d6_ex4-13.htm" TargetMode="External"/><Relationship Id="rId138" Type="http://schemas.openxmlformats.org/officeDocument/2006/relationships/hyperlink" Target="https://www.sec.gov/Archives/edgar/data/1235912/000110465921077026/tm2112357d6_ex4-14.htm" TargetMode="External"/><Relationship Id="rId139" Type="http://schemas.openxmlformats.org/officeDocument/2006/relationships/hyperlink" Target="https://www.sec.gov/Archives/edgar/data/1235912/000110465921077026/tm2112357d6_ex4-15.htm" TargetMode="External"/><Relationship Id="rId140" Type="http://schemas.openxmlformats.org/officeDocument/2006/relationships/hyperlink" Target="https://www.sec.gov/Archives/edgar/data/1235912/000110465921077026/tm2112357d6_ex4-16.htm" TargetMode="External"/><Relationship Id="rId141" Type="http://schemas.openxmlformats.org/officeDocument/2006/relationships/hyperlink" Target="https://www.sec.gov/Archives/edgar/data/1235912/000155837022001539/tmb-20211231xex4d16.htm" TargetMode="External"/><Relationship Id="rId142" Type="http://schemas.openxmlformats.org/officeDocument/2006/relationships/hyperlink" Target="https://www.sec.gov/Archives/edgar/data/1235912/000110465921077026/tm2112357d6_ex10-1.htm" TargetMode="External"/><Relationship Id="rId143" Type="http://schemas.openxmlformats.org/officeDocument/2006/relationships/hyperlink" Target="https://www.sec.gov/Archives/edgar/data/1235912/000110465921077026/tm2112357d6_ex10-2.htm" TargetMode="External"/><Relationship Id="rId144" Type="http://schemas.openxmlformats.org/officeDocument/2006/relationships/hyperlink" Target="https://www.sec.gov/Archives/edgar/data/1235912/000110465921077026/tm2112357d6_ex10-3.htm" TargetMode="External"/><Relationship Id="rId145" Type="http://schemas.openxmlformats.org/officeDocument/2006/relationships/hyperlink" Target="https://www.sec.gov/Archives/edgar/data/1235912/000110465921077026/tm2112357d6_ex10-4.htm" TargetMode="External"/><Relationship Id="rId146" Type="http://schemas.openxmlformats.org/officeDocument/2006/relationships/hyperlink" Target="https://www.sec.gov/Archives/edgar/data/1235912/000110465921077026/tm2112357d6_ex10-5.htm" TargetMode="External"/><Relationship Id="rId147" Type="http://schemas.openxmlformats.org/officeDocument/2006/relationships/hyperlink" Target="https://www.sec.gov/Archives/edgar/data/1235912/000155837023009381/cvrx-20230331xex10d1.htm" TargetMode="External"/><Relationship Id="rId148" Type="http://schemas.openxmlformats.org/officeDocument/2006/relationships/hyperlink" Target="https://www.sec.gov/Archives/edgar/data/1235912/000155837024000932/cvrx-20231231xex10d7.htm" TargetMode="External"/><Relationship Id="rId149" Type="http://schemas.openxmlformats.org/officeDocument/2006/relationships/hyperlink" Target="https://www.sec.gov/Archives/edgar/data/1235912/000110465921077026/tm2112357d6_ex10-7.htm" TargetMode="External"/><Relationship Id="rId150" Type="http://schemas.openxmlformats.org/officeDocument/2006/relationships/hyperlink" Target="https://www.sec.gov/Archives/edgar/data/1235912/000110465921077026/tm2112357d6_ex10-8.htm" TargetMode="External"/><Relationship Id="rId151" Type="http://schemas.openxmlformats.org/officeDocument/2006/relationships/hyperlink" Target="https://www.sec.gov/Archives/edgar/data/1235912/000110465921088336/tm2120909d1_ex10-2.htm" TargetMode="External"/><Relationship Id="rId152" Type="http://schemas.openxmlformats.org/officeDocument/2006/relationships/hyperlink" Target="https://www.sec.gov/Archives/edgar/data/1235912/000110465921088336/tm2120909d1_ex10-3.htm" TargetMode="External"/><Relationship Id="rId153" Type="http://schemas.openxmlformats.org/officeDocument/2006/relationships/hyperlink" Target="https://www.sec.gov/Archives/edgar/data/1235912/000110465921084344/tm2112357d10_ex10-9.htm" TargetMode="External"/><Relationship Id="rId154" Type="http://schemas.openxmlformats.org/officeDocument/2006/relationships/hyperlink" Target="https://www.sec.gov/Archives/edgar/data/1235912/000110465921088336/tm2120909d1_ex10-5.htm" TargetMode="External"/><Relationship Id="rId155" Type="http://schemas.openxmlformats.org/officeDocument/2006/relationships/hyperlink" Target="https://www.sec.gov/Archives/edgar/data/1235912/000110465921088336/tm2120909d1_ex10-6.htm" TargetMode="External"/><Relationship Id="rId156" Type="http://schemas.openxmlformats.org/officeDocument/2006/relationships/hyperlink" Target="https://www.sec.gov/Archives/edgar/data/1235912/000110465921088336/tm2120909d1_ex10-7.htm" TargetMode="External"/><Relationship Id="rId157" Type="http://schemas.openxmlformats.org/officeDocument/2006/relationships/hyperlink" Target="https://www.sec.gov/Archives/edgar/data/1235912/000155837022001539/tmb-20211231xex10d14.htm" TargetMode="External"/><Relationship Id="rId158" Type="http://schemas.openxmlformats.org/officeDocument/2006/relationships/hyperlink" Target="https://www.sec.gov/Archives/edgar/data/1235912/000110465921084344/tm2112357d10_ex10-12.htm" TargetMode="External"/><Relationship Id="rId159" Type="http://schemas.openxmlformats.org/officeDocument/2006/relationships/hyperlink" Target="https://www.sec.gov/Archives/edgar/data/1235912/000110465921084344/tm2112357d10_ex10-13.htm" TargetMode="External"/><Relationship Id="rId160" Type="http://schemas.openxmlformats.org/officeDocument/2006/relationships/hyperlink" Target="https://www.sec.gov/Archives/edgar/data/1235912/000110465922113505/tm2229314d1_ex10-1.htm" TargetMode="External"/><Relationship Id="rId162" Type="http://schemas.openxmlformats.org/officeDocument/2006/relationships/hyperlink" Target="https://www.sec.gov/Archives/edgar/data/1235912/000110465922114951/tm2229612d2_ex1-2.htm" TargetMode="External"/><Relationship Id="rId163" Type="http://schemas.openxmlformats.org/officeDocument/2006/relationships/hyperlink" Target="https://www.sec.gov/Archives/edgar/data/1235912/000110465924008555/tm244504d1_ex10-1.htm" TargetMode="External"/><Relationship Id="rId164" Type="http://schemas.openxmlformats.org/officeDocument/2006/relationships/hyperlink" Target="https://www.sec.gov/Archives/edgar/data/1235912/000110465924008555/tm244504d1_ex10-2.htm" TargetMode="External"/><Relationship Id="rId165" Type="http://schemas.openxmlformats.org/officeDocument/2006/relationships/hyperlink" Target="https://www.sec.gov/Archives/edgar/data/1235912/000155837022001539/tmb-20211231xex21d1.htm" TargetMode="External"/><Relationship Id="rId166" Type="http://schemas.openxmlformats.org/officeDocument/2006/relationships/hyperlink" Target="https://www.sec.gov/Archives/edgar/data/1235912/000155837024000932/cvr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2025-02-18T06:46:31Z</dcterms:created>
  <dcterms:modified xsi:type="dcterms:W3CDTF">2025-02-18T06:46:31Z</dcterms:modified>
</cp:coreProperties>
</file>