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3"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94615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5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104775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02"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March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104775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CVRx, Inc.</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94615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6" w:lineRule="exact"/>
        <w:rPr>
          <w:sz w:val="24"/>
          <w:szCs w:val="24"/>
          <w:color w:val="auto"/>
        </w:rPr>
      </w:pPr>
    </w:p>
    <w:tbl>
      <w:tblPr>
        <w:tblLayout w:type="fixed"/>
        <w:tblInd w:w="1108" w:type="dxa"/>
        <w:tblCellMar>
          <w:top w:w="0" w:type="dxa"/>
          <w:left w:w="0" w:type="dxa"/>
          <w:bottom w:w="0" w:type="dxa"/>
          <w:right w:w="0" w:type="dxa"/>
        </w:tblCellMar>
      </w:tblPr>
      <w:tr>
        <w:trPr>
          <w:trHeight w:val="148"/>
        </w:trPr>
        <w:tc>
          <w:tcPr>
            <w:tcW w:w="2240" w:type="dxa"/>
            <w:vAlign w:val="bottom"/>
          </w:tcPr>
          <w:p>
            <w:pPr>
              <w:jc w:val="center"/>
              <w:ind w:right="78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74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1A1A1A"/>
                <w:w w:val="99"/>
              </w:rPr>
              <w:t>001-40545</w:t>
            </w:r>
          </w:p>
        </w:tc>
        <w:tc>
          <w:tcPr>
            <w:tcW w:w="1860" w:type="dxa"/>
            <w:vAlign w:val="bottom"/>
          </w:tcPr>
          <w:p>
            <w:pPr>
              <w:jc w:val="center"/>
              <w:ind w:left="900"/>
              <w:spacing w:after="0"/>
              <w:rPr>
                <w:sz w:val="20"/>
                <w:szCs w:val="20"/>
                <w:color w:val="auto"/>
              </w:rPr>
            </w:pPr>
            <w:r>
              <w:rPr>
                <w:rFonts w:ascii="Times New Roman" w:cs="Times New Roman" w:eastAsia="Times New Roman" w:hAnsi="Times New Roman"/>
                <w:sz w:val="12"/>
                <w:szCs w:val="12"/>
                <w:b w:val="1"/>
                <w:bCs w:val="1"/>
                <w:color w:val="auto"/>
                <w:w w:val="99"/>
              </w:rPr>
              <w:t>41-1983744</w:t>
            </w:r>
          </w:p>
        </w:tc>
      </w:tr>
      <w:tr>
        <w:trPr>
          <w:trHeight w:val="144"/>
        </w:trPr>
        <w:tc>
          <w:tcPr>
            <w:tcW w:w="2240" w:type="dxa"/>
            <w:vAlign w:val="bottom"/>
          </w:tcPr>
          <w:p>
            <w:pPr>
              <w:jc w:val="center"/>
              <w:ind w:right="780"/>
              <w:spacing w:after="0"/>
              <w:rPr>
                <w:sz w:val="20"/>
                <w:szCs w:val="20"/>
                <w:color w:val="auto"/>
              </w:rPr>
            </w:pPr>
            <w:r>
              <w:rPr>
                <w:rFonts w:ascii="Times New Roman" w:cs="Times New Roman" w:eastAsia="Times New Roman" w:hAnsi="Times New Roman"/>
                <w:sz w:val="12"/>
                <w:szCs w:val="12"/>
                <w:color w:val="auto"/>
              </w:rPr>
              <w:t>(State or other jurisdiction of</w:t>
            </w:r>
          </w:p>
        </w:tc>
        <w:tc>
          <w:tcPr>
            <w:tcW w:w="474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rPr>
              <w:t>(Commission</w:t>
            </w:r>
          </w:p>
        </w:tc>
        <w:tc>
          <w:tcPr>
            <w:tcW w:w="1860" w:type="dxa"/>
            <w:vAlign w:val="bottom"/>
          </w:tcPr>
          <w:p>
            <w:pPr>
              <w:jc w:val="center"/>
              <w:ind w:left="900"/>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55"/>
        </w:trPr>
        <w:tc>
          <w:tcPr>
            <w:tcW w:w="2240" w:type="dxa"/>
            <w:vAlign w:val="bottom"/>
          </w:tcPr>
          <w:p>
            <w:pPr>
              <w:jc w:val="center"/>
              <w:ind w:right="780"/>
              <w:spacing w:after="0"/>
              <w:rPr>
                <w:sz w:val="20"/>
                <w:szCs w:val="20"/>
                <w:color w:val="auto"/>
              </w:rPr>
            </w:pPr>
            <w:r>
              <w:rPr>
                <w:rFonts w:ascii="Times New Roman" w:cs="Times New Roman" w:eastAsia="Times New Roman" w:hAnsi="Times New Roman"/>
                <w:sz w:val="12"/>
                <w:szCs w:val="12"/>
                <w:color w:val="auto"/>
                <w:w w:val="98"/>
              </w:rPr>
              <w:t>incorporation)</w:t>
            </w:r>
          </w:p>
        </w:tc>
        <w:tc>
          <w:tcPr>
            <w:tcW w:w="474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rPr>
              <w:t>File Number)</w:t>
            </w:r>
          </w:p>
        </w:tc>
        <w:tc>
          <w:tcPr>
            <w:tcW w:w="1860" w:type="dxa"/>
            <w:vAlign w:val="bottom"/>
          </w:tcPr>
          <w:p>
            <w:pPr>
              <w:jc w:val="center"/>
              <w:ind w:left="90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73"/>
        </w:trPr>
        <w:tc>
          <w:tcPr>
            <w:tcW w:w="2240" w:type="dxa"/>
            <w:vAlign w:val="bottom"/>
          </w:tcPr>
          <w:p>
            <w:pPr>
              <w:spacing w:after="0"/>
              <w:rPr>
                <w:sz w:val="23"/>
                <w:szCs w:val="23"/>
                <w:color w:val="auto"/>
              </w:rPr>
            </w:pPr>
          </w:p>
        </w:tc>
        <w:tc>
          <w:tcPr>
            <w:tcW w:w="474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9201 West Broadway Avenue, Suite 650</w:t>
            </w:r>
          </w:p>
        </w:tc>
        <w:tc>
          <w:tcPr>
            <w:tcW w:w="1860" w:type="dxa"/>
            <w:vAlign w:val="bottom"/>
          </w:tcPr>
          <w:p>
            <w:pPr>
              <w:spacing w:after="0"/>
              <w:rPr>
                <w:sz w:val="23"/>
                <w:szCs w:val="23"/>
                <w:color w:val="auto"/>
              </w:rPr>
            </w:pPr>
          </w:p>
        </w:tc>
      </w:tr>
      <w:tr>
        <w:trPr>
          <w:trHeight w:val="148"/>
        </w:trPr>
        <w:tc>
          <w:tcPr>
            <w:tcW w:w="2240" w:type="dxa"/>
            <w:vAlign w:val="bottom"/>
          </w:tcPr>
          <w:p>
            <w:pPr>
              <w:spacing w:after="0"/>
              <w:rPr>
                <w:sz w:val="12"/>
                <w:szCs w:val="12"/>
                <w:color w:val="auto"/>
              </w:rPr>
            </w:pPr>
          </w:p>
        </w:tc>
        <w:tc>
          <w:tcPr>
            <w:tcW w:w="474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Minneapolis, MN 55445</w:t>
            </w:r>
          </w:p>
        </w:tc>
        <w:tc>
          <w:tcPr>
            <w:tcW w:w="1860" w:type="dxa"/>
            <w:vAlign w:val="bottom"/>
          </w:tcPr>
          <w:p>
            <w:pPr>
              <w:spacing w:after="0"/>
              <w:rPr>
                <w:sz w:val="12"/>
                <w:szCs w:val="12"/>
                <w:color w:val="auto"/>
              </w:rPr>
            </w:pPr>
          </w:p>
        </w:tc>
      </w:tr>
      <w:tr>
        <w:trPr>
          <w:trHeight w:val="155"/>
        </w:trPr>
        <w:tc>
          <w:tcPr>
            <w:tcW w:w="2240" w:type="dxa"/>
            <w:vAlign w:val="bottom"/>
          </w:tcPr>
          <w:p>
            <w:pPr>
              <w:spacing w:after="0"/>
              <w:rPr>
                <w:sz w:val="13"/>
                <w:szCs w:val="13"/>
                <w:color w:val="auto"/>
              </w:rPr>
            </w:pPr>
          </w:p>
        </w:tc>
        <w:tc>
          <w:tcPr>
            <w:tcW w:w="474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9"/>
              </w:rPr>
              <w:t>(Address of principal executive offices) (Zip Code)</w:t>
            </w:r>
          </w:p>
        </w:tc>
        <w:tc>
          <w:tcPr>
            <w:tcW w:w="1860" w:type="dxa"/>
            <w:vAlign w:val="bottom"/>
          </w:tcPr>
          <w:p>
            <w:pPr>
              <w:spacing w:after="0"/>
              <w:rPr>
                <w:sz w:val="13"/>
                <w:szCs w:val="13"/>
                <w:color w:val="auto"/>
              </w:rPr>
            </w:pPr>
          </w:p>
        </w:tc>
      </w:tr>
      <w:tr>
        <w:trPr>
          <w:trHeight w:val="277"/>
        </w:trPr>
        <w:tc>
          <w:tcPr>
            <w:tcW w:w="2240" w:type="dxa"/>
            <w:vAlign w:val="bottom"/>
          </w:tcPr>
          <w:p>
            <w:pPr>
              <w:spacing w:after="0"/>
              <w:rPr>
                <w:sz w:val="24"/>
                <w:szCs w:val="24"/>
                <w:color w:val="auto"/>
              </w:rPr>
            </w:pPr>
          </w:p>
        </w:tc>
        <w:tc>
          <w:tcPr>
            <w:tcW w:w="474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(763) 416-2840</w:t>
            </w:r>
          </w:p>
        </w:tc>
        <w:tc>
          <w:tcPr>
            <w:tcW w:w="1860" w:type="dxa"/>
            <w:vAlign w:val="bottom"/>
          </w:tcPr>
          <w:p>
            <w:pPr>
              <w:spacing w:after="0"/>
              <w:rPr>
                <w:sz w:val="24"/>
                <w:szCs w:val="24"/>
                <w:color w:val="auto"/>
              </w:rPr>
            </w:pPr>
          </w:p>
        </w:tc>
      </w:tr>
      <w:tr>
        <w:trPr>
          <w:trHeight w:val="155"/>
        </w:trPr>
        <w:tc>
          <w:tcPr>
            <w:tcW w:w="2240" w:type="dxa"/>
            <w:vAlign w:val="bottom"/>
          </w:tcPr>
          <w:p>
            <w:pPr>
              <w:spacing w:after="0"/>
              <w:rPr>
                <w:sz w:val="13"/>
                <w:szCs w:val="13"/>
                <w:color w:val="auto"/>
              </w:rPr>
            </w:pPr>
          </w:p>
        </w:tc>
        <w:tc>
          <w:tcPr>
            <w:tcW w:w="474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9"/>
              </w:rPr>
              <w:t>(Registrant’s telephone number, including area code)</w:t>
            </w:r>
          </w:p>
        </w:tc>
        <w:tc>
          <w:tcPr>
            <w:tcW w:w="1860" w:type="dxa"/>
            <w:vAlign w:val="bottom"/>
          </w:tcPr>
          <w:p>
            <w:pPr>
              <w:spacing w:after="0"/>
              <w:rPr>
                <w:sz w:val="13"/>
                <w:szCs w:val="13"/>
                <w:color w:val="auto"/>
              </w:rPr>
            </w:pPr>
          </w:p>
        </w:tc>
      </w:tr>
      <w:tr>
        <w:trPr>
          <w:trHeight w:val="277"/>
        </w:trPr>
        <w:tc>
          <w:tcPr>
            <w:tcW w:w="2240" w:type="dxa"/>
            <w:vAlign w:val="bottom"/>
          </w:tcPr>
          <w:p>
            <w:pPr>
              <w:spacing w:after="0"/>
              <w:rPr>
                <w:sz w:val="24"/>
                <w:szCs w:val="24"/>
                <w:color w:val="auto"/>
              </w:rPr>
            </w:pPr>
          </w:p>
        </w:tc>
        <w:tc>
          <w:tcPr>
            <w:tcW w:w="474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N/A</w:t>
            </w:r>
          </w:p>
        </w:tc>
        <w:tc>
          <w:tcPr>
            <w:tcW w:w="1860" w:type="dxa"/>
            <w:vAlign w:val="bottom"/>
          </w:tcPr>
          <w:p>
            <w:pPr>
              <w:spacing w:after="0"/>
              <w:rPr>
                <w:sz w:val="24"/>
                <w:szCs w:val="24"/>
                <w:color w:val="auto"/>
              </w:rPr>
            </w:pPr>
          </w:p>
        </w:tc>
      </w:tr>
      <w:tr>
        <w:trPr>
          <w:trHeight w:val="155"/>
        </w:trPr>
        <w:tc>
          <w:tcPr>
            <w:tcW w:w="2240" w:type="dxa"/>
            <w:vAlign w:val="bottom"/>
          </w:tcPr>
          <w:p>
            <w:pPr>
              <w:spacing w:after="0"/>
              <w:rPr>
                <w:sz w:val="13"/>
                <w:szCs w:val="13"/>
                <w:color w:val="auto"/>
              </w:rPr>
            </w:pPr>
          </w:p>
        </w:tc>
        <w:tc>
          <w:tcPr>
            <w:tcW w:w="474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186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91440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84"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r>
        <w:rPr>
          <w:rFonts w:ascii="Times New Roman" w:cs="Times New Roman" w:eastAsia="Times New Roman" w:hAnsi="Times New Roman"/>
          <w:sz w:val="12"/>
          <w:szCs w:val="12"/>
          <w:color w:val="auto"/>
        </w:rPr>
        <w:t xml:space="preserve"> General Instruction A.2. below):</w:t>
      </w:r>
    </w:p>
    <w:p>
      <w:pPr>
        <w:spacing w:after="0" w:line="150" w:lineRule="exact"/>
        <w:rPr>
          <w:sz w:val="24"/>
          <w:szCs w:val="24"/>
          <w:color w:val="auto"/>
        </w:rPr>
      </w:pPr>
    </w:p>
    <w:p>
      <w:pPr>
        <w:ind w:left="128" w:hanging="128"/>
        <w:spacing w:after="0"/>
        <w:tabs>
          <w:tab w:leader="none" w:pos="1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360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1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80" w:type="dxa"/>
            <w:vAlign w:val="bottom"/>
          </w:tcPr>
          <w:p>
            <w:pPr>
              <w:spacing w:after="0"/>
              <w:rPr>
                <w:sz w:val="13"/>
                <w:szCs w:val="13"/>
                <w:color w:val="auto"/>
              </w:rPr>
            </w:pPr>
          </w:p>
        </w:tc>
      </w:tr>
      <w:tr>
        <w:trPr>
          <w:trHeight w:val="295"/>
        </w:trPr>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w:t>
            </w:r>
          </w:p>
        </w:tc>
      </w:tr>
      <w:tr>
        <w:trPr>
          <w:trHeight w:val="155"/>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160" w:type="dxa"/>
            <w:vAlign w:val="bottom"/>
          </w:tcPr>
          <w:p>
            <w:pPr>
              <w:spacing w:after="0"/>
              <w:rPr>
                <w:sz w:val="13"/>
                <w:szCs w:val="13"/>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140" w:type="dxa"/>
            <w:vAlign w:val="bottom"/>
          </w:tcPr>
          <w:p>
            <w:pPr>
              <w:spacing w:after="0"/>
              <w:rPr>
                <w:sz w:val="13"/>
                <w:szCs w:val="13"/>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on which registered</w:t>
            </w:r>
          </w:p>
        </w:tc>
      </w:tr>
      <w:tr>
        <w:trPr>
          <w:trHeight w:val="151"/>
        </w:trPr>
        <w:tc>
          <w:tcPr>
            <w:tcW w:w="3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par value $0.01 per share</w:t>
            </w:r>
          </w:p>
        </w:tc>
        <w:tc>
          <w:tcPr>
            <w:tcW w:w="160" w:type="dxa"/>
            <w:vAlign w:val="bottom"/>
          </w:tcPr>
          <w:p>
            <w:pPr>
              <w:spacing w:after="0"/>
              <w:rPr>
                <w:sz w:val="13"/>
                <w:szCs w:val="13"/>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CVRX</w:t>
            </w:r>
          </w:p>
        </w:tc>
        <w:tc>
          <w:tcPr>
            <w:tcW w:w="140" w:type="dxa"/>
            <w:vAlign w:val="bottom"/>
          </w:tcPr>
          <w:p>
            <w:pPr>
              <w:spacing w:after="0"/>
              <w:rPr>
                <w:sz w:val="13"/>
                <w:szCs w:val="13"/>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Global Select Market</w:t>
            </w:r>
          </w:p>
        </w:tc>
      </w:tr>
    </w:tbl>
    <w:p>
      <w:pPr>
        <w:spacing w:after="0" w:line="151" w:lineRule="exact"/>
        <w:rPr>
          <w:sz w:val="24"/>
          <w:szCs w:val="24"/>
          <w:color w:val="auto"/>
        </w:rPr>
      </w:pPr>
    </w:p>
    <w:p>
      <w:pPr>
        <w:ind w:left="8" w:right="1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0" w:lineRule="exact"/>
        <w:rPr>
          <w:sz w:val="24"/>
          <w:szCs w:val="24"/>
          <w:color w:val="auto"/>
        </w:rPr>
      </w:pPr>
    </w:p>
    <w:p>
      <w:pPr>
        <w:ind w:left="8" w:right="8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398145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513"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2"/>
          <w:szCs w:val="12"/>
          <w:color w:val="auto"/>
        </w:rPr>
        <w:t>As announced earlier by CVRx, Inc. (the “Company”), the previously-released preliminary results of the Company’s BeAT-HF post-market randomized clinical trial will be discussed at the second annual Technology and Heart Failure Therapeutics (THT) conference on March 21, 2023. The results will be presented by Dr. Michael Zile, followed by a symposium sponsored by the Company. The Company will also host an investor conference call at 4:30 pm Eastern Time on March 21, 2023 to discuss the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press release summarizing the detailed results and the presentation materials, which will also be used for the investor conference, are attached as Exhibits 99.1 and 99.2, respectively, and are incorporated herein by reference.</w:t>
      </w:r>
    </w:p>
    <w:p>
      <w:pPr>
        <w:spacing w:after="0" w:line="150"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2"/>
          <w:szCs w:val="12"/>
          <w:color w:val="auto"/>
        </w:rPr>
        <w:t>The information contained in this Item 7.01, including Exhibits 99.1 and 99.2, is being furnished and shall not be deemed to be “filed” with the Securities and Exchange Commission for purposes of Section 18 of the Securities Exchange Act of 1934, as amended (the “Exchange Act”), or otherwise subject to the liabilities of that section and is not incorporated by reference into any filing under the Securities Act of 1933, as amended, or the Exchange Act, whether made before or after the date hereof, except as expressly set forth by specific reference in such a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March 21, 2023, the Company issued a press release announcing highlights of the data from the BeAT-HF post-market randomized clinical trial, as follows:</w:t>
      </w:r>
    </w:p>
    <w:p>
      <w:pPr>
        <w:spacing w:after="0" w:line="146" w:lineRule="exact"/>
        <w:rPr>
          <w:sz w:val="20"/>
          <w:szCs w:val="20"/>
          <w:color w:val="auto"/>
        </w:rPr>
      </w:pPr>
    </w:p>
    <w:p>
      <w:pPr>
        <w:ind w:left="420" w:right="5220" w:hanging="212"/>
        <w:spacing w:after="0" w:line="263" w:lineRule="auto"/>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Safety - Major Adverse Neurological or Cardiovascular (MANCE) system or procedure-related event-free rate </w:t>
      </w:r>
      <w:r>
        <w:rPr>
          <w:rFonts w:ascii="Times New Roman" w:cs="Times New Roman" w:eastAsia="Times New Roman" w:hAnsi="Times New Roman"/>
          <w:sz w:val="12"/>
          <w:szCs w:val="12"/>
          <w:color w:val="auto"/>
        </w:rPr>
        <w:t>o MANCE-free rate of 97% (p&lt;0.001)</w:t>
      </w:r>
    </w:p>
    <w:p>
      <w:pPr>
        <w:ind w:left="420" w:right="5840" w:hanging="212"/>
        <w:spacing w:after="0" w:line="250" w:lineRule="auto"/>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Long-term symptom improvement for Barostim Baroreflex Activation Therapy (BAT) vs. Control: </w:t>
      </w:r>
      <w:r>
        <w:rPr>
          <w:rFonts w:ascii="Times New Roman" w:cs="Times New Roman" w:eastAsia="Times New Roman" w:hAnsi="Times New Roman"/>
          <w:sz w:val="12"/>
          <w:szCs w:val="12"/>
          <w:color w:val="auto"/>
        </w:rPr>
        <w:t>o 6 Minute Hall Walk improved by 44 meters at 12 months (nominal p&lt;0.001)</w:t>
      </w:r>
    </w:p>
    <w:p>
      <w:pPr>
        <w:ind w:left="420" w:right="4620"/>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 Quality of Life improved by 10 points in Minnesota Living with Heart Failure Questionnaire at 24 months (nominal p&lt;0.001) o NYHA Class improved in 27% more BAT patients at 24 months (nominal p&lt;0.001)</w:t>
      </w:r>
    </w:p>
    <w:p>
      <w:pPr>
        <w:ind w:left="420" w:right="4500" w:hanging="212"/>
        <w:spacing w:after="0" w:line="250" w:lineRule="auto"/>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Mortality (cardiovascular death, LVAD, heart transplant) and morbidity (HF hospitalizations, ER visits) – primary endpoint </w:t>
      </w:r>
      <w:r>
        <w:rPr>
          <w:rFonts w:ascii="Times New Roman" w:cs="Times New Roman" w:eastAsia="Times New Roman" w:hAnsi="Times New Roman"/>
          <w:sz w:val="12"/>
          <w:szCs w:val="12"/>
          <w:color w:val="auto"/>
        </w:rPr>
        <w:t>o No statistically significant difference [Rate Ratio 0.94, (95% Confidence Interval 0.57, 1.57); p=0.82]</w:t>
      </w: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All-cause mortality (all-cause death, LVAD, heart transplant)</w:t>
      </w:r>
    </w:p>
    <w:p>
      <w:pPr>
        <w:spacing w:after="0" w:line="6"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   34% relative reduction in BAT vs. Control [Hazard Ratio 0.66 (95% CI 0.44, 1.007); nominal p=0.054]</w:t>
      </w:r>
    </w:p>
    <w:p>
      <w:pPr>
        <w:spacing w:after="0" w:line="6" w:lineRule="exact"/>
        <w:rPr>
          <w:rFonts w:ascii="Times New Roman" w:cs="Times New Roman" w:eastAsia="Times New Roman" w:hAnsi="Times New Roman"/>
          <w:sz w:val="12"/>
          <w:szCs w:val="12"/>
          <w:color w:val="auto"/>
        </w:rPr>
      </w:pPr>
    </w:p>
    <w:p>
      <w:pPr>
        <w:ind w:left="420" w:right="4280" w:hanging="212"/>
        <w:spacing w:after="0" w:line="260" w:lineRule="auto"/>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Hierarchical composite of cardiovascular death, LVAD, heart transplant, HF hospitalization, and Quality of Life using Win Ratio </w:t>
      </w:r>
      <w:r>
        <w:rPr>
          <w:rFonts w:ascii="Times New Roman" w:cs="Times New Roman" w:eastAsia="Times New Roman" w:hAnsi="Times New Roman"/>
          <w:sz w:val="12"/>
          <w:szCs w:val="12"/>
          <w:color w:val="auto"/>
        </w:rPr>
        <w:t>o Win Ratio of 1.26 favored BAT vs. Control [95% CI 1.02, 1.58; nominal p=0.04]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 Exhibits</w:t>
            </w:r>
          </w:p>
        </w:tc>
        <w:tc>
          <w:tcPr>
            <w:tcW w:w="2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20" w:type="dxa"/>
            <w:vAlign w:val="bottom"/>
          </w:tcPr>
          <w:p>
            <w:pPr>
              <w:spacing w:after="0"/>
              <w:rPr>
                <w:sz w:val="13"/>
                <w:szCs w:val="13"/>
                <w:color w:val="auto"/>
              </w:rPr>
            </w:pPr>
          </w:p>
        </w:tc>
      </w:tr>
      <w:tr>
        <w:trPr>
          <w:trHeight w:val="273"/>
        </w:trPr>
        <w:tc>
          <w:tcPr>
            <w:tcW w:w="13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520" w:type="dxa"/>
            <w:vAlign w:val="bottom"/>
          </w:tcPr>
          <w:p>
            <w:pPr>
              <w:spacing w:after="0"/>
              <w:rPr>
                <w:sz w:val="23"/>
                <w:szCs w:val="23"/>
                <w:color w:val="auto"/>
              </w:rPr>
            </w:pPr>
          </w:p>
        </w:tc>
      </w:tr>
      <w:tr>
        <w:trPr>
          <w:trHeight w:val="159"/>
        </w:trPr>
        <w:tc>
          <w:tcPr>
            <w:tcW w:w="13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2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20" w:type="dxa"/>
            <w:vAlign w:val="bottom"/>
          </w:tcPr>
          <w:p>
            <w:pPr>
              <w:ind w:left="224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200" w:type="dxa"/>
            <w:vAlign w:val="bottom"/>
            <w:tcBorders>
              <w:top w:val="single" w:sz="8" w:color="auto"/>
            </w:tcBorders>
          </w:tcPr>
          <w:p>
            <w:pPr>
              <w:spacing w:after="0" w:line="106"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9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9940" w:type="dxa"/>
            <w:vAlign w:val="bottom"/>
            <w:tcBorders>
              <w:top w:val="single" w:sz="8" w:color="auto"/>
            </w:tcBorders>
            <w:gridSpan w:val="3"/>
          </w:tcPr>
          <w:p>
            <w:pPr>
              <w:spacing w:after="0" w:line="106" w:lineRule="exact"/>
              <w:rPr>
                <w:sz w:val="20"/>
                <w:szCs w:val="20"/>
                <w:color w:val="auto"/>
              </w:rPr>
            </w:pPr>
            <w:r>
              <w:rPr>
                <w:rFonts w:ascii="Times New Roman" w:cs="Times New Roman" w:eastAsia="Times New Roman" w:hAnsi="Times New Roman"/>
                <w:sz w:val="12"/>
                <w:szCs w:val="12"/>
                <w:color w:val="0000EE"/>
              </w:rPr>
              <w:t>Press release of CVRx, Inc., dated March 21, 2023</w:t>
            </w:r>
          </w:p>
        </w:tc>
      </w:tr>
      <w:tr>
        <w:trPr>
          <w:trHeight w:val="124"/>
        </w:trPr>
        <w:tc>
          <w:tcPr>
            <w:tcW w:w="200" w:type="dxa"/>
            <w:vAlign w:val="bottom"/>
            <w:tcBorders>
              <w:top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20" w:type="dxa"/>
            <w:vAlign w:val="bottom"/>
            <w:tcBorders>
              <w:top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9"/>
              </w:rPr>
              <w:t>Presentation of CVRx, Inc., dated March 21, 2023</w:t>
            </w:r>
          </w:p>
        </w:tc>
        <w:tc>
          <w:tcPr>
            <w:tcW w:w="7520" w:type="dxa"/>
            <w:vAlign w:val="bottom"/>
          </w:tcPr>
          <w:p>
            <w:pPr>
              <w:spacing w:after="0"/>
              <w:rPr>
                <w:sz w:val="10"/>
                <w:szCs w:val="10"/>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color w:val="auto"/>
        </w:rPr>
        <w:t>SIGNATURES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40" w:type="dxa"/>
            <w:vAlign w:val="bottom"/>
          </w:tcPr>
          <w:p>
            <w:pPr>
              <w:spacing w:after="0"/>
              <w:rPr>
                <w:sz w:val="13"/>
                <w:szCs w:val="13"/>
                <w:color w:val="auto"/>
              </w:rPr>
            </w:pPr>
          </w:p>
        </w:tc>
        <w:tc>
          <w:tcPr>
            <w:tcW w:w="7960" w:type="dxa"/>
            <w:vAlign w:val="bottom"/>
            <w:gridSpan w:val="2"/>
          </w:tcPr>
          <w:p>
            <w:pPr>
              <w:ind w:left="2320"/>
              <w:spacing w:after="0"/>
              <w:rPr>
                <w:sz w:val="20"/>
                <w:szCs w:val="20"/>
                <w:color w:val="auto"/>
              </w:rPr>
            </w:pPr>
            <w:r>
              <w:rPr>
                <w:rFonts w:ascii="Times New Roman" w:cs="Times New Roman" w:eastAsia="Times New Roman" w:hAnsi="Times New Roman"/>
                <w:sz w:val="12"/>
                <w:szCs w:val="12"/>
                <w:b w:val="1"/>
                <w:bCs w:val="1"/>
                <w:color w:val="auto"/>
              </w:rPr>
              <w:t>CVRx, Inc.</w:t>
            </w:r>
          </w:p>
        </w:tc>
      </w:tr>
      <w:tr>
        <w:trPr>
          <w:trHeight w:val="288"/>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Date: March 21, 2023</w:t>
            </w:r>
          </w:p>
        </w:tc>
        <w:tc>
          <w:tcPr>
            <w:tcW w:w="7960" w:type="dxa"/>
            <w:vAlign w:val="bottom"/>
            <w:gridSpan w:val="2"/>
          </w:tcPr>
          <w:p>
            <w:pPr>
              <w:ind w:left="2320"/>
              <w:spacing w:after="0"/>
              <w:rPr>
                <w:sz w:val="20"/>
                <w:szCs w:val="20"/>
                <w:color w:val="auto"/>
              </w:rPr>
            </w:pPr>
            <w:r>
              <w:rPr>
                <w:rFonts w:ascii="Times New Roman" w:cs="Times New Roman" w:eastAsia="Times New Roman" w:hAnsi="Times New Roman"/>
                <w:sz w:val="12"/>
                <w:szCs w:val="12"/>
                <w:color w:val="auto"/>
              </w:rPr>
              <w:t>By:   /s/ Jared Oasheim</w:t>
            </w:r>
          </w:p>
        </w:tc>
      </w:tr>
      <w:tr>
        <w:trPr>
          <w:trHeight w:val="122"/>
        </w:trPr>
        <w:tc>
          <w:tcPr>
            <w:tcW w:w="33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53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Name: Jared Oasheim</w:t>
            </w:r>
          </w:p>
        </w:tc>
      </w:tr>
      <w:tr>
        <w:trPr>
          <w:trHeight w:val="155"/>
        </w:trPr>
        <w:tc>
          <w:tcPr>
            <w:tcW w:w="33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Its: Chief Financial Officer</w:t>
            </w:r>
          </w:p>
        </w:tc>
      </w:tr>
      <w:tr>
        <w:trPr>
          <w:trHeight w:val="450"/>
        </w:trPr>
        <w:tc>
          <w:tcPr>
            <w:tcW w:w="3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Totality of Evidence from BeAT-HF Study Shows CVRx’s Barostim Provides Long-term Benefits for Patients with Heart Failure</w:t>
      </w:r>
    </w:p>
    <w:p>
      <w:pPr>
        <w:spacing w:after="0" w:line="15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MINNEAPOLIS, Mar. 21, 2023 – </w:t>
      </w:r>
      <w:r>
        <w:rPr>
          <w:rFonts w:ascii="Times New Roman" w:cs="Times New Roman" w:eastAsia="Times New Roman" w:hAnsi="Times New Roman"/>
          <w:sz w:val="12"/>
          <w:szCs w:val="12"/>
          <w:u w:val="single" w:color="auto"/>
          <w:color w:val="auto"/>
        </w:rPr>
        <w:t>CVRx, Inc</w:t>
      </w:r>
      <w:r>
        <w:rPr>
          <w:rFonts w:ascii="Times New Roman" w:cs="Times New Roman" w:eastAsia="Times New Roman" w:hAnsi="Times New Roman"/>
          <w:sz w:val="12"/>
          <w:szCs w:val="12"/>
          <w:color w:val="auto"/>
        </w:rPr>
        <w:t>. (NASDAQ: CVRX) (“CVRx”), a commercial-stage medical device company focused on developing, manufacturing and commercializing Barostim™, an innovative extravascular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implantable neuromodulation device for patients with cardiovascular diseases, announced detailed preliminary results of the post-market phase of the BeAT-HF trial at the second annual Technology and Heart Failure (HF) Therapeutics (THT) conference on Tuesday, March 21, 2023. These results are being presented by Dr. Michael Zile, Professor of Cardiology at the Medical University of South Carolina (MUSC).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Highlights of the data presented by Dr. Zile include:</w:t>
      </w:r>
    </w:p>
    <w:p>
      <w:pPr>
        <w:spacing w:after="0" w:line="146" w:lineRule="exact"/>
        <w:rPr>
          <w:sz w:val="20"/>
          <w:szCs w:val="20"/>
          <w:color w:val="auto"/>
        </w:rPr>
      </w:pPr>
    </w:p>
    <w:p>
      <w:pPr>
        <w:ind w:left="860" w:right="5000" w:hanging="436"/>
        <w:spacing w:after="0" w:line="263" w:lineRule="auto"/>
        <w:tabs>
          <w:tab w:leader="none" w:pos="644"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Safety - Major Adverse Neurological or Cardiovascular (MANCE) system or procedure-related event-free rate </w:t>
      </w:r>
      <w:r>
        <w:rPr>
          <w:rFonts w:ascii="Times New Roman" w:cs="Times New Roman" w:eastAsia="Times New Roman" w:hAnsi="Times New Roman"/>
          <w:sz w:val="12"/>
          <w:szCs w:val="12"/>
          <w:color w:val="auto"/>
        </w:rPr>
        <w:t>o MANCE-free rate of 97% (p&lt;0.001)</w:t>
      </w: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Long-term symptom improvement for Barostim Baroreflex Activation Therapy (BAT) vs. Control:</w:t>
      </w:r>
    </w:p>
    <w:p>
      <w:pPr>
        <w:spacing w:after="0" w:line="6" w:lineRule="exact"/>
        <w:rPr>
          <w:sz w:val="20"/>
          <w:szCs w:val="20"/>
          <w:color w:val="auto"/>
        </w:rPr>
      </w:pPr>
    </w:p>
    <w:p>
      <w:pPr>
        <w:ind w:left="1080" w:hanging="224"/>
        <w:spacing w:after="0"/>
        <w:tabs>
          <w:tab w:leader="none" w:pos="108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 Minute Hall Walk improved by 44 meters at 12 months (nominal p&lt;0.001)</w:t>
      </w:r>
    </w:p>
    <w:p>
      <w:pPr>
        <w:spacing w:after="0" w:line="6" w:lineRule="exact"/>
        <w:rPr>
          <w:rFonts w:ascii="Times New Roman" w:cs="Times New Roman" w:eastAsia="Times New Roman" w:hAnsi="Times New Roman"/>
          <w:sz w:val="12"/>
          <w:szCs w:val="12"/>
          <w:color w:val="auto"/>
        </w:rPr>
      </w:pPr>
    </w:p>
    <w:p>
      <w:pPr>
        <w:ind w:left="1080" w:hanging="224"/>
        <w:spacing w:after="0"/>
        <w:tabs>
          <w:tab w:leader="none" w:pos="108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Quality of Life improved by 10 points in Minnesota Living with Heart Failure Questionnaire at 24 months (nominal p&lt;0.001)</w:t>
      </w:r>
    </w:p>
    <w:p>
      <w:pPr>
        <w:spacing w:after="0" w:line="6" w:lineRule="exact"/>
        <w:rPr>
          <w:rFonts w:ascii="Times New Roman" w:cs="Times New Roman" w:eastAsia="Times New Roman" w:hAnsi="Times New Roman"/>
          <w:sz w:val="12"/>
          <w:szCs w:val="12"/>
          <w:color w:val="auto"/>
        </w:rPr>
      </w:pPr>
    </w:p>
    <w:p>
      <w:pPr>
        <w:ind w:left="1080" w:hanging="224"/>
        <w:spacing w:after="0"/>
        <w:tabs>
          <w:tab w:leader="none" w:pos="108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NYHA Class improved in 27% more BAT patients at 24 months (nominal p&lt;0.001)</w:t>
      </w:r>
    </w:p>
    <w:p>
      <w:pPr>
        <w:spacing w:after="0" w:line="6"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Mortality (cardiovascular death, LVAD, heart transplant) and morbidity (HF hospitalizations, ER visits) – primary endpoint</w:t>
      </w:r>
    </w:p>
    <w:p>
      <w:pPr>
        <w:spacing w:after="0" w:line="6" w:lineRule="exact"/>
        <w:rPr>
          <w:rFonts w:ascii="Times New Roman" w:cs="Times New Roman" w:eastAsia="Times New Roman" w:hAnsi="Times New Roman"/>
          <w:sz w:val="12"/>
          <w:szCs w:val="12"/>
          <w:color w:val="auto"/>
        </w:rPr>
      </w:pPr>
    </w:p>
    <w:p>
      <w:pPr>
        <w:ind w:left="1080" w:hanging="224"/>
        <w:spacing w:after="0"/>
        <w:tabs>
          <w:tab w:leader="none" w:pos="108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statistically significant difference [Rate Ratio 0.94, (95% Confidence Interval 0.57, 1.57); p=0.82]</w:t>
      </w:r>
    </w:p>
    <w:p>
      <w:pPr>
        <w:spacing w:after="0" w:line="6"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All-cause mortality (all-cause death, LVAD, heart transplant)</w:t>
      </w:r>
    </w:p>
    <w:p>
      <w:pPr>
        <w:spacing w:after="0" w:line="6" w:lineRule="exact"/>
        <w:rPr>
          <w:rFonts w:ascii="Times New Roman" w:cs="Times New Roman" w:eastAsia="Times New Roman" w:hAnsi="Times New Roman"/>
          <w:sz w:val="12"/>
          <w:szCs w:val="12"/>
          <w:color w:val="auto"/>
        </w:rPr>
      </w:pPr>
    </w:p>
    <w:p>
      <w:pPr>
        <w:ind w:left="1080" w:hanging="224"/>
        <w:spacing w:after="0"/>
        <w:tabs>
          <w:tab w:leader="none" w:pos="108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34% relative reduction in BAT vs. Control [Hazard Ratio 0.66 (95% CI 0.44, 1.007); nominal p=0.054]</w:t>
      </w:r>
    </w:p>
    <w:p>
      <w:pPr>
        <w:spacing w:after="0" w:line="6"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Hierarchical composite of cardiovascular death, LVAD, heart transplant, HF hospitalization, and Quality of Life using Win Ratio</w:t>
      </w:r>
    </w:p>
    <w:p>
      <w:pPr>
        <w:spacing w:after="0" w:line="6" w:lineRule="exact"/>
        <w:rPr>
          <w:rFonts w:ascii="Times New Roman" w:cs="Times New Roman" w:eastAsia="Times New Roman" w:hAnsi="Times New Roman"/>
          <w:sz w:val="12"/>
          <w:szCs w:val="12"/>
          <w:color w:val="auto"/>
        </w:rPr>
      </w:pPr>
    </w:p>
    <w:p>
      <w:pPr>
        <w:ind w:left="1080" w:hanging="224"/>
        <w:spacing w:after="0"/>
        <w:tabs>
          <w:tab w:leader="none" w:pos="108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Win Ratio of 1.26 favored BAT vs. Control [95% CI 1.02, 1.58; nominal p=0.04]</w:t>
      </w:r>
    </w:p>
    <w:p>
      <w:pPr>
        <w:spacing w:after="0" w:line="139"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Dr. Zile’s presentation concludes that the “Totality of evidence indicates that BAT is a safe, effective and durable treatment for patients with heart failure with reduced ejection fraction.” The slides from Dr. Zile’s featured presentation, as well as key slides that will be presented as part of the CVRx-sponsored THT symposium, can be found at ir.cvrx.com.</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“We are happy to see the significant long-term data that favored Barostim,” added Nadim Yared, President and CEO of CVRx. “Interest and adoption of the therapy continue to expand based on the previously-approved claims, and now we look forward to submitting this new data to the FDA to pursue expanded labeling for Barostim. We are forever grateful to the patients, investigators, nurses, and research staff involved in the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4" w:name="page5"/>
    <w:bookmarkEnd w:id="4"/>
    <w:p>
      <w:pPr>
        <w:ind w:right="260"/>
        <w:spacing w:after="0" w:line="279" w:lineRule="auto"/>
        <w:rPr>
          <w:sz w:val="20"/>
          <w:szCs w:val="20"/>
          <w:color w:val="auto"/>
        </w:rPr>
      </w:pPr>
      <w:r>
        <w:rPr>
          <w:rFonts w:ascii="Times New Roman" w:cs="Times New Roman" w:eastAsia="Times New Roman" w:hAnsi="Times New Roman"/>
          <w:sz w:val="12"/>
          <w:szCs w:val="12"/>
          <w:color w:val="auto"/>
        </w:rPr>
        <w:t>The full results of BeAT-HF, including a number of additional analyses and endpoints, will be submitted by the executive steering committee for publication in one or more peer-reviewed journals. CVRx anticipates that regulatory submission to the FDA for expanded labeling will be made in the coming months.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CVRx, Inc.</w:t>
      </w:r>
    </w:p>
    <w:p>
      <w:pPr>
        <w:spacing w:after="0" w:line="15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 xml:space="preserve">CVRx is a commercial-stage medical device company focused on the developing, manufacturing and commercializing innovative neuromodulation solutions for patients with cardiovascular diseases. Barostim™ is the first medical technology approved by FDA that uses neuromodulation to improve the symptoms of patients with heart failure. Barostim is an implantable device that delivers electrical pulses to baroreceptors located in the wall of the carotid artery. Baroreceptors activate the body’s baroreflex, which in turn triggers an autonomic response to the heart. The therapy is designed to restore balance to the autonomic nervous system and thereby reduce the symptoms of heart failure. Barostim received the FDA Breakthrough Device designation and is FDA-approved for use in heart failure patients in the U.S. It has also received the CE Mark for heart failure and resistant hypertension in the European Economic Area. To learn more about Barostim, visit </w:t>
      </w:r>
      <w:r>
        <w:rPr>
          <w:rFonts w:ascii="Times New Roman" w:cs="Times New Roman" w:eastAsia="Times New Roman" w:hAnsi="Times New Roman"/>
          <w:sz w:val="12"/>
          <w:szCs w:val="12"/>
          <w:u w:val="single" w:color="auto"/>
          <w:color w:val="auto"/>
        </w:rPr>
        <w:t>www.cvrx.com</w:t>
      </w:r>
      <w:r>
        <w:rPr>
          <w:rFonts w:ascii="Times New Roman" w:cs="Times New Roman" w:eastAsia="Times New Roman" w:hAnsi="Times New Roman"/>
          <w:sz w:val="12"/>
          <w:szCs w:val="12"/>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All statements other than statements of historical facts are forward-looking statements, including statements regarding our future financial performance, our anticipated growth strategies, anticipated trends in our industry, our business prospects and our opportunities, including specifically those related to potential new indications, labelling or marketing opportunities, our continued review and analysis of trial data and future business and financial impacts. In some cases, you can identify forward-looking statements by terms such as “may,” “will,” “should,” “expect,” “plan,” “anticipate,” “could,” “outlook,” “guidance,” “intend,” “target,” “project,” “contemplate,” “believe,” “estimate,” “predict,” “potential” or “continue” or the negative of these terms or other similar expressions, although not all forward-looking statements contain these words.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51" w:right="339" w:bottom="1440" w:gutter="0" w:footer="0" w:header="0"/>
        </w:sectPr>
      </w:pPr>
    </w:p>
    <w:bookmarkStart w:id="5" w:name="page6"/>
    <w:bookmarkEnd w:id="5"/>
    <w:p>
      <w:pPr>
        <w:spacing w:after="0" w:line="256" w:lineRule="auto"/>
        <w:rPr>
          <w:sz w:val="20"/>
          <w:szCs w:val="20"/>
          <w:color w:val="auto"/>
        </w:rPr>
      </w:pPr>
      <w:r>
        <w:rPr>
          <w:rFonts w:ascii="Times New Roman" w:cs="Times New Roman" w:eastAsia="Times New Roman" w:hAnsi="Times New Roman"/>
          <w:sz w:val="12"/>
          <w:szCs w:val="12"/>
          <w:color w:val="auto"/>
        </w:rPr>
        <w:t>The forward-looking statements in this press release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known and unknown risks, uncertainties and assumptions, including, uncertainties related to obtaining regulatory approvals, further analysis and understanding of clinical trial data, physician and patient adoption, and other important factors that could cause actual results, performance or achievements to differ materially from those projected in the forward-looking statements that are found in “Part I, Item 1A. Risk Factors” in our Annual Report on Form 10-K for the year ended December 31, 2022, as such factors may be updated from time to time in our other filings with the Securities and Exchange Commission. Except as required by applicable law, we do not plan to publicly update or revise any forward-looking statements contained herein, whether as a result of any new information, future events, changed circumstances or otherwise.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Laura O’Neill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Finn Partners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212-867-1762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laura.oneill@finnpartners.com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Mark Klausner or Mike Vallie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ICR Westwicke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443.213.0501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ir@cvrx.com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0"/>
          </w:cols>
          <w:pgMar w:left="300" w:top="651" w:right="399" w:bottom="1440" w:gutter="0" w:footer="0" w:header="0"/>
        </w:sectPr>
      </w:pPr>
    </w:p>
    <w:bookmarkStart w:id="6" w:name="page7"/>
    <w:bookmarkEnd w:id="6"/>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116205</wp:posOffset>
            </wp:positionV>
            <wp:extent cx="7172960" cy="4526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2023-03-21T10:08:20Z</dcterms:created>
  <dcterms:modified xsi:type="dcterms:W3CDTF">2023-03-21T10:08:20Z</dcterms:modified>
</cp:coreProperties>
</file>