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96520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106680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8"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(Mark One)</w:t>
      </w:r>
    </w:p>
    <w:p>
      <w:pPr>
        <w:spacing w:after="0" w:line="17" w:lineRule="exact"/>
        <w:rPr>
          <w:sz w:val="24"/>
          <w:szCs w:val="24"/>
          <w:color w:val="auto"/>
        </w:rPr>
      </w:pPr>
    </w:p>
    <w:p>
      <w:pPr>
        <w:ind w:left="1320" w:hanging="642"/>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5" w:lineRule="exact"/>
        <w:rPr>
          <w:rFonts w:ascii="MS PGothic" w:cs="MS PGothic" w:eastAsia="MS PGothic" w:hAnsi="MS PGothic"/>
          <w:sz w:val="16"/>
          <w:szCs w:val="16"/>
          <w:color w:val="auto"/>
        </w:rPr>
      </w:pPr>
    </w:p>
    <w:p>
      <w:pPr>
        <w:ind w:left="356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quarterly period ended March 31, 2025</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50" w:lineRule="exact"/>
        <w:rPr>
          <w:sz w:val="24"/>
          <w:szCs w:val="24"/>
          <w:color w:val="auto"/>
        </w:rPr>
      </w:pPr>
    </w:p>
    <w:p>
      <w:pPr>
        <w:ind w:left="1320" w:hanging="642"/>
        <w:spacing w:after="0"/>
        <w:tabs>
          <w:tab w:leader="none" w:pos="13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7" w:lineRule="exact"/>
        <w:rPr>
          <w:sz w:val="24"/>
          <w:szCs w:val="24"/>
          <w:color w:val="auto"/>
        </w:rPr>
      </w:pPr>
    </w:p>
    <w:p>
      <w:pPr>
        <w:ind w:left="3200"/>
        <w:spacing w:after="0"/>
        <w:tabs>
          <w:tab w:leader="none" w:pos="60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3345180</wp:posOffset>
            </wp:positionH>
            <wp:positionV relativeFrom="paragraph">
              <wp:posOffset>-10160</wp:posOffset>
            </wp:positionV>
            <wp:extent cx="1126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Number: 001-40545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126365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CVRx, Inc.</w:t>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121920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3700" w:type="dxa"/>
            <w:vAlign w:val="bottom"/>
            <w:gridSpan w:val="3"/>
          </w:tcPr>
          <w:p>
            <w:pPr>
              <w:jc w:val="center"/>
              <w:ind w:left="1402"/>
              <w:spacing w:after="0"/>
              <w:rPr>
                <w:sz w:val="20"/>
                <w:szCs w:val="20"/>
                <w:color w:val="auto"/>
              </w:rPr>
            </w:pPr>
            <w:r>
              <w:rPr>
                <w:rFonts w:ascii="Arial" w:cs="Arial" w:eastAsia="Arial" w:hAnsi="Arial"/>
                <w:sz w:val="16"/>
                <w:szCs w:val="16"/>
                <w:b w:val="1"/>
                <w:bCs w:val="1"/>
                <w:color w:val="auto"/>
                <w:w w:val="99"/>
              </w:rPr>
              <w:t>Delaware</w:t>
            </w:r>
          </w:p>
        </w:tc>
        <w:tc>
          <w:tcPr>
            <w:tcW w:w="1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tcPr>
          <w:p>
            <w:pPr>
              <w:jc w:val="center"/>
              <w:ind w:right="1384"/>
              <w:spacing w:after="0"/>
              <w:rPr>
                <w:sz w:val="20"/>
                <w:szCs w:val="20"/>
                <w:color w:val="auto"/>
              </w:rPr>
            </w:pPr>
            <w:r>
              <w:rPr>
                <w:rFonts w:ascii="Arial" w:cs="Arial" w:eastAsia="Arial" w:hAnsi="Arial"/>
                <w:sz w:val="14"/>
                <w:szCs w:val="14"/>
                <w:b w:val="1"/>
                <w:bCs w:val="1"/>
                <w:color w:val="auto"/>
              </w:rPr>
              <w:t>41-1983744</w:t>
            </w:r>
          </w:p>
        </w:tc>
      </w:tr>
      <w:tr>
        <w:trPr>
          <w:trHeight w:val="162"/>
        </w:trPr>
        <w:tc>
          <w:tcPr>
            <w:tcW w:w="3700" w:type="dxa"/>
            <w:vAlign w:val="bottom"/>
            <w:gridSpan w:val="3"/>
          </w:tcPr>
          <w:p>
            <w:pPr>
              <w:jc w:val="center"/>
              <w:ind w:left="1402"/>
              <w:spacing w:after="0"/>
              <w:rPr>
                <w:sz w:val="20"/>
                <w:szCs w:val="20"/>
                <w:color w:val="auto"/>
              </w:rPr>
            </w:pPr>
            <w:r>
              <w:rPr>
                <w:rFonts w:ascii="Arial" w:cs="Arial" w:eastAsia="Arial" w:hAnsi="Arial"/>
                <w:sz w:val="14"/>
                <w:szCs w:val="14"/>
                <w:b w:val="1"/>
                <w:bCs w:val="1"/>
                <w:color w:val="auto"/>
              </w:rPr>
              <w:t>(State or other jurisdiction of</w:t>
            </w:r>
          </w:p>
        </w:tc>
        <w:tc>
          <w:tcPr>
            <w:tcW w:w="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tcPr>
          <w:p>
            <w:pPr>
              <w:jc w:val="center"/>
              <w:ind w:right="1404"/>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3700" w:type="dxa"/>
            <w:vAlign w:val="bottom"/>
            <w:gridSpan w:val="3"/>
          </w:tcPr>
          <w:p>
            <w:pPr>
              <w:jc w:val="center"/>
              <w:ind w:left="1402"/>
              <w:spacing w:after="0"/>
              <w:rPr>
                <w:sz w:val="20"/>
                <w:szCs w:val="20"/>
                <w:color w:val="auto"/>
              </w:rPr>
            </w:pPr>
            <w:r>
              <w:rPr>
                <w:rFonts w:ascii="Arial" w:cs="Arial" w:eastAsia="Arial" w:hAnsi="Arial"/>
                <w:sz w:val="14"/>
                <w:szCs w:val="14"/>
                <w:b w:val="1"/>
                <w:bCs w:val="1"/>
                <w:color w:val="auto"/>
              </w:rPr>
              <w:t>incorporation or organization)</w:t>
            </w:r>
          </w:p>
        </w:tc>
        <w:tc>
          <w:tcPr>
            <w:tcW w:w="1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tcPr>
          <w:p>
            <w:pPr>
              <w:jc w:val="center"/>
              <w:ind w:right="1384"/>
              <w:spacing w:after="0"/>
              <w:rPr>
                <w:sz w:val="20"/>
                <w:szCs w:val="20"/>
                <w:color w:val="auto"/>
              </w:rPr>
            </w:pPr>
            <w:r>
              <w:rPr>
                <w:rFonts w:ascii="Arial" w:cs="Arial" w:eastAsia="Arial" w:hAnsi="Arial"/>
                <w:sz w:val="14"/>
                <w:szCs w:val="14"/>
                <w:b w:val="1"/>
                <w:bCs w:val="1"/>
                <w:color w:val="auto"/>
              </w:rPr>
              <w:t>Identification No.)</w:t>
            </w:r>
          </w:p>
        </w:tc>
      </w:tr>
      <w:tr>
        <w:trPr>
          <w:trHeight w:val="244"/>
        </w:trPr>
        <w:tc>
          <w:tcPr>
            <w:tcW w:w="3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9201 West Broadway Avenue</w:t>
            </w:r>
          </w:p>
        </w:tc>
        <w:tc>
          <w:tcPr>
            <w:tcW w:w="3220" w:type="dxa"/>
            <w:vAlign w:val="bottom"/>
          </w:tcPr>
          <w:p>
            <w:pPr>
              <w:spacing w:after="0"/>
              <w:rPr>
                <w:sz w:val="21"/>
                <w:szCs w:val="21"/>
                <w:color w:val="auto"/>
              </w:rPr>
            </w:pPr>
          </w:p>
        </w:tc>
      </w:tr>
      <w:tr>
        <w:trPr>
          <w:trHeight w:val="189"/>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Suite 650</w:t>
            </w:r>
          </w:p>
        </w:tc>
        <w:tc>
          <w:tcPr>
            <w:tcW w:w="3220" w:type="dxa"/>
            <w:vAlign w:val="bottom"/>
          </w:tcPr>
          <w:p>
            <w:pPr>
              <w:spacing w:after="0"/>
              <w:rPr>
                <w:sz w:val="16"/>
                <w:szCs w:val="16"/>
                <w:color w:val="auto"/>
              </w:rPr>
            </w:pPr>
          </w:p>
        </w:tc>
      </w:tr>
      <w:tr>
        <w:trPr>
          <w:trHeight w:val="194"/>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rPr>
              <w:t>Minneapolis, MN 55445</w:t>
            </w:r>
          </w:p>
        </w:tc>
        <w:tc>
          <w:tcPr>
            <w:tcW w:w="3220" w:type="dxa"/>
            <w:vAlign w:val="bottom"/>
          </w:tcPr>
          <w:p>
            <w:pPr>
              <w:spacing w:after="0"/>
              <w:rPr>
                <w:sz w:val="16"/>
                <w:szCs w:val="16"/>
                <w:color w:val="auto"/>
              </w:rPr>
            </w:pPr>
          </w:p>
        </w:tc>
      </w:tr>
      <w:tr>
        <w:trPr>
          <w:trHeight w:val="196"/>
        </w:trPr>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(Address of Principal Executive Offices)</w:t>
            </w:r>
          </w:p>
        </w:tc>
        <w:tc>
          <w:tcPr>
            <w:tcW w:w="3220" w:type="dxa"/>
            <w:vAlign w:val="bottom"/>
          </w:tcPr>
          <w:p>
            <w:pPr>
              <w:spacing w:after="0"/>
              <w:rPr>
                <w:sz w:val="17"/>
                <w:szCs w:val="17"/>
                <w:color w:val="auto"/>
              </w:rPr>
            </w:pPr>
          </w:p>
        </w:tc>
      </w:tr>
      <w:tr>
        <w:trPr>
          <w:trHeight w:val="263"/>
        </w:trPr>
        <w:tc>
          <w:tcPr>
            <w:tcW w:w="3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20" w:type="dxa"/>
            <w:vAlign w:val="bottom"/>
            <w:gridSpan w:val="2"/>
          </w:tcPr>
          <w:p>
            <w:pPr>
              <w:jc w:val="center"/>
              <w:ind w:left="104"/>
              <w:spacing w:after="0"/>
              <w:rPr>
                <w:sz w:val="20"/>
                <w:szCs w:val="20"/>
                <w:color w:val="auto"/>
              </w:rPr>
            </w:pPr>
            <w:r>
              <w:rPr>
                <w:rFonts w:ascii="Arial" w:cs="Arial" w:eastAsia="Arial" w:hAnsi="Arial"/>
                <w:sz w:val="16"/>
                <w:szCs w:val="16"/>
                <w:b w:val="1"/>
                <w:bCs w:val="1"/>
                <w:color w:val="auto"/>
              </w:rPr>
              <w:t>(763) 416-2840</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20" w:type="dxa"/>
            <w:vAlign w:val="bottom"/>
          </w:tcPr>
          <w:p>
            <w:pPr>
              <w:spacing w:after="0"/>
              <w:rPr>
                <w:sz w:val="22"/>
                <w:szCs w:val="22"/>
                <w:color w:val="auto"/>
              </w:rPr>
            </w:pPr>
          </w:p>
        </w:tc>
      </w:tr>
      <w:tr>
        <w:trPr>
          <w:trHeight w:val="196"/>
        </w:trPr>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(Registrant’s telephone number)</w:t>
            </w:r>
          </w:p>
        </w:tc>
        <w:tc>
          <w:tcPr>
            <w:tcW w:w="3220" w:type="dxa"/>
            <w:vAlign w:val="bottom"/>
          </w:tcPr>
          <w:p>
            <w:pPr>
              <w:spacing w:after="0"/>
              <w:rPr>
                <w:sz w:val="17"/>
                <w:szCs w:val="17"/>
                <w:color w:val="auto"/>
              </w:rPr>
            </w:pPr>
          </w:p>
        </w:tc>
      </w:tr>
      <w:tr>
        <w:trPr>
          <w:trHeight w:val="184"/>
        </w:trPr>
        <w:tc>
          <w:tcPr>
            <w:tcW w:w="3860" w:type="dxa"/>
            <w:vAlign w:val="bottom"/>
            <w:gridSpan w:val="4"/>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400" w:type="dxa"/>
            <w:vAlign w:val="bottom"/>
            <w:gridSpan w:val="2"/>
          </w:tcPr>
          <w:p>
            <w:pPr>
              <w:spacing w:after="0"/>
              <w:rPr>
                <w:sz w:val="16"/>
                <w:szCs w:val="16"/>
                <w:color w:val="auto"/>
              </w:rPr>
            </w:pPr>
          </w:p>
        </w:tc>
        <w:tc>
          <w:tcPr>
            <w:tcW w:w="3220" w:type="dxa"/>
            <w:vAlign w:val="bottom"/>
          </w:tcPr>
          <w:p>
            <w:pPr>
              <w:spacing w:after="0"/>
              <w:rPr>
                <w:sz w:val="16"/>
                <w:szCs w:val="16"/>
                <w:color w:val="auto"/>
              </w:rPr>
            </w:pPr>
          </w:p>
        </w:tc>
      </w:tr>
      <w:tr>
        <w:trPr>
          <w:trHeight w:val="376"/>
        </w:trPr>
        <w:tc>
          <w:tcPr>
            <w:tcW w:w="6820" w:type="dxa"/>
            <w:vAlign w:val="bottom"/>
            <w:gridSpan w:val="7"/>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c>
          <w:tcPr>
            <w:tcW w:w="3220" w:type="dxa"/>
            <w:vAlign w:val="bottom"/>
          </w:tcPr>
          <w:p>
            <w:pPr>
              <w:spacing w:after="0"/>
              <w:rPr>
                <w:sz w:val="24"/>
                <w:szCs w:val="24"/>
                <w:color w:val="auto"/>
              </w:rPr>
            </w:pPr>
          </w:p>
        </w:tc>
      </w:tr>
      <w:tr>
        <w:trPr>
          <w:trHeight w:val="379"/>
        </w:trPr>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rPr>
              <w:t>Name of each exchange</w:t>
            </w:r>
          </w:p>
        </w:tc>
      </w:tr>
      <w:tr>
        <w:trPr>
          <w:trHeight w:val="230"/>
        </w:trPr>
        <w:tc>
          <w:tcPr>
            <w:tcW w:w="3700" w:type="dxa"/>
            <w:vAlign w:val="bottom"/>
            <w:gridSpan w:val="3"/>
          </w:tcPr>
          <w:p>
            <w:pPr>
              <w:jc w:val="center"/>
              <w:ind w:right="500"/>
              <w:spacing w:after="0"/>
              <w:rPr>
                <w:sz w:val="20"/>
                <w:szCs w:val="20"/>
                <w:color w:val="auto"/>
              </w:rPr>
            </w:pPr>
            <w:r>
              <w:rPr>
                <w:rFonts w:ascii="Arial" w:cs="Arial" w:eastAsia="Arial" w:hAnsi="Arial"/>
                <w:sz w:val="16"/>
                <w:szCs w:val="16"/>
                <w:color w:val="auto"/>
                <w:w w:val="99"/>
              </w:rPr>
              <w:t>Title of each class</w:t>
            </w:r>
          </w:p>
        </w:tc>
        <w:tc>
          <w:tcPr>
            <w:tcW w:w="160" w:type="dxa"/>
            <w:vAlign w:val="bottom"/>
          </w:tcPr>
          <w:p>
            <w:pPr>
              <w:spacing w:after="0"/>
              <w:rPr>
                <w:sz w:val="20"/>
                <w:szCs w:val="20"/>
                <w:color w:val="auto"/>
              </w:rPr>
            </w:pPr>
          </w:p>
        </w:tc>
        <w:tc>
          <w:tcPr>
            <w:tcW w:w="2960" w:type="dxa"/>
            <w:vAlign w:val="bottom"/>
            <w:gridSpan w:val="3"/>
          </w:tcPr>
          <w:p>
            <w:pPr>
              <w:jc w:val="center"/>
              <w:ind w:right="640"/>
              <w:spacing w:after="0"/>
              <w:rPr>
                <w:sz w:val="20"/>
                <w:szCs w:val="20"/>
                <w:color w:val="auto"/>
              </w:rPr>
            </w:pPr>
            <w:r>
              <w:rPr>
                <w:rFonts w:ascii="Arial" w:cs="Arial" w:eastAsia="Arial" w:hAnsi="Arial"/>
                <w:sz w:val="16"/>
                <w:szCs w:val="16"/>
                <w:color w:val="auto"/>
              </w:rPr>
              <w:t>Trading Symbol(s)</w:t>
            </w:r>
          </w:p>
        </w:tc>
        <w:tc>
          <w:tcPr>
            <w:tcW w:w="3220" w:type="dxa"/>
            <w:vAlign w:val="bottom"/>
          </w:tcPr>
          <w:p>
            <w:pPr>
              <w:jc w:val="center"/>
              <w:spacing w:after="0"/>
              <w:rPr>
                <w:sz w:val="20"/>
                <w:szCs w:val="20"/>
                <w:color w:val="auto"/>
              </w:rPr>
            </w:pPr>
            <w:r>
              <w:rPr>
                <w:rFonts w:ascii="Arial" w:cs="Arial" w:eastAsia="Arial" w:hAnsi="Arial"/>
                <w:sz w:val="16"/>
                <w:szCs w:val="16"/>
                <w:color w:val="auto"/>
              </w:rPr>
              <w:t>on which registered</w:t>
            </w:r>
          </w:p>
        </w:tc>
      </w:tr>
      <w:tr>
        <w:trPr>
          <w:trHeight w:val="168"/>
        </w:trPr>
        <w:tc>
          <w:tcPr>
            <w:tcW w:w="318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740" w:type="dxa"/>
            <w:vAlign w:val="bottom"/>
            <w:tcBorders>
              <w:top w:val="single" w:sz="8" w:color="auto"/>
            </w:tcBorders>
            <w:gridSpan w:val="2"/>
          </w:tcPr>
          <w:p>
            <w:pPr>
              <w:jc w:val="center"/>
              <w:ind w:right="440"/>
              <w:spacing w:after="0" w:line="168" w:lineRule="exact"/>
              <w:rPr>
                <w:sz w:val="20"/>
                <w:szCs w:val="20"/>
                <w:color w:val="auto"/>
              </w:rPr>
            </w:pPr>
            <w:r>
              <w:rPr>
                <w:rFonts w:ascii="Arial" w:cs="Arial" w:eastAsia="Arial" w:hAnsi="Arial"/>
                <w:sz w:val="16"/>
                <w:szCs w:val="16"/>
                <w:b w:val="1"/>
                <w:bCs w:val="1"/>
                <w:color w:val="auto"/>
              </w:rPr>
              <w:t>CVRX</w:t>
            </w:r>
          </w:p>
        </w:tc>
        <w:tc>
          <w:tcPr>
            <w:tcW w:w="220" w:type="dxa"/>
            <w:vAlign w:val="bottom"/>
          </w:tcPr>
          <w:p>
            <w:pPr>
              <w:spacing w:after="0"/>
              <w:rPr>
                <w:sz w:val="14"/>
                <w:szCs w:val="14"/>
                <w:color w:val="auto"/>
              </w:rPr>
            </w:pPr>
          </w:p>
        </w:tc>
        <w:tc>
          <w:tcPr>
            <w:tcW w:w="322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The Nasdaq Global Select Market</w:t>
            </w:r>
          </w:p>
        </w:tc>
      </w:tr>
      <w:tr>
        <w:trPr>
          <w:trHeight w:val="223"/>
        </w:trPr>
        <w:tc>
          <w:tcPr>
            <w:tcW w:w="370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rPr>
              <w:t>par value $0.01 per share</w:t>
            </w:r>
          </w:p>
        </w:tc>
        <w:tc>
          <w:tcPr>
            <w:tcW w:w="1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tcPr>
          <w:p>
            <w:pPr>
              <w:spacing w:after="0"/>
              <w:rPr>
                <w:sz w:val="19"/>
                <w:szCs w:val="19"/>
                <w:color w:val="auto"/>
              </w:rPr>
            </w:pPr>
          </w:p>
        </w:tc>
      </w:tr>
    </w:tbl>
    <w:p>
      <w:pPr>
        <w:spacing w:after="0" w:line="255" w:lineRule="exact"/>
        <w:rPr>
          <w:sz w:val="24"/>
          <w:szCs w:val="24"/>
          <w:color w:val="auto"/>
        </w:rPr>
      </w:pPr>
    </w:p>
    <w:p>
      <w:pPr>
        <w:ind w:left="40"/>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left="40" w:right="380"/>
        <w:spacing w:after="0" w:line="24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0"/>
        <w:spacing w:after="0" w:line="161" w:lineRule="exact"/>
        <w:tabs>
          <w:tab w:leader="none" w:pos="700" w:val="left"/>
          <w:tab w:leader="none" w:pos="10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w:t>
      </w:r>
      <w:r>
        <w:rPr>
          <w:sz w:val="20"/>
          <w:szCs w:val="20"/>
          <w:color w:val="auto"/>
        </w:rPr>
        <w:tab/>
      </w:r>
      <w:r>
        <w:rPr>
          <w:rFonts w:ascii="MS PGothic" w:cs="MS PGothic" w:eastAsia="MS PGothic" w:hAnsi="MS PGothic"/>
          <w:sz w:val="14"/>
          <w:szCs w:val="14"/>
          <w:color w:val="auto"/>
        </w:rPr>
        <w:t>☐</w:t>
      </w:r>
    </w:p>
    <w:p>
      <w:pPr>
        <w:spacing w:after="0" w:line="112" w:lineRule="exact"/>
        <w:rPr>
          <w:sz w:val="24"/>
          <w:szCs w:val="24"/>
          <w:color w:val="auto"/>
        </w:rPr>
      </w:pPr>
    </w:p>
    <w:p>
      <w:pPr>
        <w:ind w:left="40" w:right="200"/>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80"/>
          </w:cols>
          <w:pgMar w:left="800" w:top="661" w:right="919" w:bottom="1440" w:gutter="0" w:footer="0" w:header="0"/>
        </w:sectPr>
      </w:pPr>
    </w:p>
    <w:p>
      <w:pPr>
        <w:spacing w:after="0" w:line="173"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97" w:lineRule="exact"/>
        <w:rPr>
          <w:sz w:val="24"/>
          <w:szCs w:val="24"/>
          <w:color w:val="auto"/>
        </w:rPr>
      </w:pPr>
    </w:p>
    <w:p>
      <w:pPr>
        <w:sectPr>
          <w:pgSz w:w="11900" w:h="16838" w:orient="portrait"/>
          <w:cols w:equalWidth="0" w:num="4">
            <w:col w:w="1640" w:space="720"/>
            <w:col w:w="420" w:space="720"/>
            <w:col w:w="1920" w:space="720"/>
            <w:col w:w="4040"/>
          </w:cols>
          <w:pgMar w:left="800" w:top="661" w:right="919" w:bottom="1440" w:gutter="0" w:footer="0" w:header="0"/>
          <w:type w:val="continuous"/>
        </w:sectPr>
      </w:pPr>
    </w:p>
    <w:p>
      <w:pPr>
        <w:spacing w:after="0" w:line="45"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jc w:val="center"/>
        <w:ind w:right="300"/>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ind w:right="20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jc w:val="center"/>
        <w:ind w:right="22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48" w:lineRule="exact"/>
        <w:rPr>
          <w:sz w:val="24"/>
          <w:szCs w:val="24"/>
          <w:color w:val="auto"/>
        </w:rPr>
      </w:pPr>
    </w:p>
    <w:p>
      <w:pPr>
        <w:sectPr>
          <w:pgSz w:w="11900" w:h="16838" w:orient="portrait"/>
          <w:cols w:equalWidth="0" w:num="6">
            <w:col w:w="1640" w:space="720"/>
            <w:col w:w="420" w:space="720"/>
            <w:col w:w="1920" w:space="720"/>
            <w:col w:w="360" w:space="720"/>
            <w:col w:w="1760" w:space="720"/>
            <w:col w:w="480"/>
          </w:cols>
          <w:pgMar w:left="800" w:top="661" w:right="919" w:bottom="1440" w:gutter="0" w:footer="0" w:header="0"/>
          <w:type w:val="continuous"/>
        </w:sectPr>
      </w:pPr>
    </w:p>
    <w:p>
      <w:pPr>
        <w:ind w:left="40" w:right="30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40" w:right="1840"/>
        <w:spacing w:after="0" w:line="25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May 2, 2025, there were 26,072,599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674370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74295</wp:posOffset>
            </wp:positionV>
            <wp:extent cx="6497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116840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80"/>
          </w:cols>
          <w:pgMar w:left="800" w:top="661" w:right="9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9" w:lineRule="exact"/>
        <w:rPr>
          <w:sz w:val="20"/>
          <w:szCs w:val="20"/>
          <w:color w:val="auto"/>
        </w:rPr>
      </w:pPr>
    </w:p>
    <w:p>
      <w:pPr>
        <w:jc w:val="right"/>
        <w:ind w:right="79"/>
        <w:spacing w:after="0"/>
        <w:rPr>
          <w:sz w:val="20"/>
          <w:szCs w:val="20"/>
          <w:color w:val="auto"/>
        </w:rPr>
      </w:pPr>
      <w:r>
        <w:rPr>
          <w:rFonts w:ascii="Arial" w:cs="Arial" w:eastAsia="Arial" w:hAnsi="Arial"/>
          <w:sz w:val="14"/>
          <w:szCs w:val="14"/>
          <w:b w:val="1"/>
          <w:bCs w:val="1"/>
          <w:u w:val="single" w:color="auto"/>
          <w:color w:val="auto"/>
        </w:rPr>
        <w:t>Page</w:t>
      </w:r>
    </w:p>
    <w:p>
      <w:pPr>
        <w:sectPr>
          <w:pgSz w:w="11900" w:h="16838" w:orient="portrait"/>
          <w:cols w:equalWidth="0" w:num="1">
            <w:col w:w="9019"/>
          </w:cols>
          <w:pgMar w:left="1440" w:top="513" w:right="1440" w:bottom="1440" w:gutter="0" w:footer="0" w:header="0"/>
        </w:sectPr>
      </w:pP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b w:val="1"/>
                <w:bCs w:val="1"/>
                <w:color w:val="0000EE"/>
                <w:w w:val="93"/>
              </w:rPr>
              <w:t>Part I</w:t>
            </w:r>
          </w:p>
        </w:tc>
        <w:tc>
          <w:tcPr>
            <w:tcW w:w="800" w:type="dxa"/>
            <w:vAlign w:val="bottom"/>
            <w:gridSpan w:val="6"/>
          </w:tcPr>
          <w:p>
            <w:pPr>
              <w:spacing w:after="0"/>
              <w:rPr>
                <w:sz w:val="17"/>
                <w:szCs w:val="17"/>
                <w:color w:val="auto"/>
              </w:rPr>
            </w:pPr>
          </w:p>
        </w:tc>
        <w:tc>
          <w:tcPr>
            <w:tcW w:w="7080" w:type="dxa"/>
            <w:vAlign w:val="bottom"/>
            <w:gridSpan w:val="23"/>
          </w:tcPr>
          <w:p>
            <w:pPr>
              <w:spacing w:after="0"/>
              <w:rPr>
                <w:sz w:val="20"/>
                <w:szCs w:val="20"/>
                <w:color w:val="auto"/>
              </w:rPr>
            </w:pPr>
            <w:r>
              <w:rPr>
                <w:rFonts w:ascii="Arial" w:cs="Arial" w:eastAsia="Arial" w:hAnsi="Arial"/>
                <w:sz w:val="18"/>
                <w:szCs w:val="18"/>
                <w:b w:val="1"/>
                <w:bCs w:val="1"/>
                <w:color w:val="0000EE"/>
              </w:rPr>
              <w:t>Financial Information</w:t>
            </w:r>
          </w:p>
        </w:tc>
      </w:tr>
      <w:tr>
        <w:trPr>
          <w:trHeight w:val="20"/>
        </w:trPr>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480" w:type="dxa"/>
            <w:vAlign w:val="bottom"/>
            <w:gridSpan w:val="2"/>
          </w:tcPr>
          <w:p>
            <w:pPr>
              <w:spacing w:after="0"/>
              <w:rPr>
                <w:sz w:val="20"/>
                <w:szCs w:val="20"/>
                <w:color w:val="auto"/>
              </w:rPr>
            </w:pPr>
            <w:r>
              <w:rPr>
                <w:rFonts w:ascii="Arial" w:cs="Arial" w:eastAsia="Arial" w:hAnsi="Arial"/>
                <w:sz w:val="18"/>
                <w:szCs w:val="18"/>
                <w:color w:val="0000EE"/>
                <w:w w:val="79"/>
              </w:rPr>
              <w:t>Item 1.</w:t>
            </w:r>
          </w:p>
        </w:tc>
        <w:tc>
          <w:tcPr>
            <w:tcW w:w="760" w:type="dxa"/>
            <w:vAlign w:val="bottom"/>
            <w:gridSpan w:val="5"/>
          </w:tcPr>
          <w:p>
            <w:pPr>
              <w:spacing w:after="0"/>
              <w:rPr>
                <w:sz w:val="24"/>
                <w:szCs w:val="24"/>
                <w:color w:val="auto"/>
              </w:rPr>
            </w:pPr>
          </w:p>
        </w:tc>
        <w:tc>
          <w:tcPr>
            <w:tcW w:w="7080" w:type="dxa"/>
            <w:vAlign w:val="bottom"/>
            <w:gridSpan w:val="23"/>
          </w:tcPr>
          <w:p>
            <w:pPr>
              <w:spacing w:after="0"/>
              <w:rPr>
                <w:sz w:val="20"/>
                <w:szCs w:val="20"/>
                <w:color w:val="auto"/>
              </w:rPr>
            </w:pPr>
            <w:r>
              <w:rPr>
                <w:rFonts w:ascii="Arial" w:cs="Arial" w:eastAsia="Arial" w:hAnsi="Arial"/>
                <w:sz w:val="18"/>
                <w:szCs w:val="18"/>
                <w:color w:val="0000EE"/>
              </w:rPr>
              <w:t>Financial Statements</w:t>
            </w:r>
          </w:p>
        </w:tc>
      </w:tr>
      <w:tr>
        <w:trPr>
          <w:trHeight w:val="20"/>
        </w:trPr>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80" w:type="dxa"/>
            <w:vAlign w:val="bottom"/>
            <w:gridSpan w:val="23"/>
          </w:tcPr>
          <w:p>
            <w:pPr>
              <w:spacing w:after="0"/>
              <w:rPr>
                <w:sz w:val="20"/>
                <w:szCs w:val="20"/>
                <w:color w:val="auto"/>
              </w:rPr>
            </w:pPr>
            <w:r>
              <w:rPr>
                <w:rFonts w:ascii="Arial" w:cs="Arial" w:eastAsia="Arial" w:hAnsi="Arial"/>
                <w:sz w:val="18"/>
                <w:szCs w:val="18"/>
                <w:color w:val="0000EE"/>
              </w:rPr>
              <w:t>Condensed Consolidated Balance Sheets as of March 31, 2025 and December 31, 2024</w:t>
            </w: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94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7"/>
              </w:rPr>
              <w:t>(Unaudited)</w:t>
            </w:r>
          </w:p>
        </w:tc>
        <w:tc>
          <w:tcPr>
            <w:tcW w:w="5980" w:type="dxa"/>
            <w:vAlign w:val="bottom"/>
            <w:tcBorders>
              <w:top w:val="single" w:sz="8" w:color="0000EE"/>
            </w:tcBorders>
            <w:gridSpan w:val="17"/>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80" w:type="dxa"/>
            <w:vAlign w:val="bottom"/>
            <w:gridSpan w:val="23"/>
          </w:tcPr>
          <w:p>
            <w:pPr>
              <w:spacing w:after="0"/>
              <w:rPr>
                <w:sz w:val="20"/>
                <w:szCs w:val="20"/>
                <w:color w:val="auto"/>
              </w:rPr>
            </w:pPr>
            <w:r>
              <w:rPr>
                <w:rFonts w:ascii="Arial" w:cs="Arial" w:eastAsia="Arial" w:hAnsi="Arial"/>
                <w:sz w:val="18"/>
                <w:szCs w:val="18"/>
                <w:color w:val="0000EE"/>
              </w:rPr>
              <w:t>Condensed Consolidated Statements of Operations and Comprehensive Loss for the</w:t>
            </w: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62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three months ended March 31, 2025 and 2024 (Unaudited)</w:t>
            </w:r>
          </w:p>
        </w:tc>
        <w:tc>
          <w:tcPr>
            <w:tcW w:w="18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80" w:type="dxa"/>
            <w:vAlign w:val="bottom"/>
            <w:gridSpan w:val="23"/>
          </w:tcPr>
          <w:p>
            <w:pPr>
              <w:spacing w:after="0"/>
              <w:rPr>
                <w:sz w:val="20"/>
                <w:szCs w:val="20"/>
                <w:color w:val="auto"/>
              </w:rPr>
            </w:pPr>
            <w:r>
              <w:rPr>
                <w:rFonts w:ascii="Arial" w:cs="Arial" w:eastAsia="Arial" w:hAnsi="Arial"/>
                <w:sz w:val="18"/>
                <w:szCs w:val="18"/>
                <w:color w:val="0000EE"/>
              </w:rPr>
              <w:t>Condensed Consolidated Statements of Stockholders</w:t>
            </w:r>
            <w:r>
              <w:rPr>
                <w:rFonts w:ascii="Times New Roman" w:cs="Times New Roman" w:eastAsia="Times New Roman" w:hAnsi="Times New Roman"/>
                <w:sz w:val="18"/>
                <w:szCs w:val="18"/>
                <w:color w:val="0000EE"/>
              </w:rPr>
              <w:t>’</w:t>
            </w:r>
            <w:r>
              <w:rPr>
                <w:rFonts w:ascii="Arial" w:cs="Arial" w:eastAsia="Arial" w:hAnsi="Arial"/>
                <w:sz w:val="18"/>
                <w:szCs w:val="18"/>
                <w:color w:val="0000EE"/>
              </w:rPr>
              <w:t xml:space="preserve"> Equity for the three months</w:t>
            </w: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40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ended March 31, 2025 and 2024 (Unaudited)</w:t>
            </w:r>
          </w:p>
        </w:tc>
        <w:tc>
          <w:tcPr>
            <w:tcW w:w="540" w:type="dxa"/>
            <w:vAlign w:val="bottom"/>
            <w:gridSpan w:val="4"/>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80" w:type="dxa"/>
            <w:vAlign w:val="bottom"/>
            <w:gridSpan w:val="23"/>
          </w:tcPr>
          <w:p>
            <w:pPr>
              <w:spacing w:after="0"/>
              <w:rPr>
                <w:sz w:val="20"/>
                <w:szCs w:val="20"/>
                <w:color w:val="auto"/>
              </w:rPr>
            </w:pPr>
            <w:r>
              <w:rPr>
                <w:rFonts w:ascii="Arial" w:cs="Arial" w:eastAsia="Arial" w:hAnsi="Arial"/>
                <w:sz w:val="18"/>
                <w:szCs w:val="18"/>
                <w:color w:val="0000EE"/>
              </w:rPr>
              <w:t>Condensed Consolidated Statements of Cash Flows for the three months ended March</w:t>
            </w: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80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31, 2025 and 2024 (Unaudited)</w:t>
            </w:r>
          </w:p>
        </w:tc>
        <w:tc>
          <w:tcPr>
            <w:tcW w:w="140" w:type="dxa"/>
            <w:vAlign w:val="bottom"/>
            <w:gridSpan w:val="2"/>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80" w:type="dxa"/>
            <w:vAlign w:val="bottom"/>
            <w:gridSpan w:val="23"/>
          </w:tcPr>
          <w:p>
            <w:pPr>
              <w:spacing w:after="0"/>
              <w:rPr>
                <w:sz w:val="20"/>
                <w:szCs w:val="20"/>
                <w:color w:val="auto"/>
              </w:rPr>
            </w:pPr>
            <w:r>
              <w:rPr>
                <w:rFonts w:ascii="Arial" w:cs="Arial" w:eastAsia="Arial" w:hAnsi="Arial"/>
                <w:sz w:val="18"/>
                <w:szCs w:val="18"/>
                <w:color w:val="0000EE"/>
              </w:rPr>
              <w:t>Notes to Condensed Consolidated Financial Statements (Unaudited)</w:t>
            </w:r>
          </w:p>
        </w:tc>
      </w:tr>
      <w:tr>
        <w:trPr>
          <w:trHeight w:val="20"/>
        </w:trPr>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r>
      <w:tr>
        <w:trPr>
          <w:trHeight w:val="398"/>
        </w:trPr>
        <w:tc>
          <w:tcPr>
            <w:tcW w:w="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79"/>
              </w:rPr>
              <w:t>Item 2.</w:t>
            </w:r>
          </w:p>
        </w:tc>
        <w:tc>
          <w:tcPr>
            <w:tcW w:w="760" w:type="dxa"/>
            <w:vAlign w:val="bottom"/>
            <w:gridSpan w:val="5"/>
          </w:tcPr>
          <w:p>
            <w:pPr>
              <w:spacing w:after="0"/>
              <w:rPr>
                <w:sz w:val="24"/>
                <w:szCs w:val="24"/>
                <w:color w:val="auto"/>
              </w:rPr>
            </w:pPr>
          </w:p>
        </w:tc>
        <w:tc>
          <w:tcPr>
            <w:tcW w:w="61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Management</w:t>
            </w:r>
            <w:r>
              <w:rPr>
                <w:rFonts w:ascii="Times New Roman" w:cs="Times New Roman" w:eastAsia="Times New Roman" w:hAnsi="Times New Roman"/>
                <w:sz w:val="18"/>
                <w:szCs w:val="18"/>
                <w:color w:val="0000EE"/>
                <w:w w:val="99"/>
              </w:rPr>
              <w:t>’</w:t>
            </w:r>
            <w:r>
              <w:rPr>
                <w:rFonts w:ascii="Arial" w:cs="Arial" w:eastAsia="Arial" w:hAnsi="Arial"/>
                <w:sz w:val="18"/>
                <w:szCs w:val="18"/>
                <w:color w:val="0000EE"/>
                <w:w w:val="99"/>
              </w:rPr>
              <w:t>s Discussion and Analysis of Financial Condition and Results of</w:t>
            </w:r>
          </w:p>
        </w:tc>
        <w:tc>
          <w:tcPr>
            <w:tcW w:w="900" w:type="dxa"/>
            <w:vAlign w:val="bottom"/>
            <w:gridSpan w:val="5"/>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7"/>
              </w:rPr>
              <w:t>Operations</w:t>
            </w:r>
          </w:p>
        </w:tc>
        <w:tc>
          <w:tcPr>
            <w:tcW w:w="6060" w:type="dxa"/>
            <w:vAlign w:val="bottom"/>
            <w:gridSpan w:val="19"/>
          </w:tcPr>
          <w:p>
            <w:pPr>
              <w:spacing w:after="0"/>
              <w:rPr>
                <w:sz w:val="17"/>
                <w:szCs w:val="17"/>
                <w:color w:val="auto"/>
              </w:rPr>
            </w:pPr>
          </w:p>
        </w:tc>
      </w:tr>
      <w:tr>
        <w:trPr>
          <w:trHeight w:val="385"/>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472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9"/>
              </w:rPr>
              <w:t>Quantitative and Qualitative Disclosures About Market Risk</w:t>
            </w:r>
          </w:p>
        </w:tc>
        <w:tc>
          <w:tcPr>
            <w:tcW w:w="2360" w:type="dxa"/>
            <w:vAlign w:val="bottom"/>
            <w:gridSpan w:val="9"/>
          </w:tcPr>
          <w:p>
            <w:pPr>
              <w:spacing w:after="0"/>
              <w:rPr>
                <w:sz w:val="24"/>
                <w:szCs w:val="24"/>
                <w:color w:val="auto"/>
              </w:rPr>
            </w:pPr>
          </w:p>
        </w:tc>
      </w:tr>
      <w:tr>
        <w:trPr>
          <w:trHeight w:val="398"/>
        </w:trPr>
        <w:tc>
          <w:tcPr>
            <w:tcW w:w="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79"/>
              </w:rPr>
              <w:t>Item 4.</w:t>
            </w:r>
          </w:p>
        </w:tc>
        <w:tc>
          <w:tcPr>
            <w:tcW w:w="760" w:type="dxa"/>
            <w:vAlign w:val="bottom"/>
            <w:gridSpan w:val="5"/>
          </w:tcPr>
          <w:p>
            <w:pPr>
              <w:spacing w:after="0"/>
              <w:rPr>
                <w:sz w:val="24"/>
                <w:szCs w:val="24"/>
                <w:color w:val="auto"/>
              </w:rPr>
            </w:pPr>
          </w:p>
        </w:tc>
        <w:tc>
          <w:tcPr>
            <w:tcW w:w="20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Controls and Procedures</w:t>
            </w:r>
          </w:p>
        </w:tc>
        <w:tc>
          <w:tcPr>
            <w:tcW w:w="5080" w:type="dxa"/>
            <w:vAlign w:val="bottom"/>
            <w:gridSpan w:val="12"/>
          </w:tcPr>
          <w:p>
            <w:pPr>
              <w:spacing w:after="0"/>
              <w:rPr>
                <w:sz w:val="24"/>
                <w:szCs w:val="24"/>
                <w:color w:val="auto"/>
              </w:rPr>
            </w:pPr>
          </w:p>
        </w:tc>
      </w:tr>
      <w:tr>
        <w:trPr>
          <w:trHeight w:val="399"/>
        </w:trPr>
        <w:tc>
          <w:tcPr>
            <w:tcW w:w="1240" w:type="dxa"/>
            <w:vAlign w:val="bottom"/>
            <w:gridSpan w:val="7"/>
          </w:tcPr>
          <w:p>
            <w:pPr>
              <w:spacing w:after="0"/>
              <w:rPr>
                <w:sz w:val="20"/>
                <w:szCs w:val="20"/>
                <w:color w:val="auto"/>
              </w:rPr>
            </w:pPr>
            <w:r>
              <w:rPr>
                <w:rFonts w:ascii="Arial" w:cs="Arial" w:eastAsia="Arial" w:hAnsi="Arial"/>
                <w:sz w:val="18"/>
                <w:szCs w:val="18"/>
                <w:b w:val="1"/>
                <w:bCs w:val="1"/>
                <w:color w:val="0000EE"/>
              </w:rPr>
              <w:t>Part II</w:t>
            </w:r>
          </w:p>
        </w:tc>
        <w:tc>
          <w:tcPr>
            <w:tcW w:w="7080" w:type="dxa"/>
            <w:vAlign w:val="bottom"/>
            <w:gridSpan w:val="23"/>
          </w:tcPr>
          <w:p>
            <w:pPr>
              <w:spacing w:after="0"/>
              <w:rPr>
                <w:sz w:val="20"/>
                <w:szCs w:val="20"/>
                <w:color w:val="auto"/>
              </w:rPr>
            </w:pPr>
            <w:r>
              <w:rPr>
                <w:rFonts w:ascii="Arial" w:cs="Arial" w:eastAsia="Arial" w:hAnsi="Arial"/>
                <w:sz w:val="18"/>
                <w:szCs w:val="18"/>
                <w:b w:val="1"/>
                <w:bCs w:val="1"/>
                <w:color w:val="0000EE"/>
              </w:rPr>
              <w:t>Other Information</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4"/>
          </w:tcPr>
          <w:p>
            <w:pPr>
              <w:spacing w:after="0"/>
              <w:rPr>
                <w:sz w:val="24"/>
                <w:szCs w:val="24"/>
                <w:color w:val="auto"/>
              </w:rPr>
            </w:pPr>
          </w:p>
        </w:tc>
        <w:tc>
          <w:tcPr>
            <w:tcW w:w="15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Legal Proceedings</w:t>
            </w:r>
          </w:p>
        </w:tc>
        <w:tc>
          <w:tcPr>
            <w:tcW w:w="5560" w:type="dxa"/>
            <w:vAlign w:val="bottom"/>
            <w:gridSpan w:val="16"/>
          </w:tcPr>
          <w:p>
            <w:pPr>
              <w:spacing w:after="0"/>
              <w:rPr>
                <w:sz w:val="24"/>
                <w:szCs w:val="24"/>
                <w:color w:val="auto"/>
              </w:rPr>
            </w:pPr>
          </w:p>
        </w:tc>
      </w:tr>
      <w:tr>
        <w:trPr>
          <w:trHeight w:val="398"/>
        </w:trPr>
        <w:tc>
          <w:tcPr>
            <w:tcW w:w="660" w:type="dxa"/>
            <w:vAlign w:val="bottom"/>
            <w:gridSpan w:val="4"/>
          </w:tcPr>
          <w:p>
            <w:pPr>
              <w:spacing w:after="0"/>
              <w:rPr>
                <w:sz w:val="20"/>
                <w:szCs w:val="20"/>
                <w:color w:val="auto"/>
              </w:rPr>
            </w:pPr>
            <w:r>
              <w:rPr>
                <w:rFonts w:ascii="Arial" w:cs="Arial" w:eastAsia="Arial" w:hAnsi="Arial"/>
                <w:sz w:val="18"/>
                <w:szCs w:val="18"/>
                <w:color w:val="0000EE"/>
                <w:w w:val="95"/>
              </w:rPr>
              <w:t>Item 1A.</w:t>
            </w:r>
          </w:p>
        </w:tc>
        <w:tc>
          <w:tcPr>
            <w:tcW w:w="580" w:type="dxa"/>
            <w:vAlign w:val="bottom"/>
            <w:gridSpan w:val="3"/>
          </w:tcPr>
          <w:p>
            <w:pPr>
              <w:spacing w:after="0"/>
              <w:rPr>
                <w:sz w:val="24"/>
                <w:szCs w:val="24"/>
                <w:color w:val="auto"/>
              </w:rPr>
            </w:pPr>
          </w:p>
        </w:tc>
        <w:tc>
          <w:tcPr>
            <w:tcW w:w="7080" w:type="dxa"/>
            <w:vAlign w:val="bottom"/>
            <w:gridSpan w:val="23"/>
          </w:tcPr>
          <w:p>
            <w:pPr>
              <w:spacing w:after="0"/>
              <w:rPr>
                <w:sz w:val="20"/>
                <w:szCs w:val="20"/>
                <w:color w:val="auto"/>
              </w:rPr>
            </w:pPr>
            <w:r>
              <w:rPr>
                <w:rFonts w:ascii="Arial" w:cs="Arial" w:eastAsia="Arial" w:hAnsi="Arial"/>
                <w:sz w:val="18"/>
                <w:szCs w:val="18"/>
                <w:color w:val="0000EE"/>
              </w:rPr>
              <w:t>Risk Factors</w:t>
            </w: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2.</w:t>
            </w:r>
          </w:p>
        </w:tc>
        <w:tc>
          <w:tcPr>
            <w:tcW w:w="100" w:type="dxa"/>
            <w:vAlign w:val="bottom"/>
          </w:tcPr>
          <w:p>
            <w:pPr>
              <w:spacing w:after="0"/>
              <w:rPr>
                <w:sz w:val="24"/>
                <w:szCs w:val="24"/>
                <w:color w:val="auto"/>
              </w:rPr>
            </w:pPr>
          </w:p>
        </w:tc>
        <w:tc>
          <w:tcPr>
            <w:tcW w:w="580" w:type="dxa"/>
            <w:vAlign w:val="bottom"/>
            <w:gridSpan w:val="3"/>
          </w:tcPr>
          <w:p>
            <w:pPr>
              <w:spacing w:after="0"/>
              <w:rPr>
                <w:sz w:val="24"/>
                <w:szCs w:val="24"/>
                <w:color w:val="auto"/>
              </w:rPr>
            </w:pPr>
          </w:p>
        </w:tc>
        <w:tc>
          <w:tcPr>
            <w:tcW w:w="48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9"/>
              </w:rPr>
              <w:t>Unregistered Sales of Equity Securities and Use of Proceeds</w:t>
            </w:r>
          </w:p>
        </w:tc>
        <w:tc>
          <w:tcPr>
            <w:tcW w:w="2220" w:type="dxa"/>
            <w:vAlign w:val="bottom"/>
            <w:gridSpan w:val="7"/>
          </w:tcPr>
          <w:p>
            <w:pPr>
              <w:spacing w:after="0"/>
              <w:rPr>
                <w:sz w:val="24"/>
                <w:szCs w:val="24"/>
                <w:color w:val="auto"/>
              </w:rPr>
            </w:pPr>
          </w:p>
        </w:tc>
      </w:tr>
      <w:tr>
        <w:trPr>
          <w:trHeight w:val="399"/>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26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rPr>
              <w:t>Defaults Upon Senior Securities</w:t>
            </w:r>
          </w:p>
        </w:tc>
        <w:tc>
          <w:tcPr>
            <w:tcW w:w="4460" w:type="dxa"/>
            <w:vAlign w:val="bottom"/>
            <w:gridSpan w:val="11"/>
          </w:tcPr>
          <w:p>
            <w:pPr>
              <w:spacing w:after="0"/>
              <w:rPr>
                <w:sz w:val="24"/>
                <w:szCs w:val="24"/>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4"/>
          </w:tcPr>
          <w:p>
            <w:pPr>
              <w:spacing w:after="0"/>
              <w:rPr>
                <w:sz w:val="24"/>
                <w:szCs w:val="24"/>
                <w:color w:val="auto"/>
              </w:rPr>
            </w:pPr>
          </w:p>
        </w:tc>
        <w:tc>
          <w:tcPr>
            <w:tcW w:w="19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9"/>
              </w:rPr>
              <w:t>Mine Safety Disclosures</w:t>
            </w:r>
          </w:p>
        </w:tc>
        <w:tc>
          <w:tcPr>
            <w:tcW w:w="5140" w:type="dxa"/>
            <w:vAlign w:val="bottom"/>
            <w:gridSpan w:val="13"/>
          </w:tcPr>
          <w:p>
            <w:pPr>
              <w:spacing w:after="0"/>
              <w:rPr>
                <w:sz w:val="24"/>
                <w:szCs w:val="24"/>
                <w:color w:val="auto"/>
              </w:rPr>
            </w:pPr>
          </w:p>
        </w:tc>
      </w:tr>
      <w:tr>
        <w:trPr>
          <w:trHeight w:val="398"/>
        </w:trPr>
        <w:tc>
          <w:tcPr>
            <w:tcW w:w="560" w:type="dxa"/>
            <w:vAlign w:val="bottom"/>
            <w:gridSpan w:val="3"/>
          </w:tcPr>
          <w:p>
            <w:pPr>
              <w:spacing w:after="0"/>
              <w:rPr>
                <w:sz w:val="20"/>
                <w:szCs w:val="20"/>
                <w:color w:val="auto"/>
              </w:rPr>
            </w:pPr>
            <w:r>
              <w:rPr>
                <w:rFonts w:ascii="Arial" w:cs="Arial" w:eastAsia="Arial" w:hAnsi="Arial"/>
                <w:sz w:val="18"/>
                <w:szCs w:val="18"/>
                <w:color w:val="0000EE"/>
                <w:w w:val="98"/>
              </w:rPr>
              <w:t>Item 5.</w:t>
            </w:r>
          </w:p>
        </w:tc>
        <w:tc>
          <w:tcPr>
            <w:tcW w:w="680" w:type="dxa"/>
            <w:vAlign w:val="bottom"/>
            <w:gridSpan w:val="4"/>
          </w:tcPr>
          <w:p>
            <w:pPr>
              <w:spacing w:after="0"/>
              <w:rPr>
                <w:sz w:val="24"/>
                <w:szCs w:val="24"/>
                <w:color w:val="auto"/>
              </w:rPr>
            </w:pPr>
          </w:p>
        </w:tc>
        <w:tc>
          <w:tcPr>
            <w:tcW w:w="7080" w:type="dxa"/>
            <w:vAlign w:val="bottom"/>
            <w:gridSpan w:val="23"/>
          </w:tcPr>
          <w:p>
            <w:pPr>
              <w:spacing w:after="0"/>
              <w:rPr>
                <w:sz w:val="20"/>
                <w:szCs w:val="20"/>
                <w:color w:val="auto"/>
              </w:rPr>
            </w:pPr>
            <w:r>
              <w:rPr>
                <w:rFonts w:ascii="Arial" w:cs="Arial" w:eastAsia="Arial" w:hAnsi="Arial"/>
                <w:sz w:val="18"/>
                <w:szCs w:val="18"/>
                <w:color w:val="0000EE"/>
              </w:rPr>
              <w:t>Other Information</w:t>
            </w:r>
          </w:p>
        </w:tc>
      </w:tr>
      <w:tr>
        <w:trPr>
          <w:trHeight w:val="399"/>
        </w:trPr>
        <w:tc>
          <w:tcPr>
            <w:tcW w:w="4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79"/>
              </w:rPr>
              <w:t>Item 6.</w:t>
            </w:r>
          </w:p>
        </w:tc>
        <w:tc>
          <w:tcPr>
            <w:tcW w:w="80" w:type="dxa"/>
            <w:vAlign w:val="bottom"/>
            <w:tcBorders>
              <w:top w:val="single" w:sz="8" w:color="0000EE"/>
            </w:tcBorders>
          </w:tcPr>
          <w:p>
            <w:pPr>
              <w:spacing w:after="0"/>
              <w:rPr>
                <w:sz w:val="24"/>
                <w:szCs w:val="24"/>
                <w:color w:val="auto"/>
              </w:rPr>
            </w:pPr>
          </w:p>
        </w:tc>
        <w:tc>
          <w:tcPr>
            <w:tcW w:w="680" w:type="dxa"/>
            <w:vAlign w:val="bottom"/>
            <w:gridSpan w:val="4"/>
          </w:tcPr>
          <w:p>
            <w:pPr>
              <w:spacing w:after="0"/>
              <w:rPr>
                <w:sz w:val="24"/>
                <w:szCs w:val="24"/>
                <w:color w:val="auto"/>
              </w:rPr>
            </w:pPr>
          </w:p>
        </w:tc>
        <w:tc>
          <w:tcPr>
            <w:tcW w:w="6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8"/>
              </w:rPr>
              <w:t>Exhibits</w:t>
            </w:r>
          </w:p>
        </w:tc>
        <w:tc>
          <w:tcPr>
            <w:tcW w:w="760" w:type="dxa"/>
            <w:vAlign w:val="bottom"/>
            <w:tcBorders>
              <w:top w:val="single" w:sz="8" w:color="0000EE"/>
            </w:tcBorders>
            <w:gridSpan w:val="4"/>
          </w:tcPr>
          <w:p>
            <w:pPr>
              <w:spacing w:after="0"/>
              <w:rPr>
                <w:sz w:val="24"/>
                <w:szCs w:val="24"/>
                <w:color w:val="auto"/>
              </w:rPr>
            </w:pPr>
          </w:p>
        </w:tc>
        <w:tc>
          <w:tcPr>
            <w:tcW w:w="5680" w:type="dxa"/>
            <w:vAlign w:val="bottom"/>
            <w:gridSpan w:val="17"/>
          </w:tcPr>
          <w:p>
            <w:pPr>
              <w:spacing w:after="0"/>
              <w:rPr>
                <w:sz w:val="24"/>
                <w:szCs w:val="24"/>
                <w:color w:val="auto"/>
              </w:rPr>
            </w:pPr>
          </w:p>
        </w:tc>
      </w:tr>
      <w:tr>
        <w:trPr>
          <w:trHeight w:val="398"/>
        </w:trPr>
        <w:tc>
          <w:tcPr>
            <w:tcW w:w="10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6"/>
              </w:rPr>
              <w:t>Exhibit Index</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8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7"/>
              </w:rPr>
              <w:t>Signatures</w:t>
            </w:r>
          </w:p>
        </w:tc>
        <w:tc>
          <w:tcPr>
            <w:tcW w:w="3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1"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1"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1"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8</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19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26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28</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28</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29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29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29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29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30</w:t>
      </w:r>
    </w:p>
    <w:p>
      <w:pPr>
        <w:sectPr>
          <w:pgSz w:w="11900" w:h="16838" w:orient="portrait"/>
          <w:cols w:equalWidth="0" w:num="2">
            <w:col w:w="8360" w:space="380"/>
            <w:col w:w="27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2025</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Cautionary Note on Forward-Looking Statements</w:t>
      </w:r>
    </w:p>
    <w:p>
      <w:pPr>
        <w:spacing w:after="0" w:line="210"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are forward-looking statements, including statements regarding our future results of operations and financial position, business strategy, financial results and financial position, clinical trial results, prospective products, product approvals, research and development costs, timing and likelihood of success, and the plans and objectives of management for future operations.</w:t>
      </w:r>
    </w:p>
    <w:p>
      <w:pPr>
        <w:spacing w:after="0" w:line="18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but not limited to, the important factors discussed in Part I, Item 1A. “Risk Factors” in our Annual Report on Form 10-K for the year ended December 31, 2024, which are summarized below, as updated in Part II, Item 1A. “Risk Factors” in this Quarterly Report on Form 10-Q. Moreover, we operate in an evolving environment. New risk factors and uncertainties may emerge from time to time, and it is not possible for management to predict all risk factors and uncertainties.</w:t>
      </w:r>
    </w:p>
    <w:p>
      <w:pPr>
        <w:spacing w:after="0" w:line="18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194"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our Annual Report on Form 10-K for the year ended December 31, 2024, as updated in Part II, Item 1A. “Risk Factors” in this Quarterly Report on Form 10-Q. You should carefully consider these risks and uncertainties when investing in our common stock. The principal risks and uncertainties affecting our business include, but are not limited to, the following:</w:t>
      </w:r>
    </w:p>
    <w:p>
      <w:pPr>
        <w:spacing w:after="0" w:line="176" w:lineRule="exact"/>
        <w:rPr>
          <w:sz w:val="20"/>
          <w:szCs w:val="20"/>
          <w:color w:val="auto"/>
        </w:rPr>
      </w:pPr>
    </w:p>
    <w:p>
      <w:pPr>
        <w:ind w:left="720" w:right="7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history of significant losses, which we expect to continue, and we may not be able to achieve or sustain profitability;</w:t>
      </w:r>
    </w:p>
    <w:p>
      <w:pPr>
        <w:spacing w:after="0" w:line="46" w:lineRule="exact"/>
        <w:rPr>
          <w:rFonts w:ascii="Times New Roman" w:cs="Times New Roman" w:eastAsia="Times New Roman" w:hAnsi="Times New Roman"/>
          <w:sz w:val="18"/>
          <w:szCs w:val="18"/>
          <w:color w:val="auto"/>
        </w:rPr>
      </w:pPr>
    </w:p>
    <w:p>
      <w:pPr>
        <w:ind w:left="720" w:right="69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principal stockholders, management, and directors (one of whom is affiliated with one of our principal stockholders) own a significant percentage of our stock and will be able to exert significant control over matters subject to stockholder approval;</w:t>
      </w:r>
    </w:p>
    <w:p>
      <w:pPr>
        <w:spacing w:after="0" w:line="62" w:lineRule="exact"/>
        <w:rPr>
          <w:rFonts w:ascii="Times New Roman" w:cs="Times New Roman" w:eastAsia="Times New Roman" w:hAnsi="Times New Roman"/>
          <w:sz w:val="18"/>
          <w:szCs w:val="18"/>
          <w:color w:val="auto"/>
        </w:rPr>
      </w:pPr>
    </w:p>
    <w:p>
      <w:pPr>
        <w:ind w:left="720" w:right="71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history operating as a commercial company and are highly dependent on a single product, Barostim, and the failure to increase market acceptance in the U.S. for Barostim would negatively impact our business, liquidity, and results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83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limited commercial sales experience marketing and selling Barostim, and if we are unable to continue to maintain and grow sales and marketing capabilities, we will be unable to generate sustained and increasing product revenue;</w:t>
      </w:r>
    </w:p>
    <w:p>
      <w:pPr>
        <w:spacing w:after="0" w:line="6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must continue to demonstrate to physicians and patients the merits of Barostim;</w:t>
      </w:r>
    </w:p>
    <w:p>
      <w:pPr>
        <w:spacing w:after="0" w:line="116" w:lineRule="exact"/>
        <w:rPr>
          <w:rFonts w:ascii="Times New Roman" w:cs="Times New Roman" w:eastAsia="Times New Roman" w:hAnsi="Times New Roman"/>
          <w:sz w:val="18"/>
          <w:szCs w:val="18"/>
          <w:color w:val="auto"/>
        </w:rPr>
      </w:pPr>
    </w:p>
    <w:p>
      <w:pPr>
        <w:ind w:left="720" w:right="12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third-party payers do not provide adequate coverage and reimbursement for the use of Barostim, our revenue will be negatively impacted;</w:t>
      </w:r>
    </w:p>
    <w:p>
      <w:pPr>
        <w:spacing w:after="0" w:line="46" w:lineRule="exact"/>
        <w:rPr>
          <w:rFonts w:ascii="Times New Roman" w:cs="Times New Roman" w:eastAsia="Times New Roman" w:hAnsi="Times New Roman"/>
          <w:sz w:val="18"/>
          <w:szCs w:val="18"/>
          <w:color w:val="auto"/>
        </w:rPr>
      </w:pPr>
    </w:p>
    <w:p>
      <w:pPr>
        <w:ind w:left="720" w:right="679" w:hanging="319"/>
        <w:spacing w:after="0" w:line="243"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industry is highly competitive; if our competitors, many of which are large, well-established companies with substantially greater resources than us and have a long history of competing in the heart failure market, are better able to develop and market products that are safer, more effective, less costly, easier to use, or otherwise more attractive than Barostim, our business will be adversely impacted;</w:t>
      </w:r>
    </w:p>
    <w:p>
      <w:pPr>
        <w:spacing w:after="0" w:line="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receive access to hospitals, our sales may decrease;</w:t>
      </w:r>
    </w:p>
    <w:p>
      <w:pPr>
        <w:spacing w:after="0" w:line="116" w:lineRule="exact"/>
        <w:rPr>
          <w:rFonts w:ascii="Times New Roman" w:cs="Times New Roman" w:eastAsia="Times New Roman" w:hAnsi="Times New Roman"/>
          <w:sz w:val="18"/>
          <w:szCs w:val="18"/>
          <w:color w:val="auto"/>
        </w:rPr>
      </w:pPr>
    </w:p>
    <w:p>
      <w:pPr>
        <w:ind w:left="720" w:right="89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dependent upon third-party manufacturers and suppliers, and in some cases a limited number of suppliers, making us vulnerable to supply shortages, loss or degradation in performance of the suppliers, price fluctuations, and ongoing supply chain disruptions, which could harm our business;</w:t>
      </w:r>
    </w:p>
    <w:p>
      <w:pPr>
        <w:spacing w:after="0" w:line="68" w:lineRule="exact"/>
        <w:rPr>
          <w:rFonts w:ascii="Times New Roman" w:cs="Times New Roman" w:eastAsia="Times New Roman" w:hAnsi="Times New Roman"/>
          <w:sz w:val="18"/>
          <w:szCs w:val="18"/>
          <w:color w:val="auto"/>
        </w:rPr>
      </w:pPr>
    </w:p>
    <w:p>
      <w:pPr>
        <w:ind w:left="720" w:right="5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risks may adversely affect our ability to manufacture our product and could reduce our gross margin and profitability;</w:t>
      </w:r>
    </w:p>
    <w:p>
      <w:pPr>
        <w:spacing w:after="0" w:line="46" w:lineRule="exact"/>
        <w:rPr>
          <w:rFonts w:ascii="Times New Roman" w:cs="Times New Roman" w:eastAsia="Times New Roman" w:hAnsi="Times New Roman"/>
          <w:sz w:val="18"/>
          <w:szCs w:val="18"/>
          <w:color w:val="auto"/>
        </w:rPr>
      </w:pPr>
    </w:p>
    <w:p>
      <w:pPr>
        <w:ind w:left="720" w:right="121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 pandemic, epidemic or outbreak of an infectious disease in the U.S. or worldwide could adversely affect our business;</w:t>
      </w:r>
    </w:p>
    <w:p>
      <w:pPr>
        <w:spacing w:after="0" w:line="46" w:lineRule="exact"/>
        <w:rPr>
          <w:rFonts w:ascii="Times New Roman" w:cs="Times New Roman" w:eastAsia="Times New Roman" w:hAnsi="Times New Roman"/>
          <w:sz w:val="18"/>
          <w:szCs w:val="18"/>
          <w:color w:val="auto"/>
        </w:rPr>
      </w:pPr>
    </w:p>
    <w:p>
      <w:pPr>
        <w:ind w:left="720" w:right="5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face product liability claims that could be costly, divert management’s attention and harm our reputation;</w:t>
      </w:r>
    </w:p>
    <w:p>
      <w:pPr>
        <w:spacing w:after="0" w:line="46" w:lineRule="exact"/>
        <w:rPr>
          <w:rFonts w:ascii="Times New Roman" w:cs="Times New Roman" w:eastAsia="Times New Roman" w:hAnsi="Times New Roman"/>
          <w:sz w:val="18"/>
          <w:szCs w:val="18"/>
          <w:color w:val="auto"/>
        </w:rPr>
      </w:pPr>
    </w:p>
    <w:p>
      <w:pPr>
        <w:ind w:left="720" w:right="59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in the future become involved in lawsuits to protect or enforce our intellectual property or defend ourselves against intellectual property disputes, which could be expensive, time consuming and ultimately unsuccessful, and could result in the diversion of significant resources, thereby hindering our ability to effectively commercialize our existing or future products;</w:t>
      </w:r>
    </w:p>
    <w:p>
      <w:pPr>
        <w:spacing w:after="0" w:line="68" w:lineRule="exact"/>
        <w:rPr>
          <w:rFonts w:ascii="Times New Roman" w:cs="Times New Roman" w:eastAsia="Times New Roman" w:hAnsi="Times New Roman"/>
          <w:sz w:val="18"/>
          <w:szCs w:val="18"/>
          <w:color w:val="auto"/>
        </w:rPr>
      </w:pPr>
    </w:p>
    <w:p>
      <w:pPr>
        <w:ind w:left="720" w:right="679" w:hanging="319"/>
        <w:spacing w:after="0" w:line="300"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if we fail to retain our key executives or recruit and hire new employees, our operations and financial results may be adversely affected while we attract other highly qualified personnel; and</w:t>
      </w:r>
    </w:p>
    <w:p>
      <w:pPr>
        <w:spacing w:after="0" w:line="23" w:lineRule="exact"/>
        <w:rPr>
          <w:rFonts w:ascii="Times New Roman" w:cs="Times New Roman" w:eastAsia="Times New Roman" w:hAnsi="Times New Roman"/>
          <w:sz w:val="17"/>
          <w:szCs w:val="17"/>
          <w:color w:val="auto"/>
        </w:rPr>
      </w:pPr>
    </w:p>
    <w:p>
      <w:pPr>
        <w:ind w:left="720" w:right="8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will continue to obtain long-term clinical data regarding the safety and effectiveness of our products, which could impact future adoption and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65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102,668</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105,933</w:t>
            </w:r>
          </w:p>
        </w:tc>
        <w:tc>
          <w:tcPr>
            <w:tcW w:w="0" w:type="dxa"/>
            <w:vAlign w:val="bottom"/>
          </w:tcPr>
          <w:p>
            <w:pPr>
              <w:spacing w:after="0"/>
              <w:rPr>
                <w:sz w:val="1"/>
                <w:szCs w:val="1"/>
                <w:color w:val="auto"/>
              </w:rPr>
            </w:pPr>
          </w:p>
        </w:tc>
      </w:tr>
      <w:tr>
        <w:trPr>
          <w:trHeight w:val="203"/>
        </w:trPr>
        <w:tc>
          <w:tcPr>
            <w:tcW w:w="654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 of allowances of $810 and $780, respectively</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9,012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9,268</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11,672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12,107</w:t>
            </w:r>
          </w:p>
        </w:tc>
        <w:tc>
          <w:tcPr>
            <w:tcW w:w="0" w:type="dxa"/>
            <w:vAlign w:val="bottom"/>
          </w:tcPr>
          <w:p>
            <w:pPr>
              <w:spacing w:after="0"/>
              <w:rPr>
                <w:sz w:val="1"/>
                <w:szCs w:val="1"/>
                <w:color w:val="auto"/>
              </w:rPr>
            </w:pPr>
          </w:p>
        </w:tc>
      </w:tr>
      <w:tr>
        <w:trPr>
          <w:trHeight w:val="203"/>
        </w:trPr>
        <w:tc>
          <w:tcPr>
            <w:tcW w:w="65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2,782</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126,134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129,813</w:t>
            </w:r>
          </w:p>
        </w:tc>
        <w:tc>
          <w:tcPr>
            <w:tcW w:w="0" w:type="dxa"/>
            <w:vAlign w:val="bottom"/>
          </w:tcPr>
          <w:p>
            <w:pPr>
              <w:spacing w:after="0"/>
              <w:rPr>
                <w:sz w:val="1"/>
                <w:szCs w:val="1"/>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2,435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03"/>
        </w:trPr>
        <w:tc>
          <w:tcPr>
            <w:tcW w:w="65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129,589</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133,414</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2,751</w:t>
            </w:r>
          </w:p>
        </w:tc>
        <w:tc>
          <w:tcPr>
            <w:tcW w:w="14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5,757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8,180</w:t>
            </w:r>
          </w:p>
        </w:tc>
        <w:tc>
          <w:tcPr>
            <w:tcW w:w="0" w:type="dxa"/>
            <w:vAlign w:val="bottom"/>
          </w:tcPr>
          <w:p>
            <w:pPr>
              <w:spacing w:after="0"/>
              <w:rPr>
                <w:sz w:val="1"/>
                <w:szCs w:val="1"/>
                <w:color w:val="auto"/>
              </w:rPr>
            </w:pPr>
          </w:p>
        </w:tc>
      </w:tr>
      <w:tr>
        <w:trPr>
          <w:trHeight w:val="196"/>
        </w:trPr>
        <w:tc>
          <w:tcPr>
            <w:tcW w:w="6540" w:type="dxa"/>
            <w:vAlign w:val="bottom"/>
          </w:tcPr>
          <w:p>
            <w:pPr>
              <w:ind w:left="320"/>
              <w:spacing w:after="0" w:line="196" w:lineRule="exact"/>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8,508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10,762</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49,332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49,273</w:t>
            </w:r>
          </w:p>
        </w:tc>
        <w:tc>
          <w:tcPr>
            <w:tcW w:w="0" w:type="dxa"/>
            <w:vAlign w:val="bottom"/>
          </w:tcPr>
          <w:p>
            <w:pPr>
              <w:spacing w:after="0"/>
              <w:rPr>
                <w:sz w:val="1"/>
                <w:szCs w:val="1"/>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Operating lease liability, non-current portion</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802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36"/>
        </w:trPr>
        <w:tc>
          <w:tcPr>
            <w:tcW w:w="654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60,229</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62,359</w:t>
            </w:r>
          </w:p>
        </w:tc>
        <w:tc>
          <w:tcPr>
            <w:tcW w:w="0" w:type="dxa"/>
            <w:vAlign w:val="bottom"/>
          </w:tcPr>
          <w:p>
            <w:pPr>
              <w:spacing w:after="0"/>
              <w:rPr>
                <w:sz w:val="1"/>
                <w:szCs w:val="1"/>
                <w:color w:val="auto"/>
              </w:rPr>
            </w:pPr>
          </w:p>
        </w:tc>
      </w:tr>
      <w:tr>
        <w:trPr>
          <w:trHeight w:val="183"/>
        </w:trPr>
        <w:tc>
          <w:tcPr>
            <w:tcW w:w="65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Commitments and contingencies (Note 10)</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5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Common stock, $0.01 par value, 200,000,000 authorized as of March 31, 2025</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 December 31, 2024; 26,051,992 and 25,324,684 shares issued and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2025 and December 31, 2024, respectively</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620,416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608,354</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(551,112)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(537,346)</w:t>
            </w:r>
          </w:p>
        </w:tc>
        <w:tc>
          <w:tcPr>
            <w:tcW w:w="0" w:type="dxa"/>
            <w:vAlign w:val="bottom"/>
          </w:tcPr>
          <w:p>
            <w:pPr>
              <w:spacing w:after="0"/>
              <w:rPr>
                <w:sz w:val="1"/>
                <w:szCs w:val="1"/>
                <w:color w:val="auto"/>
              </w:rPr>
            </w:pPr>
          </w:p>
        </w:tc>
      </w:tr>
      <w:tr>
        <w:trPr>
          <w:trHeight w:val="203"/>
        </w:trPr>
        <w:tc>
          <w:tcPr>
            <w:tcW w:w="65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69,360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71,055</w:t>
            </w:r>
          </w:p>
        </w:tc>
        <w:tc>
          <w:tcPr>
            <w:tcW w:w="0" w:type="dxa"/>
            <w:vAlign w:val="bottom"/>
          </w:tcPr>
          <w:p>
            <w:pPr>
              <w:spacing w:after="0"/>
              <w:rPr>
                <w:sz w:val="1"/>
                <w:szCs w:val="1"/>
                <w:color w:val="auto"/>
              </w:rPr>
            </w:pPr>
          </w:p>
        </w:tc>
      </w:tr>
      <w:tr>
        <w:trPr>
          <w:trHeight w:val="196"/>
        </w:trPr>
        <w:tc>
          <w:tcPr>
            <w:tcW w:w="6540" w:type="dxa"/>
            <w:vAlign w:val="bottom"/>
          </w:tcPr>
          <w:p>
            <w:pPr>
              <w:ind w:left="3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129,589</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133,414</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4"/>
                <w:szCs w:val="14"/>
                <w:b w:val="1"/>
                <w:bCs w:val="1"/>
                <w:color w:val="auto"/>
              </w:rPr>
              <w:t>Three months ended</w:t>
            </w:r>
          </w:p>
        </w:tc>
      </w:tr>
      <w:tr>
        <w:trPr>
          <w:trHeight w:val="178"/>
        </w:trPr>
        <w:tc>
          <w:tcPr>
            <w:tcW w:w="6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4"/>
                <w:szCs w:val="14"/>
                <w:b w:val="1"/>
                <w:bCs w:val="1"/>
                <w:color w:val="auto"/>
              </w:rPr>
              <w:t>March 31,</w:t>
            </w:r>
          </w:p>
        </w:tc>
      </w:tr>
      <w:tr>
        <w:trPr>
          <w:trHeight w:val="196"/>
        </w:trPr>
        <w:tc>
          <w:tcPr>
            <w:tcW w:w="63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2"/>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12,348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10,770</w:t>
            </w:r>
          </w:p>
        </w:tc>
      </w:tr>
      <w:tr>
        <w:trPr>
          <w:trHeight w:val="203"/>
        </w:trPr>
        <w:tc>
          <w:tcPr>
            <w:tcW w:w="63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2,036</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1,615</w:t>
            </w:r>
          </w:p>
        </w:tc>
      </w:tr>
      <w:tr>
        <w:trPr>
          <w:trHeight w:val="196"/>
        </w:trPr>
        <w:tc>
          <w:tcPr>
            <w:tcW w:w="63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10,312</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9,155</w:t>
            </w:r>
          </w:p>
        </w:tc>
      </w:tr>
      <w:tr>
        <w:trPr>
          <w:trHeight w:val="196"/>
        </w:trPr>
        <w:tc>
          <w:tcPr>
            <w:tcW w:w="63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3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3,057</w:t>
            </w:r>
          </w:p>
        </w:tc>
      </w:tr>
      <w:tr>
        <w:trPr>
          <w:trHeight w:val="203"/>
        </w:trPr>
        <w:tc>
          <w:tcPr>
            <w:tcW w:w="63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21,232</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28,330</w:t>
            </w:r>
          </w:p>
        </w:tc>
      </w:tr>
      <w:tr>
        <w:trPr>
          <w:trHeight w:val="196"/>
        </w:trPr>
        <w:tc>
          <w:tcPr>
            <w:tcW w:w="63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23,749</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31,387</w:t>
            </w:r>
          </w:p>
        </w:tc>
      </w:tr>
      <w:tr>
        <w:trPr>
          <w:trHeight w:val="196"/>
        </w:trPr>
        <w:tc>
          <w:tcPr>
            <w:tcW w:w="6300" w:type="dxa"/>
            <w:vAlign w:val="bottom"/>
          </w:tcPr>
          <w:p>
            <w:pPr>
              <w:ind w:left="320"/>
              <w:spacing w:after="0" w:line="196" w:lineRule="exact"/>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(13,437)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(22,232)</w:t>
            </w: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(960)</w:t>
            </w:r>
          </w:p>
        </w:tc>
      </w:tr>
      <w:tr>
        <w:trPr>
          <w:trHeight w:val="203"/>
        </w:trPr>
        <w:tc>
          <w:tcPr>
            <w:tcW w:w="63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1,123</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1,044</w:t>
            </w:r>
          </w:p>
        </w:tc>
      </w:tr>
      <w:tr>
        <w:trPr>
          <w:trHeight w:val="196"/>
        </w:trPr>
        <w:tc>
          <w:tcPr>
            <w:tcW w:w="63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(13,771)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(22,148)</w:t>
            </w:r>
          </w:p>
        </w:tc>
      </w:tr>
      <w:tr>
        <w:trPr>
          <w:trHeight w:val="203"/>
        </w:trPr>
        <w:tc>
          <w:tcPr>
            <w:tcW w:w="63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Benefit (provision) for income taxes</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w:t>
            </w:r>
          </w:p>
        </w:tc>
      </w:tr>
      <w:tr>
        <w:trPr>
          <w:trHeight w:val="196"/>
        </w:trPr>
        <w:tc>
          <w:tcPr>
            <w:tcW w:w="63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(13,766)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(22,186)</w:t>
            </w:r>
          </w:p>
        </w:tc>
      </w:tr>
      <w:tr>
        <w:trPr>
          <w:trHeight w:val="203"/>
        </w:trPr>
        <w:tc>
          <w:tcPr>
            <w:tcW w:w="63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Cumulative translation adjustment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r>
      <w:tr>
        <w:trPr>
          <w:trHeight w:val="196"/>
        </w:trPr>
        <w:tc>
          <w:tcPr>
            <w:tcW w:w="63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Comprehensive loss</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(13,766)</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(22,189)</w:t>
            </w:r>
          </w:p>
        </w:tc>
      </w:tr>
      <w:tr>
        <w:trPr>
          <w:trHeight w:val="196"/>
        </w:trPr>
        <w:tc>
          <w:tcPr>
            <w:tcW w:w="630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(0.53)</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84"/>
        </w:trPr>
        <w:tc>
          <w:tcPr>
            <w:tcW w:w="63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Weighted-average common shares used to compute net loss per share, basic</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21"/>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and diluted</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25,876,062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21,232,009</w:t>
            </w: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3"/>
                <w:szCs w:val="13"/>
                <w:color w:val="auto"/>
              </w:rPr>
            </w:pPr>
          </w:p>
        </w:tc>
        <w:tc>
          <w:tcPr>
            <w:tcW w:w="68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640" w:type="dxa"/>
            <w:vAlign w:val="bottom"/>
            <w:gridSpan w:val="5"/>
            <w:vMerge w:val="restart"/>
          </w:tcPr>
          <w:p>
            <w:pPr>
              <w:ind w:left="280"/>
              <w:spacing w:after="0"/>
              <w:rPr>
                <w:sz w:val="20"/>
                <w:szCs w:val="20"/>
                <w:color w:val="auto"/>
              </w:rPr>
            </w:pPr>
            <w:r>
              <w:rPr>
                <w:rFonts w:ascii="Arial" w:cs="Arial" w:eastAsia="Arial" w:hAnsi="Arial"/>
                <w:sz w:val="13"/>
                <w:szCs w:val="13"/>
                <w:b w:val="1"/>
                <w:bCs w:val="1"/>
                <w:color w:val="auto"/>
              </w:rPr>
              <w:t>Common stock</w:t>
            </w:r>
          </w:p>
        </w:tc>
        <w:tc>
          <w:tcPr>
            <w:tcW w:w="780" w:type="dxa"/>
            <w:vAlign w:val="bottom"/>
            <w:gridSpan w:val="3"/>
            <w:vMerge w:val="continue"/>
          </w:tcPr>
          <w:p>
            <w:pPr>
              <w:spacing w:after="0"/>
              <w:rPr>
                <w:sz w:val="11"/>
                <w:szCs w:val="11"/>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8"/>
              </w:rPr>
              <w:t>other</w:t>
            </w: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60" w:type="dxa"/>
            <w:vAlign w:val="bottom"/>
          </w:tcPr>
          <w:p>
            <w:pPr>
              <w:spacing w:after="0"/>
              <w:rPr>
                <w:sz w:val="13"/>
                <w:szCs w:val="13"/>
                <w:color w:val="auto"/>
              </w:rPr>
            </w:pPr>
          </w:p>
        </w:tc>
        <w:tc>
          <w:tcPr>
            <w:tcW w:w="164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paid-in</w:t>
            </w:r>
          </w:p>
        </w:tc>
        <w:tc>
          <w:tcPr>
            <w:tcW w:w="960" w:type="dxa"/>
            <w:vAlign w:val="bottom"/>
            <w:gridSpan w:val="3"/>
            <w:vMerge w:val="continue"/>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comprehensive</w:t>
            </w: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w w:val="94"/>
              </w:rPr>
              <w:t>stockholders’</w:t>
            </w:r>
          </w:p>
        </w:tc>
        <w:tc>
          <w:tcPr>
            <w:tcW w:w="0" w:type="dxa"/>
            <w:vAlign w:val="bottom"/>
          </w:tcPr>
          <w:p>
            <w:pPr>
              <w:spacing w:after="0"/>
              <w:rPr>
                <w:sz w:val="1"/>
                <w:szCs w:val="1"/>
                <w:color w:val="auto"/>
              </w:rPr>
            </w:pPr>
          </w:p>
        </w:tc>
      </w:tr>
      <w:tr>
        <w:trPr>
          <w:trHeight w:val="129"/>
        </w:trPr>
        <w:tc>
          <w:tcPr>
            <w:tcW w:w="3560" w:type="dxa"/>
            <w:vAlign w:val="bottom"/>
          </w:tcPr>
          <w:p>
            <w:pPr>
              <w:spacing w:after="0"/>
              <w:rPr>
                <w:sz w:val="11"/>
                <w:szCs w:val="11"/>
                <w:color w:val="auto"/>
              </w:rPr>
            </w:pPr>
          </w:p>
        </w:tc>
        <w:tc>
          <w:tcPr>
            <w:tcW w:w="88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1"/>
                <w:szCs w:val="11"/>
                <w:color w:val="auto"/>
              </w:rPr>
            </w:pPr>
          </w:p>
        </w:tc>
        <w:tc>
          <w:tcPr>
            <w:tcW w:w="800" w:type="dxa"/>
            <w:vAlign w:val="bottom"/>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1"/>
                <w:szCs w:val="11"/>
                <w:color w:val="auto"/>
              </w:rPr>
            </w:pPr>
          </w:p>
        </w:tc>
        <w:tc>
          <w:tcPr>
            <w:tcW w:w="104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2"/>
              </w:rPr>
              <w:t>loss</w:t>
            </w:r>
          </w:p>
        </w:tc>
        <w:tc>
          <w:tcPr>
            <w:tcW w:w="160" w:type="dxa"/>
            <w:vAlign w:val="bottom"/>
          </w:tcPr>
          <w:p>
            <w:pPr>
              <w:spacing w:after="0"/>
              <w:rPr>
                <w:sz w:val="11"/>
                <w:szCs w:val="11"/>
                <w:color w:val="auto"/>
              </w:rPr>
            </w:pPr>
          </w:p>
        </w:tc>
        <w:tc>
          <w:tcPr>
            <w:tcW w:w="680" w:type="dxa"/>
            <w:vAlign w:val="bottom"/>
          </w:tcPr>
          <w:p>
            <w:pPr>
              <w:jc w:val="right"/>
              <w:ind w:right="177"/>
              <w:spacing w:after="0" w:line="12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28"/>
        </w:trPr>
        <w:tc>
          <w:tcPr>
            <w:tcW w:w="35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Balances as of December 31, 2024</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25,324,684</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253</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608,354</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(537,346)</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(206)</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71,055</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183,846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415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417</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2,455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2,455</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Issuance of common stock</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543,462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9,192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9,198</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 for the three months ended March 31, 2025</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(13,766)</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(13,766)</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Cumulative translation adjustment</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8"/>
        </w:trPr>
        <w:tc>
          <w:tcPr>
            <w:tcW w:w="356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Balances as of March 31, 2025</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26,051,992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261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620,416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(551,112)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(205)</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69,360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Balances as of December 31, 2023</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20,879,199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553,326</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(477,381)</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(207)</w:t>
            </w: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75,947</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86,610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814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815</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11,141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11,141</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Issuance of common stock</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23,364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547</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547</w:t>
            </w:r>
          </w:p>
        </w:tc>
        <w:tc>
          <w:tcPr>
            <w:tcW w:w="0" w:type="dxa"/>
            <w:vAlign w:val="bottom"/>
          </w:tcPr>
          <w:p>
            <w:pPr>
              <w:spacing w:after="0"/>
              <w:rPr>
                <w:sz w:val="1"/>
                <w:szCs w:val="1"/>
                <w:color w:val="auto"/>
              </w:rPr>
            </w:pPr>
          </w:p>
        </w:tc>
      </w:tr>
      <w:tr>
        <w:trPr>
          <w:trHeight w:val="117"/>
        </w:trPr>
        <w:tc>
          <w:tcPr>
            <w:tcW w:w="356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rPr>
              <w:t>Issuance of common stock upon net exercise of common</w:t>
            </w: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warrants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604,000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Net loss for the three months ended March 31, 2024</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(22,186)</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(22,186)</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Cumulative translation adjustment</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29"/>
        </w:trPr>
        <w:tc>
          <w:tcPr>
            <w:tcW w:w="356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Balances as of March 31, 2024</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21,593,173</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216</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565,822</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(499,567)</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(210)</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66,261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4"/>
          </w:tcPr>
          <w:p>
            <w:pPr>
              <w:jc w:val="right"/>
              <w:ind w:right="27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2"/>
              <w:spacing w:after="0" w:line="196" w:lineRule="exact"/>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(13,766)</w:t>
            </w:r>
          </w:p>
        </w:tc>
        <w:tc>
          <w:tcPr>
            <w:tcW w:w="420" w:type="dxa"/>
            <w:vAlign w:val="bottom"/>
            <w:gridSpan w:val="2"/>
          </w:tcPr>
          <w:p>
            <w:pPr>
              <w:jc w:val="right"/>
              <w:ind w:right="67"/>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(22,186)</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2,455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11,141</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Depreciation of property and equipment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deferred financing costs and loan discount</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r>
      <w:tr>
        <w:trPr>
          <w:trHeight w:val="202"/>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(944)</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Inventory</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w:t>
            </w: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345</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724</w:t>
            </w:r>
          </w:p>
        </w:tc>
      </w:tr>
      <w:tr>
        <w:trPr>
          <w:trHeight w:val="203"/>
        </w:trPr>
        <w:tc>
          <w:tcPr>
            <w:tcW w:w="62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Accrued expenses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(2,289)</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w:t>
            </w:r>
          </w:p>
        </w:tc>
      </w:tr>
      <w:tr>
        <w:trPr>
          <w:trHeight w:val="196"/>
        </w:trPr>
        <w:tc>
          <w:tcPr>
            <w:tcW w:w="62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used in operating activities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(12,767)</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(10,896)</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property and equipment</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(917)</w:t>
            </w:r>
          </w:p>
        </w:tc>
      </w:tr>
      <w:tr>
        <w:trPr>
          <w:trHeight w:val="196"/>
        </w:trPr>
        <w:tc>
          <w:tcPr>
            <w:tcW w:w="628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used in investing activities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(917)</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Proceeds from the exercise of common stock options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417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815</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the issuance of common stock</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9,198</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547</w:t>
            </w:r>
          </w:p>
        </w:tc>
      </w:tr>
      <w:tr>
        <w:trPr>
          <w:trHeight w:val="196"/>
        </w:trPr>
        <w:tc>
          <w:tcPr>
            <w:tcW w:w="628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9,615</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1,362</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Effect of currency exchange on cash and cash equivalents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Net change in cash and cash equivalents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(3,265)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(10,454)</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105,933</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90,569</w:t>
            </w:r>
          </w:p>
        </w:tc>
      </w:tr>
      <w:tr>
        <w:trPr>
          <w:trHeight w:val="196"/>
        </w:trPr>
        <w:tc>
          <w:tcPr>
            <w:tcW w:w="62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Cash and cash equivalents at end of period</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102,668</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80,115</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Information:</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Cash paid for interest</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1,258</w:t>
            </w:r>
          </w:p>
        </w:tc>
        <w:tc>
          <w:tcPr>
            <w:tcW w:w="420" w:type="dxa"/>
            <w:vAlign w:val="bottom"/>
            <w:gridSpan w:val="2"/>
          </w:tcPr>
          <w:p>
            <w:pPr>
              <w:jc w:val="right"/>
              <w:ind w:right="67"/>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770</w:t>
            </w:r>
          </w:p>
        </w:tc>
      </w:tr>
      <w:tr>
        <w:trPr>
          <w:trHeight w:val="216"/>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paid for income taxes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 Business organization</w:t>
      </w:r>
    </w:p>
    <w:p>
      <w:pPr>
        <w:spacing w:after="0" w:line="216"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CVRx, Inc. (the “Company”) was incorporated in Delaware and is headquartered in Minneapolis, Minnesota. The Company has developed and is marketing a medical device, Barostim, for heart failure (“HF”) and resistant hypertension. The Company is focused on the sale of its product in the U.S. and Europe.</w:t>
      </w:r>
    </w:p>
    <w:p>
      <w:pPr>
        <w:spacing w:after="0" w:line="169"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color w:val="auto"/>
        </w:rPr>
        <w:t>Management expects that operating losses and negative cash flows from operations could continue in the foreseeable future. There is no assurance that the Company will generate sufficient product sales to produce positive earnings or cash flows.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Statement presentation and basis of consolidation</w:t>
      </w:r>
    </w:p>
    <w:p>
      <w:pPr>
        <w:spacing w:after="0" w:line="21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with the rules and regulations of the U.S. Securities and Exchange Commission (“SEC”) applicable to interim financial statements. In the Company’s opinion, the accompanying unaudited condensed consolidated financial statements reflect all adjustments necessary for a fair presentation of the Company’s statements of financial position, results of operations, and cash flows for the periods presented. The results of operations for the interim periods are not necessarily indicative of results that may be expected for the fiscal year as a whole or any other future period.</w:t>
      </w:r>
    </w:p>
    <w:p>
      <w:pPr>
        <w:spacing w:after="0" w:line="180" w:lineRule="exact"/>
        <w:rPr>
          <w:sz w:val="20"/>
          <w:szCs w:val="20"/>
          <w:color w:val="auto"/>
        </w:rPr>
      </w:pPr>
    </w:p>
    <w:p>
      <w:pPr>
        <w:ind w:left="60" w:right="519"/>
        <w:spacing w:after="0" w:line="253" w:lineRule="auto"/>
        <w:rPr>
          <w:sz w:val="20"/>
          <w:szCs w:val="20"/>
          <w:color w:val="auto"/>
        </w:rPr>
      </w:pPr>
      <w:r>
        <w:rPr>
          <w:rFonts w:ascii="Arial" w:cs="Arial" w:eastAsia="Arial" w:hAnsi="Arial"/>
          <w:sz w:val="18"/>
          <w:szCs w:val="18"/>
          <w:color w:val="auto"/>
        </w:rPr>
        <w:t>The condensed consolidated financial statements include the accounts of CVRx, Inc. and its wholly owned subsidiary, CVRx Switzerland LLC. All intercompany balances and transactions have been eliminated in consolidation.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12"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We are an emerging growth company under the Jumpstart Our Business Startups Act of 2012 (the “JOBS Act”). As a result, we have elected to take advantage of certain exemptions from various reporting requirements that are applicable to other public companies that are not emerging growth companies.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Preparation of the condensed consolidated financial statements in conformity with U.S. GAAP requires management to make estimates and assumptions that affect the amounts reported in the condensed consolidated financial statements and the accompanying notes. Actual results could differ from those estimates.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12"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Cash and cash equivalents include highly liquid investments with an original maturity of three months or less. As of March 31, 2025 and December 31, 2024, cash equivalents consisted of money market funds, which are stated at cost and approximate fair value. Additionally, as of March 31, 2025 and December 31, 2024, a majority of our cash and cash equivalents were maintained with two financial institutions in the U.S., and our current deposits are likely in excess of insured limits.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21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Trade accounts receivable are recorded at the invoiced amount and do not bear interest. Customer credit terms are established prior to shipment with the standard generally being net 30 days. We evaluate the collectability of our accounts receivable based on known collection risks and historical experience. In circumstances where we are aware of a specific customer's inability to meet its financial obligations to us, we record a specific allowance for bad debts against amounts due to reduce the carrying amount of accounts receivable to the amount we reasonably believe will be collected.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w:t>
      </w:r>
    </w:p>
    <w:p>
      <w:pPr>
        <w:spacing w:after="0" w:line="212" w:lineRule="exact"/>
        <w:rPr>
          <w:sz w:val="20"/>
          <w:szCs w:val="20"/>
          <w:color w:val="auto"/>
        </w:rPr>
      </w:pPr>
    </w:p>
    <w:p>
      <w:pPr>
        <w:jc w:val="both"/>
        <w:ind w:left="60" w:right="219"/>
        <w:spacing w:after="0" w:line="253" w:lineRule="auto"/>
        <w:rPr>
          <w:sz w:val="20"/>
          <w:szCs w:val="20"/>
          <w:color w:val="auto"/>
        </w:rPr>
      </w:pPr>
      <w:r>
        <w:rPr>
          <w:rFonts w:ascii="Arial" w:cs="Arial" w:eastAsia="Arial" w:hAnsi="Arial"/>
          <w:sz w:val="18"/>
          <w:szCs w:val="18"/>
          <w:color w:val="auto"/>
        </w:rPr>
        <w:t>Inventory is stated at the lower of cost or net realizable value, with cost determined on a first-in, first-out basis. We regularly review inventory quantities in consideration of actual loss experiences, projected future demand and remaining shelf life to record a provision for excess and obsolete inventory when appropriate.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12"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Operating leases are included in operating lease right-of-use (“ROU”) asset, accrued expenses, and operating lease liability – non-current portion in our balance sheets.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We used the incremental borrowing rate based on information readily available at the time of recognition to determine the present value of the lease payments. The determination of our incremental borrowing rate requires management judgement based on information available at lease commencement.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12"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color w:val="auto"/>
        </w:rPr>
        <w:t>We sell our products primarily through a direct sales force and to a lesser extent through a combination of sales agents and independent distributors. Our revenue consists primarily of the sale of our Barostim, which consists of two implantable components: a pulse generator and a stimulation lead.</w:t>
      </w:r>
    </w:p>
    <w:p>
      <w:pPr>
        <w:spacing w:after="0" w:line="16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Under Accounting Standards Codification (“ASC”) Topic 606, Revenue from Contracts with Customers (“ASC 606”), revenue is recognized when a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we will collect the consideration we are entitled to in exchange for the goods or services it transfers to the customer. We recognize net revenue on product sales, adjusted for any applicable estimates of variable consideration, when the customer obtains control of our product, which generally occurs at a point in time upon delivery based on the contractual shipping terms of a contract. Our contracts have a single performance obligation, and our payment terms with customers are generally between 30 and 90 days. Variable consideration related to certain customer rebates is estimated based on the amounts expected to be paid under the agreement with the customer.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 xml:space="preserve">We recognize equity-based compensation expense for awards of equity instruments to employees and non-employees based on the grant date fair value of those awards in accordance with Financial Accounting Standards Board (“FASB”) Accounting Standards Codification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ASC 718 requires all equity-based compensation awards to employees and non-employee directors, including grants of restricted shares and stock options, to be recognized as expense in the statements of operations and comprehensive loss based on their grant date fair values. We estimate the grant date fair value of stock options using the Black-Scholes option pricing model, and the fair value of restricted stock units (“RSUs”) is equal to the closing price of our common stock on the grant date. We account for forfeitures as they occur. We expense the fair value of our equity-based compensation awards granted to employees on a straight-line basis over the associated service period, which is generally the period in which the related services are received.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xml:space="preserve"> (“ASU 2023-09”), which requires public business entities to disclose specific categories in the rate reconciliation and provide additional information for reconciling items that meet a quantitative threshold. ASU 2023-09 is effective for annual periods beginning after December 15, 2024. This ASU will be effective for our annual period ending December 31, 2025. We are evaluating the impact of this new guidance on our income tax disclosures.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3. Selected balance sheet information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Inventory consists of the following at: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55"/>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5"/>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13"/>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7,052</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6,857</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4,226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4,897</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11,672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12,107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ind w:left="20"/>
              <w:spacing w:after="0"/>
              <w:rPr>
                <w:sz w:val="20"/>
                <w:szCs w:val="20"/>
                <w:color w:val="auto"/>
              </w:rPr>
            </w:pPr>
            <w:r>
              <w:rPr>
                <w:rFonts w:ascii="Arial" w:cs="Arial" w:eastAsia="Arial" w:hAnsi="Arial"/>
                <w:sz w:val="18"/>
                <w:szCs w:val="18"/>
                <w:color w:val="auto"/>
              </w:rPr>
              <w:t>Property and equipment, net consists of the following at:</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6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center"/>
              <w:ind w:right="75"/>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4"/>
                <w:szCs w:val="24"/>
                <w:color w:val="auto"/>
              </w:rPr>
            </w:pPr>
          </w:p>
        </w:tc>
        <w:tc>
          <w:tcPr>
            <w:tcW w:w="10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5"/>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13"/>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2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Office furniture and equipment</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512</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47"/>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Lab equipment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3,620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3,144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542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 equipment in process</w:t>
            </w:r>
          </w:p>
        </w:tc>
        <w:tc>
          <w:tcPr>
            <w:tcW w:w="1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277</w:t>
            </w:r>
          </w:p>
        </w:tc>
        <w:tc>
          <w:tcPr>
            <w:tcW w:w="1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6,026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5,912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3,591</w:t>
            </w:r>
          </w:p>
        </w:tc>
        <w:tc>
          <w:tcPr>
            <w:tcW w:w="1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2,435</w:t>
            </w:r>
          </w:p>
        </w:tc>
        <w:tc>
          <w:tcPr>
            <w:tcW w:w="18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47"/>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Depreciation is determined using the straight-line method over the estimated useful lives of the respective assets, generally three to five years. Leasehold improvements are amortized on a straight-line basis over the shorter of their estimated useful lives or the term of the lease. Depreciation expense was $184,000 and $131,000 for the three months ended March 31, 2025 and 2024, respectively.</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expenses consist of the following at: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820" w:type="dxa"/>
            <w:vAlign w:val="bottom"/>
          </w:tcPr>
          <w:p>
            <w:pPr>
              <w:jc w:val="right"/>
              <w:ind w:right="213"/>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2024</w:t>
            </w:r>
          </w:p>
        </w:tc>
      </w:tr>
      <w:tr>
        <w:trPr>
          <w:trHeight w:val="196"/>
        </w:trPr>
        <w:tc>
          <w:tcPr>
            <w:tcW w:w="66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Bonuses</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2,395</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3,621</w:t>
            </w:r>
          </w:p>
        </w:tc>
      </w:tr>
      <w:tr>
        <w:trPr>
          <w:trHeight w:val="203"/>
        </w:trPr>
        <w:tc>
          <w:tcPr>
            <w:tcW w:w="6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Paid time off</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742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947</w:t>
            </w:r>
          </w:p>
        </w:tc>
      </w:tr>
      <w:tr>
        <w:trPr>
          <w:trHeight w:val="203"/>
        </w:trPr>
        <w:tc>
          <w:tcPr>
            <w:tcW w:w="6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w:t>
            </w:r>
          </w:p>
        </w:tc>
      </w:tr>
      <w:tr>
        <w:trPr>
          <w:trHeight w:val="203"/>
        </w:trPr>
        <w:tc>
          <w:tcPr>
            <w:tcW w:w="6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401(k) match</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338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1,106</w:t>
            </w:r>
          </w:p>
        </w:tc>
      </w:tr>
      <w:tr>
        <w:trPr>
          <w:trHeight w:val="203"/>
        </w:trPr>
        <w:tc>
          <w:tcPr>
            <w:tcW w:w="6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r>
      <w:tr>
        <w:trPr>
          <w:trHeight w:val="203"/>
        </w:trPr>
        <w:tc>
          <w:tcPr>
            <w:tcW w:w="6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282</w:t>
            </w:r>
          </w:p>
        </w:tc>
      </w:tr>
      <w:tr>
        <w:trPr>
          <w:trHeight w:val="203"/>
        </w:trPr>
        <w:tc>
          <w:tcPr>
            <w:tcW w:w="6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Customer rebates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592</w:t>
            </w:r>
          </w:p>
        </w:tc>
      </w:tr>
      <w:tr>
        <w:trPr>
          <w:trHeight w:val="203"/>
        </w:trPr>
        <w:tc>
          <w:tcPr>
            <w:tcW w:w="6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Clinical trial and other professional fees</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182</w:t>
            </w:r>
          </w:p>
        </w:tc>
      </w:tr>
      <w:tr>
        <w:trPr>
          <w:trHeight w:val="203"/>
        </w:trPr>
        <w:tc>
          <w:tcPr>
            <w:tcW w:w="6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Taxes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r>
      <w:tr>
        <w:trPr>
          <w:trHeight w:val="203"/>
        </w:trPr>
        <w:tc>
          <w:tcPr>
            <w:tcW w:w="682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799</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757</w:t>
            </w:r>
          </w:p>
        </w:tc>
      </w:tr>
      <w:tr>
        <w:trPr>
          <w:trHeight w:val="196"/>
        </w:trPr>
        <w:tc>
          <w:tcPr>
            <w:tcW w:w="66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5,757</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8,180</w:t>
            </w: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4. Debt</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Innovatus Loan Agreement</w:t>
      </w:r>
    </w:p>
    <w:p>
      <w:pPr>
        <w:spacing w:after="0" w:line="21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On October 31, 2022, we entered into a Loan and Security Agreement (the “Loan Agreement”) with Innovatus Life Sciences Fund I, LP, as the collateral agent and a lender, allowing us to borrow, subject to our achievement of certain milestones, up to a total of $50.0 million in a series of term loans (collectively, the “Term Loans”). We had $50.0 million in outstanding Term Loans under the Loan Agreement as of March 31, 2025. The Loan Agreement initially requires interest only payments through November 2027, followed by three monthly principal and interest payments, of which a principal payment of $16.7 million is due in December 2027 and two principal payments of $16.7 million each are due in January 2028. A final payment of $2.3 million, equal to 4.5% of the original borrowed principal, is due in January 2028. The Term Loans bear interest at a floating rate per annum equal to the sum of (a) the greater of (i) the prime rate and (ii) 5.50% plus (b) 2.65%. The Term Loans are secured by substantially all of our personal property. A performance covenant took effect upon the third tranche funding, requiring that we achieve 50% of the trailing twelve months revenue target set in the Board-approved revenue plan in effect for such period. The Loan Agreement requires the payment of certain penalties if the Term Loans are paid off prior to maturity for any reason, including pursuant to an acceleration clause, and includes various restrictive covenants, including a restriction on the payment of dividends or making other distributions or payments on our capital stock, subject to limited exceptions. We were in compliance with these covenants as of March 31, 2025.</w:t>
      </w:r>
    </w:p>
    <w:p>
      <w:pPr>
        <w:spacing w:after="0" w:line="172"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In connection with the Loan Agreement, we recorded $1.1 million of debt issuance costs and discounts as a reduction of long-term debt.</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annual principal maturities of debt under the Loan Agreement are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5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2025</w:t>
            </w:r>
          </w:p>
        </w:tc>
        <w:tc>
          <w:tcPr>
            <w:tcW w:w="3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3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2028</w:t>
            </w:r>
          </w:p>
        </w:tc>
        <w:tc>
          <w:tcPr>
            <w:tcW w:w="35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33,333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Less: Unamortized debt costs and discounts</w:t>
            </w:r>
          </w:p>
        </w:tc>
        <w:tc>
          <w:tcPr>
            <w:tcW w:w="35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Long-term debt</w:t>
            </w:r>
          </w:p>
        </w:tc>
        <w:tc>
          <w:tcPr>
            <w:tcW w:w="35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49,332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520" w:type="dxa"/>
            <w:vAlign w:val="bottom"/>
            <w:vMerge w:val="restart"/>
          </w:tcPr>
          <w:p>
            <w:pPr>
              <w:jc w:val="right"/>
              <w:ind w:right="283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396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9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5. Leases</w:t>
      </w:r>
    </w:p>
    <w:p>
      <w:pPr>
        <w:spacing w:after="0" w:line="21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lease 31,505 square feet of office space in Minneapolis, Minnesota, which houses our principal executive offices and our manufacturing facility. We lease this space under an operating lease agreement that commenced December 1, 2008. On April 21, 2023, we extended the operating lease for our office space in Minneapolis, Minnesota for an additional 49 consecutive months through August 31, 2028. On November 7, 2023, we expanded our existing office space with the addition of 7,615 square feet of property adjacent to our principal executive offices and our manufacturing facility. The term on this expanded property is for 57 consecutive months that will run concurrently with the term on the existing lease. We intend to add new facilities as we grow, and we believe that suitable additional or substitute space will be available as needed to accommodate any such expansion of our operations. Our operating lease agreement includes an option to renew for one additional period of three years. The exercise of the lease renewal option is at our sole discretion and was not included in the lease term for the calculation of the ROU asset and lease liability, as it is not reasonably certain of exercise.</w:t>
      </w:r>
    </w:p>
    <w:p>
      <w:pPr>
        <w:spacing w:after="0" w:line="183"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In addition to base rent, we also pay our proportionate share of operating expenses, as defined in the lease. These payments are made monthly and are adjusted annually to reflect actual charges incurred for operating expenses, such as common area maintenance, taxes, and insurance.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lease balances within the condensed consolidated balance sheets: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5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91"/>
        </w:trPr>
        <w:tc>
          <w:tcPr>
            <w:tcW w:w="68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33"/>
              <w:spacing w:after="0"/>
              <w:rPr>
                <w:sz w:val="20"/>
                <w:szCs w:val="20"/>
                <w:color w:val="auto"/>
              </w:rPr>
            </w:pPr>
            <w:r>
              <w:rPr>
                <w:rFonts w:ascii="Arial" w:cs="Arial" w:eastAsia="Arial" w:hAnsi="Arial"/>
                <w:sz w:val="14"/>
                <w:szCs w:val="14"/>
                <w:b w:val="1"/>
                <w:bCs w:val="1"/>
                <w:color w:val="auto"/>
              </w:rPr>
              <w:t>2024</w:t>
            </w:r>
          </w:p>
        </w:tc>
      </w:tr>
      <w:tr>
        <w:trPr>
          <w:trHeight w:val="210"/>
        </w:trPr>
        <w:tc>
          <w:tcPr>
            <w:tcW w:w="6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6"/>
        </w:trPr>
        <w:tc>
          <w:tcPr>
            <w:tcW w:w="6840" w:type="dxa"/>
            <w:vAlign w:val="bottom"/>
            <w:gridSpan w:val="2"/>
          </w:tcPr>
          <w:p>
            <w:pPr>
              <w:ind w:left="120"/>
              <w:spacing w:after="0"/>
              <w:rPr>
                <w:sz w:val="20"/>
                <w:szCs w:val="20"/>
                <w:color w:val="auto"/>
              </w:rPr>
            </w:pPr>
            <w:r>
              <w:rPr>
                <w:rFonts w:ascii="Arial" w:cs="Arial" w:eastAsia="Arial" w:hAnsi="Arial"/>
                <w:sz w:val="18"/>
                <w:szCs w:val="18"/>
                <w:color w:val="auto"/>
              </w:rPr>
              <w:t>Operating lease right-of-use asset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994</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16"/>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liabilities: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840" w:type="dxa"/>
            <w:vAlign w:val="bottom"/>
            <w:gridSpan w:val="2"/>
          </w:tcPr>
          <w:p>
            <w:pPr>
              <w:ind w:left="1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16"/>
        </w:trPr>
        <w:tc>
          <w:tcPr>
            <w:tcW w:w="6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 liability, non-current portion</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196"/>
        </w:trPr>
        <w:tc>
          <w:tcPr>
            <w:tcW w:w="684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 operating lease liabilities</w:t>
            </w: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1,092</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1,159</w:t>
            </w:r>
          </w:p>
        </w:tc>
      </w:tr>
      <w:tr>
        <w:trPr>
          <w:trHeight w:val="20"/>
        </w:trPr>
        <w:tc>
          <w:tcPr>
            <w:tcW w:w="6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03"/>
        </w:trPr>
        <w:tc>
          <w:tcPr>
            <w:tcW w:w="7760" w:type="dxa"/>
            <w:vAlign w:val="bottom"/>
            <w:gridSpan w:val="6"/>
          </w:tcPr>
          <w:p>
            <w:pPr>
              <w:ind w:left="20"/>
              <w:spacing w:after="0"/>
              <w:rPr>
                <w:sz w:val="20"/>
                <w:szCs w:val="20"/>
                <w:color w:val="auto"/>
              </w:rPr>
            </w:pPr>
            <w:r>
              <w:rPr>
                <w:rFonts w:ascii="Arial" w:cs="Arial" w:eastAsia="Arial" w:hAnsi="Arial"/>
                <w:sz w:val="18"/>
                <w:szCs w:val="18"/>
                <w:color w:val="auto"/>
              </w:rPr>
              <w:t>Maturities of our lease liability for our operating lease are as follows as of March 31, 2025: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51"/>
        </w:trPr>
        <w:tc>
          <w:tcPr>
            <w:tcW w:w="6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2025</w:t>
            </w:r>
          </w:p>
        </w:tc>
      </w:tr>
      <w:tr>
        <w:trPr>
          <w:trHeight w:val="196"/>
        </w:trPr>
        <w:tc>
          <w:tcPr>
            <w:tcW w:w="6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264</w:t>
            </w:r>
          </w:p>
        </w:tc>
      </w:tr>
      <w:tr>
        <w:trPr>
          <w:trHeight w:val="203"/>
        </w:trPr>
        <w:tc>
          <w:tcPr>
            <w:tcW w:w="666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362</w:t>
            </w:r>
          </w:p>
        </w:tc>
      </w:tr>
      <w:tr>
        <w:trPr>
          <w:trHeight w:val="203"/>
        </w:trPr>
        <w:tc>
          <w:tcPr>
            <w:tcW w:w="6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374</w:t>
            </w:r>
          </w:p>
        </w:tc>
      </w:tr>
      <w:tr>
        <w:trPr>
          <w:trHeight w:val="203"/>
        </w:trPr>
        <w:tc>
          <w:tcPr>
            <w:tcW w:w="66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2028</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223</w:t>
            </w:r>
          </w:p>
        </w:tc>
      </w:tr>
      <w:tr>
        <w:trPr>
          <w:trHeight w:val="196"/>
        </w:trPr>
        <w:tc>
          <w:tcPr>
            <w:tcW w:w="68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undiscounted lease payments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1,223</w:t>
            </w:r>
          </w:p>
        </w:tc>
      </w:tr>
      <w:tr>
        <w:trPr>
          <w:trHeight w:val="203"/>
        </w:trPr>
        <w:tc>
          <w:tcPr>
            <w:tcW w:w="684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w:t>
            </w:r>
          </w:p>
        </w:tc>
      </w:tr>
      <w:tr>
        <w:trPr>
          <w:trHeight w:val="196"/>
        </w:trPr>
        <w:tc>
          <w:tcPr>
            <w:tcW w:w="68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Present value of lease liability</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1,092</w:t>
            </w:r>
          </w:p>
        </w:tc>
      </w:tr>
      <w:tr>
        <w:trPr>
          <w:trHeight w:val="20"/>
        </w:trPr>
        <w:tc>
          <w:tcPr>
            <w:tcW w:w="6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As of March 31, 2025, the remaining lease term was 3.4 years, and the weighted average discount rate was 6.7%. The operating cash outflows from our operating lease were $0.1 million for each of the three months ended March 31, 2025 and 2024.</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6. Stockholders’ equity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Warrants</w:t>
      </w:r>
    </w:p>
    <w:p>
      <w:pPr>
        <w:spacing w:after="0" w:line="212"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We had common stock warrants exercisable for 103,349 shares of common stock upon conversion at a weighted average exercise price of $ 12.92 per share and 716,131 shares of common stock upon conversion at a weighted average exercise price of $2.39 per share outstanding at March 31, 2025 and December 31, 2024, respectively. Johnson &amp; Johnson Innovation – JJDC, Inc. had common stock warrants exercisable for</w:t>
      </w:r>
    </w:p>
    <w:p>
      <w:pPr>
        <w:sectPr>
          <w:pgSz w:w="11900" w:h="16838" w:orient="portrait"/>
          <w:cols w:equalWidth="0" w:num="1">
            <w:col w:w="9019"/>
          </w:cols>
          <w:pgMar w:left="1440" w:top="513" w:right="1440" w:bottom="144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607,725 shares of our common stock with an exercise price of $0.16 per share that were all exercised through a net exercise transaction for 604,000 shares of common stock during the three months ended March 31, 2024.</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At-the-Market (“ATM”) Offering</w:t>
      </w:r>
    </w:p>
    <w:p>
      <w:pPr>
        <w:spacing w:after="0" w:line="212"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In January 2024, we commenced an ATM offering, which allows us to issue and sell shares of our common stock having an aggregate offering price of up to $50.0 million. We issued 543,462 shares of common stock for gross proceeds of $9.5 million under the ATM offering during the three months ended March 31, 2025. We have remaining capacity to issue and sell up to approximately $6.7 million of additional shares of common stock under this ATM offering.</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7. Stock-based compensation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plans and activity</w:t>
      </w:r>
    </w:p>
    <w:p>
      <w:pPr>
        <w:spacing w:after="0" w:line="212"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In June 2001, our Board of Directors and stockholders established the 2001 Stock Incentive Award Plan (“2001 Plan”). Under the 2001 Plan, as amended, 2,674,749 shares of common stock had been reserved for the issuance of incentive stock options granted to employees, non-employee directors, consultants, or independent contractors. Options granted under the 2001 Plan have vesting terms that range from the date of grant to four years and expire within a maximum term of 10 years from the grant date.</w:t>
      </w:r>
    </w:p>
    <w:p>
      <w:pPr>
        <w:spacing w:after="0" w:line="17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In 2021, our Board of Directors and stockholders established the 2021 Equity Incentive Plan (“2021 Plan”). The number of shares of common stock initially reserved for issuance under the 2021 Plan was 1,854,490 newly reserved shares in addition to the 600,737 shares that remained available for issuance under the 2001 Plan. The shares available for issuance under the 2021 Plan automatically increase on the first day of each year, commencing January 1, 2022, and ending on (and including) January 1, 2031, in an amount equal to 5% of the total number of shares of our common stock outstanding on the last day of the calendar month before the date of each automatic increase, or such lesser number of shares as determined by the Board of Directors. The annual increase resulted in an additional 1,266,234 shares being reserved for issuance under the 2021 Plan as of January 1, 2025. The 2021 Plan provides for the issuance of stock options, stock appreciation rights, restricted stock awards, stock unit awards and other stock-based awards and cash incentive awards to employees, consultants and non-employee directors of the Company and its subsidiaries. Awards granted under the 2021 Plan will have such vesting schedules and other terms as determined by the Compensation Committee and stock options and stock appreciation rights have a maximum term of 10 years from the grant date. No further awards can be made under the 2001 Plan following the adoption of the 2021 Plan. As of March 31, 2025, there were 1,454,590 shares available for future issuance under the 2021 Plan.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ind w:left="60" w:right="659"/>
        <w:spacing w:after="0" w:line="271" w:lineRule="auto"/>
        <w:rPr>
          <w:sz w:val="20"/>
          <w:szCs w:val="20"/>
          <w:color w:val="auto"/>
        </w:rPr>
      </w:pPr>
      <w:r>
        <w:rPr>
          <w:rFonts w:ascii="Arial" w:cs="Arial" w:eastAsia="Arial" w:hAnsi="Arial"/>
          <w:sz w:val="18"/>
          <w:szCs w:val="18"/>
          <w:color w:val="auto"/>
        </w:rPr>
        <w:t>Options are granted at exercise prices not less than the fair market value (as determined by the Board of Directors) of our common stock on the date of grant.</w:t>
      </w:r>
    </w:p>
    <w:p>
      <w:pPr>
        <w:spacing w:after="0" w:line="154"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During the years 2008 through the initial public offering (the “IPO”), the Board of Directors authorized the grant of stock options for the purchase of shares of common stock to the employers of certain non-employee directors. The options were not granted under the 2001 Plan or the 2021 Plan, but terms are substantially the same as our standard form of option agreement for non-employee directors as they have an exercise price not less than the fair market value on the grant date and vest over 48 months from the date of grant.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stock option activity:</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Average</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w:t>
            </w:r>
          </w:p>
        </w:tc>
        <w:tc>
          <w:tcPr>
            <w:tcW w:w="12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8"/>
                <w:szCs w:val="18"/>
                <w:color w:val="auto"/>
              </w:rPr>
            </w:pPr>
          </w:p>
        </w:tc>
        <w:tc>
          <w:tcPr>
            <w:tcW w:w="820" w:type="dxa"/>
            <w:vAlign w:val="bottom"/>
          </w:tcPr>
          <w:p>
            <w:pPr>
              <w:jc w:val="center"/>
              <w:ind w:right="184"/>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1"/>
        </w:trPr>
        <w:tc>
          <w:tcPr>
            <w:tcW w:w="520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6"/>
                <w:szCs w:val="16"/>
                <w:color w:val="auto"/>
              </w:rPr>
            </w:pPr>
          </w:p>
        </w:tc>
        <w:tc>
          <w:tcPr>
            <w:tcW w:w="820" w:type="dxa"/>
            <w:vAlign w:val="bottom"/>
          </w:tcPr>
          <w:p>
            <w:pPr>
              <w:jc w:val="center"/>
              <w:ind w:right="144"/>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(in</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thousands)</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2024</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5,550,419</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18,771</w:t>
            </w:r>
          </w:p>
        </w:tc>
        <w:tc>
          <w:tcPr>
            <w:tcW w:w="0" w:type="dxa"/>
            <w:vAlign w:val="bottom"/>
          </w:tcPr>
          <w:p>
            <w:pPr>
              <w:spacing w:after="0"/>
              <w:rPr>
                <w:sz w:val="1"/>
                <w:szCs w:val="1"/>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6"/>
                <w:szCs w:val="16"/>
                <w:color w:val="auto"/>
              </w:rPr>
              <w:t>Granted</w:t>
            </w:r>
          </w:p>
        </w:tc>
        <w:tc>
          <w:tcPr>
            <w:tcW w:w="1120" w:type="dxa"/>
            <w:vAlign w:val="bottom"/>
          </w:tcPr>
          <w:p>
            <w:pPr>
              <w:jc w:val="right"/>
              <w:spacing w:after="0"/>
              <w:rPr>
                <w:sz w:val="20"/>
                <w:szCs w:val="20"/>
                <w:color w:val="auto"/>
              </w:rPr>
            </w:pPr>
            <w:r>
              <w:rPr>
                <w:rFonts w:ascii="Arial" w:cs="Arial" w:eastAsia="Arial" w:hAnsi="Arial"/>
                <w:sz w:val="16"/>
                <w:szCs w:val="16"/>
                <w:color w:val="auto"/>
              </w:rPr>
              <w:t>756,648</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13.22</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Cancelled / Forfeited</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(136,214)</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(183,846)</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2.27</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Balance as of March 31, 2025</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5,987,007</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12.24</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CCEEFF"/>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15,277</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0"/>
              <w:spacing w:after="0"/>
              <w:rPr>
                <w:sz w:val="20"/>
                <w:szCs w:val="20"/>
                <w:color w:val="auto"/>
              </w:rPr>
            </w:pPr>
            <w:r>
              <w:rPr>
                <w:rFonts w:ascii="Arial" w:cs="Arial" w:eastAsia="Arial" w:hAnsi="Arial"/>
                <w:sz w:val="16"/>
                <w:szCs w:val="16"/>
                <w:color w:val="auto"/>
              </w:rPr>
              <w:t>Options exercisable as of March 31, 2025</w:t>
            </w: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10.94</w:t>
            </w:r>
          </w:p>
        </w:tc>
        <w:tc>
          <w:tcPr>
            <w:tcW w:w="2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00" w:type="dxa"/>
            <w:vAlign w:val="bottom"/>
            <w:vMerge w:val="continue"/>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3,028,204</w:t>
            </w:r>
          </w:p>
        </w:tc>
        <w:tc>
          <w:tcPr>
            <w:tcW w:w="2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10,926</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0" w:right="119"/>
        <w:spacing w:after="0" w:line="259" w:lineRule="auto"/>
        <w:rPr>
          <w:sz w:val="20"/>
          <w:szCs w:val="20"/>
          <w:color w:val="auto"/>
        </w:rPr>
      </w:pPr>
      <w:r>
        <w:rPr>
          <w:rFonts w:ascii="Arial" w:cs="Arial" w:eastAsia="Arial" w:hAnsi="Arial"/>
          <w:sz w:val="17"/>
          <w:szCs w:val="17"/>
          <w:color w:val="auto"/>
        </w:rPr>
        <w:t>As of March 31, 2025, stock options outstanding included 4,402 options that were not granted under the 2001 Plan or the 2021 Plan. For options outstanding as of March 31, 2025, the weighted average remaining contractual life was 7.2 years. For options exercisable as of March 31, 2025, the weighted average remaining contractual life was 5.7 years. As of March 31, 2025, unrecognized compensation expense related to unvested stock-based compensation arrangements for stock options was $25.9 million. As of March 31, 2025, the related weighted average period over which the expense is expected to be recognized is approximately 2.8 years.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Stock Units</w:t>
      </w:r>
    </w:p>
    <w:p>
      <w:pPr>
        <w:spacing w:after="0" w:line="185" w:lineRule="exact"/>
        <w:rPr>
          <w:sz w:val="20"/>
          <w:szCs w:val="20"/>
          <w:color w:val="auto"/>
        </w:rPr>
      </w:pPr>
    </w:p>
    <w:p>
      <w:pPr>
        <w:ind w:left="60" w:right="539"/>
        <w:spacing w:after="0" w:line="253" w:lineRule="auto"/>
        <w:rPr>
          <w:sz w:val="20"/>
          <w:szCs w:val="20"/>
          <w:color w:val="auto"/>
        </w:rPr>
      </w:pPr>
      <w:r>
        <w:rPr>
          <w:rFonts w:ascii="Arial" w:cs="Arial" w:eastAsia="Arial" w:hAnsi="Arial"/>
          <w:sz w:val="18"/>
          <w:szCs w:val="18"/>
          <w:color w:val="auto"/>
        </w:rPr>
        <w:t>RSUs are share awards that entitle the holder to receive freely tradable shares of our common stock upon vesting. The RSUs cannot be transferred and the awards are subject to forfeiture if the holder’s service terminates prior to vesting other than for death, disability, or other qualifying terminations.</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RSU activity:</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5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216"/>
        </w:trPr>
        <w:tc>
          <w:tcPr>
            <w:tcW w:w="5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Grant Date</w:t>
            </w:r>
          </w:p>
        </w:tc>
        <w:tc>
          <w:tcPr>
            <w:tcW w:w="220" w:type="dxa"/>
            <w:vAlign w:val="bottom"/>
          </w:tcPr>
          <w:p>
            <w:pPr>
              <w:spacing w:after="0"/>
              <w:rPr>
                <w:sz w:val="18"/>
                <w:szCs w:val="18"/>
                <w:color w:val="auto"/>
              </w:rPr>
            </w:pPr>
          </w:p>
        </w:tc>
        <w:tc>
          <w:tcPr>
            <w:tcW w:w="820" w:type="dxa"/>
            <w:vAlign w:val="bottom"/>
          </w:tcPr>
          <w:p>
            <w:pPr>
              <w:jc w:val="center"/>
              <w:ind w:right="184"/>
              <w:spacing w:after="0"/>
              <w:rPr>
                <w:sz w:val="20"/>
                <w:szCs w:val="20"/>
                <w:color w:val="auto"/>
              </w:rPr>
            </w:pPr>
            <w:r>
              <w:rPr>
                <w:rFonts w:ascii="Arial" w:cs="Arial" w:eastAsia="Arial" w:hAnsi="Arial"/>
                <w:sz w:val="14"/>
                <w:szCs w:val="14"/>
                <w:b w:val="1"/>
                <w:bCs w:val="1"/>
                <w:color w:val="auto"/>
              </w:rPr>
              <w:t>Intrinsic</w:t>
            </w:r>
          </w:p>
        </w:tc>
      </w:tr>
      <w:tr>
        <w:trPr>
          <w:trHeight w:val="191"/>
        </w:trPr>
        <w:tc>
          <w:tcPr>
            <w:tcW w:w="5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RSUs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820" w:type="dxa"/>
            <w:vAlign w:val="bottom"/>
          </w:tcPr>
          <w:p>
            <w:pPr>
              <w:jc w:val="center"/>
              <w:ind w:right="144"/>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5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(in</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thousands)</w:t>
            </w: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Balance as of December 31, 2024</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200" w:type="dxa"/>
            <w:vAlign w:val="bottom"/>
          </w:tcPr>
          <w:p>
            <w:pPr>
              <w:ind w:left="20"/>
              <w:spacing w:after="0"/>
              <w:rPr>
                <w:sz w:val="20"/>
                <w:szCs w:val="20"/>
                <w:color w:val="auto"/>
              </w:rPr>
            </w:pPr>
            <w:r>
              <w:rPr>
                <w:rFonts w:ascii="Arial" w:cs="Arial" w:eastAsia="Arial" w:hAnsi="Arial"/>
                <w:sz w:val="16"/>
                <w:szCs w:val="16"/>
                <w:color w:val="auto"/>
              </w:rPr>
              <w:t>Granted</w:t>
            </w:r>
          </w:p>
        </w:tc>
        <w:tc>
          <w:tcPr>
            <w:tcW w:w="1120" w:type="dxa"/>
            <w:vAlign w:val="bottom"/>
          </w:tcPr>
          <w:p>
            <w:pPr>
              <w:jc w:val="right"/>
              <w:spacing w:after="0"/>
              <w:rPr>
                <w:sz w:val="20"/>
                <w:szCs w:val="20"/>
                <w:color w:val="auto"/>
              </w:rPr>
            </w:pPr>
            <w:r>
              <w:rPr>
                <w:rFonts w:ascii="Arial" w:cs="Arial" w:eastAsia="Arial" w:hAnsi="Arial"/>
                <w:sz w:val="16"/>
                <w:szCs w:val="16"/>
                <w:color w:val="auto"/>
              </w:rPr>
              <w:t>334,128</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12.96</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Cancelled / 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r>
      <w:tr>
        <w:trPr>
          <w:trHeight w:val="183"/>
        </w:trPr>
        <w:tc>
          <w:tcPr>
            <w:tcW w:w="520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Unvested Balance as of March 31, 2025</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334,128</w:t>
            </w:r>
          </w:p>
        </w:tc>
        <w:tc>
          <w:tcPr>
            <w:tcW w:w="380" w:type="dxa"/>
            <w:vAlign w:val="bottom"/>
            <w:tcBorders>
              <w:bottom w:val="single" w:sz="8" w:color="CCEEFF"/>
            </w:tcBorders>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12.96</w:t>
            </w:r>
          </w:p>
        </w:tc>
        <w:tc>
          <w:tcPr>
            <w:tcW w:w="2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4,086</w:t>
            </w:r>
          </w:p>
        </w:tc>
      </w:tr>
      <w:tr>
        <w:trPr>
          <w:trHeight w:val="20"/>
        </w:trPr>
        <w:tc>
          <w:tcPr>
            <w:tcW w:w="5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The aggregate intrinsic value of unvested RSUs is based on our closing stock price on the last trading day of the period. No RSUs were vested as of March 31, 2025. As of March 31, 2025, the unrecognized compensation expense related to unvested stock-based compensation arrangements for RSUs was $4.2 million. As of March 31, 2025, the related weighted average period over which the expense is expected to be recognized is approximately 3.9 years.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 Stock Purchase Plan</w:t>
      </w:r>
    </w:p>
    <w:p>
      <w:pPr>
        <w:spacing w:after="0" w:line="212"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Our Board of Directors and stockholders also established an Employee Stock Purchase Plan (the “ESPP”). The number of shares of common stock initially reserved for issuance under the ESPP was 278,170. The shares available for issuance under the ESPP automatically increase on the first day of each year, commencing January 1, 2022, and ending on (and including) January 1, 2031, in an amount equal to 1% of the total number of shares of our common stock outstanding on the last day of the calendar month before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date of each automatic increase, or such lesser number of shares as determined by the Board of Directors. The annual increase resulted in an additional 253,246 shares being reserved for issuance under the ESPP as of January 1, 2025. The ESPP permits certain of our U.S. employees to purchase shares of our common stock at a price per share not less than 85% of the lower of (i) the closing market price per share of our common stock on the first day of the applicable purchase period or (ii) the closing market price per share of our common stock on the purchase date at the end of the applicable six-month purchase period. For the three months ended March 31, 2025, there were no shares of common stock purchased under the ESPP. As of March 31, 2025, there were 886,053 shares available for issuance under the ESPP.</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 expense</w:t>
      </w:r>
    </w:p>
    <w:p>
      <w:pPr>
        <w:spacing w:after="0" w:line="21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We use the Black-Scholes option pricing model to determine the fair value of stock options and ESPP purchase rights on the grant date. The fair value of RSUs is determined based on the closing stock price of our common stock on the grant date. We measure stock-based compensation expense based on the grant date fair value of the award and recognize compensation expense over the requisite service period, which is generally the vesting period for stock options and RSUs, and the offering period for ESPP purchase rights. The amount of stock-based compensation expense recognized for stock option and RSU awards during a period is based on the portion of the awards that are ultimately expected to vest. The amount of stock-based compensation expense recognized for ESPP purchase rights during a period is based on the estimated purchase rights as of the grant date. We account for forfeitures as they occur.</w:t>
      </w:r>
    </w:p>
    <w:p>
      <w:pPr>
        <w:spacing w:after="0" w:line="183"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The following table provides the weighted average fair value of options granted to employees and the related assumptions used in the Black-Scholes option pricing model for the three months ended March 31, 2025 and 2024:</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5"/>
        </w:trPr>
        <w:tc>
          <w:tcPr>
            <w:tcW w:w="59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fair value of options granted</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10.44</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12.20</w:t>
            </w:r>
          </w:p>
        </w:tc>
        <w:tc>
          <w:tcPr>
            <w:tcW w:w="16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term (in years) — non-officer employees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 to 6.1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 to 6.1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 — officer employees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 to 6.1</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Expected volatility</w:t>
            </w:r>
          </w:p>
        </w:tc>
        <w:tc>
          <w:tcPr>
            <w:tcW w:w="3500" w:type="dxa"/>
            <w:vAlign w:val="bottom"/>
          </w:tcPr>
          <w:p>
            <w:pPr>
              <w:jc w:val="right"/>
              <w:spacing w:after="0"/>
              <w:rPr>
                <w:sz w:val="20"/>
                <w:szCs w:val="20"/>
                <w:color w:val="auto"/>
              </w:rPr>
            </w:pPr>
            <w:r>
              <w:rPr>
                <w:rFonts w:ascii="Arial" w:cs="Arial" w:eastAsia="Arial" w:hAnsi="Arial"/>
                <w:sz w:val="18"/>
                <w:szCs w:val="18"/>
                <w:color w:val="auto"/>
              </w:rPr>
              <w:t>95.0% to 96.5 %</w:t>
            </w:r>
          </w:p>
        </w:tc>
        <w:tc>
          <w:tcPr>
            <w:tcW w:w="1400" w:type="dxa"/>
            <w:vAlign w:val="bottom"/>
          </w:tcPr>
          <w:p>
            <w:pPr>
              <w:jc w:val="right"/>
              <w:spacing w:after="0"/>
              <w:rPr>
                <w:sz w:val="20"/>
                <w:szCs w:val="20"/>
                <w:color w:val="auto"/>
              </w:rPr>
            </w:pPr>
            <w:r>
              <w:rPr>
                <w:rFonts w:ascii="Arial" w:cs="Arial" w:eastAsia="Arial" w:hAnsi="Arial"/>
                <w:sz w:val="18"/>
                <w:szCs w:val="18"/>
                <w:color w:val="auto"/>
              </w:rPr>
              <w:t>90.9% to 92.8 %</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9"/>
        </w:trPr>
        <w:tc>
          <w:tcPr>
            <w:tcW w:w="40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500" w:type="dxa"/>
            <w:vAlign w:val="bottom"/>
          </w:tcPr>
          <w:p>
            <w:pPr>
              <w:jc w:val="right"/>
              <w:spacing w:after="0"/>
              <w:rPr>
                <w:sz w:val="20"/>
                <w:szCs w:val="20"/>
                <w:color w:val="auto"/>
              </w:rPr>
            </w:pPr>
            <w:r>
              <w:rPr>
                <w:rFonts w:ascii="Arial" w:cs="Arial" w:eastAsia="Arial" w:hAnsi="Arial"/>
                <w:sz w:val="18"/>
                <w:szCs w:val="18"/>
                <w:color w:val="auto"/>
              </w:rPr>
              <w:t>4.09% to 4.47 %</w:t>
            </w:r>
          </w:p>
        </w:tc>
        <w:tc>
          <w:tcPr>
            <w:tcW w:w="1400" w:type="dxa"/>
            <w:vAlign w:val="bottom"/>
          </w:tcPr>
          <w:p>
            <w:pPr>
              <w:jc w:val="right"/>
              <w:spacing w:after="0"/>
              <w:rPr>
                <w:sz w:val="20"/>
                <w:szCs w:val="20"/>
                <w:color w:val="auto"/>
              </w:rPr>
            </w:pPr>
            <w:r>
              <w:rPr>
                <w:rFonts w:ascii="Arial" w:cs="Arial" w:eastAsia="Arial" w:hAnsi="Arial"/>
                <w:sz w:val="18"/>
                <w:szCs w:val="18"/>
                <w:color w:val="auto"/>
              </w:rPr>
              <w:t>3.95% to 4.28 %</w:t>
            </w:r>
          </w:p>
        </w:tc>
      </w:tr>
    </w:tbl>
    <w:p>
      <w:pPr>
        <w:spacing w:after="0" w:line="363"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The following table provides the weighted average fair value of ESPP purchase rights and the related assumptions used in the Black-Scholes option pricing model for the three months ended March 31, 2025 and 2024:</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96"/>
        </w:trPr>
        <w:tc>
          <w:tcPr>
            <w:tcW w:w="6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7"/>
                <w:szCs w:val="17"/>
                <w:color w:val="auto"/>
              </w:rPr>
            </w:pPr>
          </w:p>
        </w:tc>
      </w:tr>
      <w:tr>
        <w:trPr>
          <w:trHeight w:val="196"/>
        </w:trPr>
        <w:tc>
          <w:tcPr>
            <w:tcW w:w="6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fair value per ESPP purchase right</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 xml:space="preserve">Expected term (in years) </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60" w:type="dxa"/>
            <w:vAlign w:val="bottom"/>
          </w:tcPr>
          <w:p>
            <w:pPr>
              <w:spacing w:after="0"/>
              <w:rPr>
                <w:sz w:val="18"/>
                <w:szCs w:val="18"/>
                <w:color w:val="auto"/>
              </w:rPr>
            </w:pPr>
          </w:p>
        </w:tc>
        <w:tc>
          <w:tcPr>
            <w:tcW w:w="1460" w:type="dxa"/>
            <w:vAlign w:val="bottom"/>
            <w:gridSpan w:val="3"/>
          </w:tcPr>
          <w:p>
            <w:pPr>
              <w:jc w:val="right"/>
              <w:ind w:right="39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bl>
    <w:p>
      <w:pPr>
        <w:spacing w:after="0" w:line="184"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review these assumptions on a periodic basis and adjust them, as necessary. We utilize the simplified method to develop the estimate of the expected term for stock option awards and ESPP purchase rights. The expected volatility is based upon our historical stock price. The expected dividend yield is assumed to be zero, as we have never paid dividends and have no current plans to do so. The risk-free interest rate is based on the yield on U.S. Treasury securities for a period approximating the expected term of the options being valued.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following table presents the components and classification of stock-based compensation expense for the periods indicated:</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8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15"/>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66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2,214</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11,028</w:t>
            </w:r>
          </w:p>
        </w:tc>
        <w:tc>
          <w:tcPr>
            <w:tcW w:w="0" w:type="dxa"/>
            <w:vAlign w:val="bottom"/>
          </w:tcPr>
          <w:p>
            <w:pPr>
              <w:spacing w:after="0"/>
              <w:rPr>
                <w:sz w:val="1"/>
                <w:szCs w:val="1"/>
                <w:color w:val="auto"/>
              </w:rPr>
            </w:pPr>
          </w:p>
        </w:tc>
      </w:tr>
      <w:tr>
        <w:trPr>
          <w:trHeight w:val="203"/>
        </w:trPr>
        <w:tc>
          <w:tcPr>
            <w:tcW w:w="6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3"/>
        </w:trPr>
        <w:tc>
          <w:tcPr>
            <w:tcW w:w="6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Restricted Stock</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820" w:type="dxa"/>
            <w:vAlign w:val="bottom"/>
            <w:tcBorders>
              <w:bottom w:val="single" w:sz="8" w:color="CCEEFF"/>
            </w:tcBorders>
            <w:gridSpan w:val="2"/>
          </w:tcPr>
          <w:p>
            <w:pPr>
              <w:ind w:left="20"/>
              <w:spacing w:after="0" w:line="196" w:lineRule="exact"/>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2,455</w:t>
            </w: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11,141</w:t>
            </w:r>
          </w:p>
        </w:tc>
        <w:tc>
          <w:tcPr>
            <w:tcW w:w="0" w:type="dxa"/>
            <w:vAlign w:val="bottom"/>
          </w:tcPr>
          <w:p>
            <w:pPr>
              <w:spacing w:after="0"/>
              <w:rPr>
                <w:sz w:val="1"/>
                <w:szCs w:val="1"/>
                <w:color w:val="auto"/>
              </w:rPr>
            </w:pPr>
          </w:p>
        </w:tc>
      </w:tr>
      <w:tr>
        <w:trPr>
          <w:trHeight w:val="156"/>
        </w:trPr>
        <w:tc>
          <w:tcPr>
            <w:tcW w:w="6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Selling, general &amp; administrative</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2,255</w:t>
            </w:r>
          </w:p>
        </w:tc>
        <w:tc>
          <w:tcPr>
            <w:tcW w:w="20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10,824</w:t>
            </w:r>
          </w:p>
        </w:tc>
        <w:tc>
          <w:tcPr>
            <w:tcW w:w="0" w:type="dxa"/>
            <w:vAlign w:val="bottom"/>
          </w:tcPr>
          <w:p>
            <w:pPr>
              <w:spacing w:after="0"/>
              <w:rPr>
                <w:sz w:val="1"/>
                <w:szCs w:val="1"/>
                <w:color w:val="auto"/>
              </w:rPr>
            </w:pPr>
          </w:p>
        </w:tc>
      </w:tr>
      <w:tr>
        <w:trPr>
          <w:trHeight w:val="203"/>
        </w:trPr>
        <w:tc>
          <w:tcPr>
            <w:tcW w:w="6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&amp; development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3"/>
        </w:trPr>
        <w:tc>
          <w:tcPr>
            <w:tcW w:w="682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66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2,455</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11,141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On January 30, 2024, we amended the terms and conditions of certain stock option award agreements granted under the 2001 Plan and 2021 Plan between us and our former Chief Executive Officer in connection with his retirement, which occurred on February 11, 2024. The option agreements were amended to provide that, if not already vested at the time of termination of his employment due to retirement, the options will continue to vest on the previously scheduled vesting dates following his retirement, subject to his compliance with certain covenants. Additionally, the option agreements were modified so that the options may be exercised, to the extent vested, by our former Chief Executive Officer until the earlier of (a) five years following his retirement date, or (b) the applicable option expiration date. The modification of these option awards resulted in an additional $8.4 million of non-cash stock-based compensation expense recognized during the three months ended March 31, 2024.</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8. Income taxes</w:t>
      </w:r>
    </w:p>
    <w:p>
      <w:pPr>
        <w:spacing w:after="0" w:line="216"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color w:val="auto"/>
        </w:rPr>
        <w:t>As of March 31, 2025 and December 31, 2024, a valuation allowance was recorded against all deferred tax assets due to our cumulative net loss position. Benefit for income taxes for the three months ended March 31, 2025 was $5,000 and provision for income taxes for the three months ended March 31, 2024 was $38,000.</w:t>
      </w:r>
    </w:p>
    <w:p>
      <w:pPr>
        <w:spacing w:after="0" w:line="152"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As of December 31, 2024, we had federal and state net operating loss carryforwards (“NOLs”) of approximately $429.7 million and $8.1 million, respectively. The federal NOLs began expiring in 2021 and the state NOLs began expiring in 2020. As of December 31, 2024, we had federal and state tax credit carryforwards of approximately $10.2 million and $ 1.7 million, respectively. The federal tax credit carryforwards began expiring in 2021 and the state tax credits will begin expiring in 2028.</w:t>
      </w:r>
    </w:p>
    <w:p>
      <w:pPr>
        <w:spacing w:after="0" w:line="176"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Utilization of NOLs may be subject to an annual limitation due to the ownership change limitations provided by Section 382 of the Internal Revenue Code of 1986, as amended, and similar state provisions. We have not performed a detailed analysis to determine whether an ownership change has occurred. Such a change of ownership would limit our utilization of the NOLs and could be triggered by subsequent sales of securities by us or our stockholders.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9. Loss Per Share</w:t>
      </w:r>
    </w:p>
    <w:p>
      <w:pPr>
        <w:spacing w:after="0" w:line="216" w:lineRule="exact"/>
        <w:rPr>
          <w:sz w:val="20"/>
          <w:szCs w:val="20"/>
          <w:color w:val="auto"/>
        </w:rPr>
      </w:pPr>
    </w:p>
    <w:p>
      <w:pPr>
        <w:ind w:left="60" w:right="739"/>
        <w:spacing w:after="0" w:line="271" w:lineRule="auto"/>
        <w:rPr>
          <w:sz w:val="20"/>
          <w:szCs w:val="20"/>
          <w:color w:val="auto"/>
        </w:rPr>
      </w:pPr>
      <w:r>
        <w:rPr>
          <w:rFonts w:ascii="Arial" w:cs="Arial" w:eastAsia="Arial" w:hAnsi="Arial"/>
          <w:sz w:val="18"/>
          <w:szCs w:val="18"/>
          <w:color w:val="auto"/>
        </w:rPr>
        <w:t>Basic and diluted net loss per share attributable to common stockholders was calculated for the periods indicated (in thousands, except share and per share data):</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775"/>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65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6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(13,766)</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(22,186)</w:t>
            </w: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43"/>
        </w:trPr>
        <w:tc>
          <w:tcPr>
            <w:tcW w:w="65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Weighted average common shares outstanding — basic and diluted</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25,876,062</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21,232,009</w:t>
            </w:r>
          </w:p>
        </w:tc>
      </w:tr>
      <w:tr>
        <w:trPr>
          <w:trHeight w:val="183"/>
        </w:trPr>
        <w:tc>
          <w:tcPr>
            <w:tcW w:w="65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Net loss per share attributable to common stockholders — basic and diluted</w:t>
            </w: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8"/>
                <w:szCs w:val="18"/>
                <w:color w:val="auto"/>
              </w:rPr>
              <w:t>(0.53)</w:t>
            </w: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(1.04)</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Our potentially dilutive securities, which include stock options, restricted stock units, and warrants to purchase shares of common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We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2060" w:type="dxa"/>
            <w:vAlign w:val="bottom"/>
            <w:gridSpan w:val="3"/>
          </w:tcPr>
          <w:p>
            <w:pPr>
              <w:jc w:val="right"/>
              <w:ind w:right="234"/>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840" w:type="dxa"/>
            <w:vAlign w:val="bottom"/>
          </w:tcPr>
          <w:p>
            <w:pPr>
              <w:spacing w:after="0"/>
              <w:rPr>
                <w:sz w:val="14"/>
                <w:szCs w:val="14"/>
                <w:color w:val="auto"/>
              </w:rPr>
            </w:pPr>
          </w:p>
        </w:tc>
        <w:tc>
          <w:tcPr>
            <w:tcW w:w="2060" w:type="dxa"/>
            <w:vAlign w:val="bottom"/>
            <w:tcBorders>
              <w:bottom w:val="single" w:sz="8" w:color="auto"/>
            </w:tcBorders>
            <w:gridSpan w:val="3"/>
          </w:tcPr>
          <w:p>
            <w:pPr>
              <w:jc w:val="right"/>
              <w:ind w:right="634"/>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68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5,987,007</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5,236,408</w:t>
            </w: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Restricted stock units</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334,128</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w:t>
            </w: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103,349</w:t>
            </w:r>
          </w:p>
        </w:tc>
        <w:tc>
          <w:tcPr>
            <w:tcW w:w="18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108,406</w:t>
            </w:r>
          </w:p>
        </w:tc>
      </w:tr>
      <w:tr>
        <w:trPr>
          <w:trHeight w:val="196"/>
        </w:trPr>
        <w:tc>
          <w:tcPr>
            <w:tcW w:w="6840" w:type="dxa"/>
            <w:vAlign w:val="bottom"/>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6,424,484</w:t>
            </w:r>
          </w:p>
        </w:tc>
        <w:tc>
          <w:tcPr>
            <w:tcW w:w="180" w:type="dxa"/>
            <w:vAlign w:val="bottom"/>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5,344,814</w:t>
            </w:r>
          </w:p>
        </w:tc>
      </w:tr>
      <w:tr>
        <w:trPr>
          <w:trHeight w:val="20"/>
        </w:trPr>
        <w:tc>
          <w:tcPr>
            <w:tcW w:w="6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10.Commitments and contingencies</w:t>
      </w:r>
    </w:p>
    <w:p>
      <w:pPr>
        <w:spacing w:after="0" w:line="216"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From time to time, we may have certain contingent liabilities that arise in the ordinary course of business. We accrue a liability for such matters when it is probable that future expenditures will be made, and such expenditures can be reasonably estimated. There have been no contingent liabilities requiring accrual or disclosure as of March 31, 2025 or December 31, 2024.</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11. Employee benefit plans</w:t>
      </w:r>
    </w:p>
    <w:p>
      <w:pPr>
        <w:spacing w:after="0" w:line="21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We sponsor a voluntary defined-contribution employee retirement plan (the “401(k) plan”) for our U.S. employees. The 401(k) plan provides that each participant may contribute pre-tax or post-tax compensation up to the statutory limit allowable. Under the 401(k) plan, each participant is fully vested in his or her deferred salary contributions when contributed. Beginning January 1, 2024, we adopted a policy to match a portion of employee contributions for all qualified employees participating in the 401(k) plan. We recorded an expense for matching contributions of $0.3 million and $0.2 million for the three months ended March 31, 2025 and 2024, respectively.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12.Segment, geographic information, and revenue disaggregation</w:t>
      </w:r>
    </w:p>
    <w:p>
      <w:pPr>
        <w:spacing w:after="0" w:line="21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We have determined that we have a single reportable and operating segment structure. We have one business activity and there are no segment managers who are held accountable for operations, operating results, or plans for levels or components below the consolidated unit level. Our chief operating decision maker is our Chief Executive Officer. Our Chief Executive Officer evaluates performance based primarily 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revenue in the geographic locations in which the Company operates and consolidated net loss. The Chief Executive Officer reviews financial information presented on a consolidated basis, including consolidated net loss, accompanied by information about revenue by geographic region, for purposes of allocating resources and evaluating financial performance. Further, the financial information on expenses provided to the Chief Executive Officer is presented on a consolidated basis, as reported in the condensed consolidated statements of operations and comprehensive loss in this Quarterly Report on Form 10-Q.</w:t>
      </w:r>
    </w:p>
    <w:p>
      <w:pPr>
        <w:spacing w:after="0" w:line="179" w:lineRule="exact"/>
        <w:rPr>
          <w:sz w:val="20"/>
          <w:szCs w:val="20"/>
          <w:color w:val="auto"/>
        </w:rPr>
      </w:pPr>
    </w:p>
    <w:p>
      <w:pPr>
        <w:ind w:left="60" w:right="719"/>
        <w:spacing w:after="0" w:line="253" w:lineRule="auto"/>
        <w:rPr>
          <w:sz w:val="20"/>
          <w:szCs w:val="20"/>
          <w:color w:val="auto"/>
        </w:rPr>
      </w:pPr>
      <w:r>
        <w:rPr>
          <w:rFonts w:ascii="Arial" w:cs="Arial" w:eastAsia="Arial" w:hAnsi="Arial"/>
          <w:sz w:val="18"/>
          <w:szCs w:val="18"/>
          <w:color w:val="auto"/>
        </w:rPr>
        <w:t>We derive all our revenues from sales to customers in Europe and the U.S. The following table provides revenue by country for each location accounting for more than 10% of the total revenue for the periods indicated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r>
      <w:tr>
        <w:trPr>
          <w:trHeight w:val="156"/>
        </w:trPr>
        <w:tc>
          <w:tcPr>
            <w:tcW w:w="67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U.S.</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11,202</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9,835</w:t>
            </w:r>
          </w:p>
        </w:tc>
      </w:tr>
      <w:tr>
        <w:trPr>
          <w:trHeight w:val="203"/>
        </w:trPr>
        <w:tc>
          <w:tcPr>
            <w:tcW w:w="67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countries</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1,146</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935</w:t>
            </w:r>
          </w:p>
        </w:tc>
      </w:tr>
      <w:tr>
        <w:trPr>
          <w:trHeight w:val="196"/>
        </w:trPr>
        <w:tc>
          <w:tcPr>
            <w:tcW w:w="6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12,348</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10,770</w:t>
            </w: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March 31, 2025 and December 31, 2024, substantially all our long-lived assets were located in the U.S.</w:t>
      </w:r>
    </w:p>
    <w:p>
      <w:pPr>
        <w:spacing w:after="0" w:line="188" w:lineRule="exact"/>
        <w:rPr>
          <w:sz w:val="20"/>
          <w:szCs w:val="20"/>
          <w:color w:val="auto"/>
        </w:rPr>
      </w:pPr>
    </w:p>
    <w:p>
      <w:pPr>
        <w:ind w:left="60" w:right="259"/>
        <w:spacing w:after="0" w:line="272"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Overview</w:t>
      </w:r>
    </w:p>
    <w:p>
      <w:pPr>
        <w:spacing w:after="0" w:line="21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are a commercial-stage medical device company focused on developing, manufacturing, and commercializing innovative and minimally invasive neuromodulation solutions for patients with cardiovascular disease. Our proprietary platform technology, Barostim, is designed to leverage the power of the brain and nervous system to address the imbalance of the Autonomic Nervous System, which causes HF with reduced Ejection Fraction (“HFrEF”) and other cardiovascular diseases. Our second-generation product, Barostim, is the first and only commercially available neuromodulation device indicated to improve symptoms for patients with HFrEF. Barostim provides Baroreflex Activation Therapy by sending imperceptible and persistent electrical pulses to baroreceptors located in the wall of the carotid artery to signal the brain to modulate cardiovascular function. Barostim is currently indicated by the U.S. Food and Drug Administration (“FDA”) for patients who are NYHA Class III or II (who had a recent history of Class III) despite treatment with guideline-directed medical therapies (medications and devices), have a LVEF ≤ 35% and a NT-proBNP &lt; 1600 pg/ml and is CE Marked for HFrEF and resistant hypertension.</w:t>
      </w:r>
    </w:p>
    <w:p>
      <w:pPr>
        <w:spacing w:after="0" w:line="169"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Since our inception, our activities have consisted primarily of developing Barostim Therapy, conducting our BeAT-HF pre-market and post-market pivotal studies in the U.S., and filing for regulatory approvals. Our ability to generate significant revenue from product sales and become profitable will depend on our ability to continue to successfully commercialize Barostim and any product enhancements we may advance in the future. We expect to derive future revenue by continuing to both expand our own dedicated salesforce and increase awareness of Barostim among payers, physicians, and patients.</w:t>
      </w:r>
    </w:p>
    <w:p>
      <w:pPr>
        <w:spacing w:after="0" w:line="17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Our sales and marketing efforts are directed at electrophysiologists, HF specialists, interventional and general cardiologists, and vascular surgeons because they are the primary users of our technology. However, we consider hospitals, where the procedures are performed primarily in an outpatient setting, to be our customers, as they are the purchasing entities of Barostim in the U.S. We intend to continue making significant investments building our U.S. commercial infrastructure by expanding and training our U.S. sales force. We have dedicated significant resources to educate physicians who treat HFrEF about the advantages of Barostim and train them on the implant procedure.</w:t>
      </w:r>
    </w:p>
    <w:p>
      <w:pPr>
        <w:spacing w:after="0" w:line="185"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The costs for the device and implantation procedure are reimbursed through various third-party payers, such as government agencies and commercial payers. In the U.S., we estimate that 67% of our target patient</w:t>
      </w:r>
    </w:p>
    <w:p>
      <w:pPr>
        <w:sectPr>
          <w:pgSz w:w="11900" w:h="16838" w:orient="portrait"/>
          <w:cols w:equalWidth="0" w:num="1">
            <w:col w:w="9019"/>
          </w:cols>
          <w:pgMar w:left="1440" w:top="513" w:right="1440" w:bottom="144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population is Medicare-eligible based on the age demographic of the HFrEF patient population indicated for Barostim. As a result, we have prioritized coverage by the Centers for Medicare and Medicaid Services while simultaneously developing processes to engage commercial payers. All Medicare Administrative Contractors have retired their official automatic coverage denial policies for our Current Procedural Terminology codes, thereby allowing hospitals to submit payment requests for the Barostim procedure to be adjudicated on a claim-by-claim basis. Our reimbursement strategy involves continuing to broaden our current coverage and build our in-house market access team to obtain appropriate prior authorization approvals in advance of treatment on a case-by-case basis where positive coverage policies currently do not exist. Outside the U.S., reimbursement levels vary by country and within some countries by region. Barostim is eligible for reimbursement in certain countries in the European Economic Area, such as Germany, where annual healthcare budgets for the hospital generally determine the number of patients to be treated and the prices to be paid for the related devices that may be purchased.</w:t>
      </w:r>
    </w:p>
    <w:p>
      <w:pPr>
        <w:spacing w:after="0" w:line="169" w:lineRule="exact"/>
        <w:rPr>
          <w:sz w:val="20"/>
          <w:szCs w:val="20"/>
          <w:color w:val="auto"/>
        </w:rPr>
      </w:pPr>
    </w:p>
    <w:p>
      <w:pPr>
        <w:ind w:left="60" w:right="99"/>
        <w:spacing w:after="0" w:line="256" w:lineRule="auto"/>
        <w:rPr>
          <w:sz w:val="20"/>
          <w:szCs w:val="20"/>
          <w:color w:val="auto"/>
        </w:rPr>
      </w:pPr>
      <w:r>
        <w:rPr>
          <w:rFonts w:ascii="Arial" w:cs="Arial" w:eastAsia="Arial" w:hAnsi="Arial"/>
          <w:sz w:val="17"/>
          <w:szCs w:val="17"/>
          <w:color w:val="auto"/>
        </w:rPr>
        <w:t>We manage all aspects of manufacturing operations and product supply of Barostim, which include final assembly, testing and packaging of our implantable pulse generator (“IPG”) and stimulation lead, at our headquarters in Minneapolis, Minnesota. We utilize components or various subassemblies manufactured by third-party suppliers, some of which have significant lead times. Many of these components are from a limited number of suppliers. We believe that our component manufacturers are recognized in their field for their competency to manufacture the respective portions of Barostim and have quality systems established that meet FDA requirements. We seek to maintain higher levels of inventory to protect ourselves from supply interruptions and continue to seek to broaden and strengthen our supply chain through additional sourcing channels.</w:t>
      </w:r>
    </w:p>
    <w:p>
      <w:pPr>
        <w:spacing w:after="0" w:line="168"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On October 31, 2022, we entered into the Loan Agreement allowing borrowing, subject to our achievement of certain milestones, up to a total of $50.0 million in a series of Term Loans described in Note 4 to our condensed consolidated financial statements included elsewhere in this Quarterly Report on Form 10-Q. We had $50.0 million in outstanding Term Loans under the Loan Agreement as of March 31, 2025. As a result of these investments and our commercialization efforts, we expect to continue to incur net losses for the next several years, which may require additional funding and could include future equity and debt financing.</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Factors affecting our performance</w:t>
      </w:r>
    </w:p>
    <w:p>
      <w:pPr>
        <w:spacing w:after="0" w:line="216"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We believe there are several important factors that have impacted and that we expect will continue to impact our business and results of operations. These factors include:</w:t>
      </w:r>
    </w:p>
    <w:p>
      <w:pPr>
        <w:spacing w:after="0" w:line="154"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Growing and supporting our U.S. commercial organization;</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Promoting awareness among physicians, hospitals, and patients to accelerate adoption of Barostim;</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Continuing to develop and disseminate clinical evidence supporting the benefits of Barostim;</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Raising awareness among payers to build upon reimbursement for Barostim;</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Investing in research and development to foster innovation; and</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Leveraging our manufacturing capacity to further improve our gross margins.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Components of results of operations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jc w:val="both"/>
        <w:ind w:left="60" w:right="219"/>
        <w:spacing w:after="0" w:line="253" w:lineRule="auto"/>
        <w:rPr>
          <w:sz w:val="20"/>
          <w:szCs w:val="20"/>
          <w:color w:val="auto"/>
        </w:rPr>
      </w:pPr>
      <w:r>
        <w:rPr>
          <w:rFonts w:ascii="Arial" w:cs="Arial" w:eastAsia="Arial" w:hAnsi="Arial"/>
          <w:sz w:val="18"/>
          <w:szCs w:val="18"/>
          <w:color w:val="auto"/>
        </w:rPr>
        <w:t>Our U.S. sales have steadily increased since the pre-market approval of Barostim by the FDA in August 2019, and the subsequent reimbursement changes. We expect to continue to drive increases in revenue through our efforts to increase awareness of Barostim among physicians, patients and payers,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by the expansion of our U.S. sales force, as well as by seeking expanded labeling for Barostim. As a result, we expect that U.S. sales will continue to account for the majority of our revenue going forward.</w:t>
      </w:r>
    </w:p>
    <w:p>
      <w:pPr>
        <w:spacing w:after="0" w:line="154"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We derive a portion of our revenue from the sale of Barostim to hospitals in Germany and other select countries in Europe. Revenue from sales of Barostim in Europe fluctuates based on the average selling price of Barostim as determined by location of sale and channel mix, each of which may vary significantly from country to country. Our revenue from international sales can also be significantly impacted by fluctuations in foreign currency exchange rates.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21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Cost of goods sold consists primarily of acquisition costs of the components and subassemblies of Barostim, allocated manufacturing overhead and scrap and inventory obsolescence, as well as distribution-related expenses such as logistics and shipping costs. We expect cost of goods sold to increase in absolute dollars primarily as, and to the extent, our revenue grows. Gross margin may also vary based on regional differences in rebates and incentives negotiated with certain customers.</w:t>
      </w:r>
    </w:p>
    <w:p>
      <w:pPr>
        <w:spacing w:after="0" w:line="176"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We calculate gross margin as revenue less cost of goods sold divided by revenue. Our gross margin has been and will continue to be affected by a variety of factors, but is primarily driven by the average sale price of our product, the percentage of products sold that include a full system (i.e., an IPG and a stimulation lead), as compared to individual IPG sales, and the allocated manufacturing overhead. Although we sell the majority of our devices directly to hospitals, the impact of the average selling price on gross margin is driven by</w:t>
      </w:r>
    </w:p>
    <w:p>
      <w:pPr>
        <w:spacing w:after="0" w:line="4"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the percentage of products we sold to distributors as compared to those sold directly to hospitals, as our average selling price is typically higher on products we sell directly. The full system sales typically have a lower gross margin as they include the cost of an IPG and a stimulation lead whereas individual IPG sales only include the cost of an IPG. The manufacturing overhead costs of Barostim are directly aligned to our production volume and therefore the cost per product is reduced if production levels increase. While we expect our gross margin to be positively affected over time to the extent we are successful in selling more product through our direct sales force and by increasing our production volumes, it will likely fluctuate from period to period as we continue to introduce new or modified products and adopt new manufacturing processes and technologies.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Research and development (“R&amp;D”) expenses consist primarily of personnel costs, including salaries, bonuses, employee benefits and stock-based compensation expenses for our R&amp;D employees. R&amp;D expenses also include costs associated with product design efforts, development prototypes, testing, clinical trial programs and regulatory activities, contractors, and consultants, equipment and software to support our development, facilities, and information technology. We expense R&amp;D costs as they are incurred. We expect R&amp;D expenses to increase in absolute dollars as we continue to develop enhancements to Barostim. Our R&amp;D expenses may fluctuate from period to period due to the timing and extent of our product development and clinical trial expenses.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Selling, general and administrative (“SG&amp;A”) expenses consist primarily of personnel costs, including base salaries, bonuses, employee benefits and stock-based compensation expense for our sales and marketing personnel, including sales commissions, and for administrative personnel that support our general operations such as executive management, financial accounting, information technology and human resources personnel. SG&amp;A expenses also include costs attributable to marketing, as well as travel, legal fees, financial audit fees, insurance, fees for other consulting services, depreciation, and facilities. We expense commissions at the time of the sale.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We expect SG&amp;A expenses to increase in absolute dollars as we continue to expand our direct sales force and commercial organization in the U.S. In addition, we will continue to increase our international presence and to develop and assist our channel partners. However, we expect our SG&amp;A expenses to decrease as a percentage of revenue as our revenue grows.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consists of interest on our debt and amortization of associated financing costs.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0"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Other income, net consists primarily of interest income on our interest-bearing accounts, partially offset by the effect of exchange rates on our foreign currency-denominated asset and liability balances.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0" w:lineRule="exact"/>
        <w:rPr>
          <w:sz w:val="20"/>
          <w:szCs w:val="20"/>
          <w:color w:val="auto"/>
        </w:rPr>
      </w:pPr>
    </w:p>
    <w:p>
      <w:pPr>
        <w:ind w:left="60" w:right="479"/>
        <w:spacing w:after="0" w:line="253" w:lineRule="auto"/>
        <w:rPr>
          <w:sz w:val="20"/>
          <w:szCs w:val="20"/>
          <w:color w:val="auto"/>
        </w:rPr>
      </w:pPr>
      <w:r>
        <w:rPr>
          <w:rFonts w:ascii="Arial" w:cs="Arial" w:eastAsia="Arial" w:hAnsi="Arial"/>
          <w:sz w:val="18"/>
          <w:szCs w:val="18"/>
          <w:color w:val="auto"/>
        </w:rPr>
        <w:t>Provision for income taxes consists primarily of income taxes in foreign jurisdictions in which we conduct business. We maintain a full valuation allowance for deferred tax assets including NOL carryforwards, R&amp;D credits, and other tax credits.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Results of operations</w:t>
      </w:r>
    </w:p>
    <w:p>
      <w:pPr>
        <w:spacing w:after="0" w:line="218" w:lineRule="exact"/>
        <w:rPr>
          <w:sz w:val="20"/>
          <w:szCs w:val="20"/>
          <w:color w:val="auto"/>
        </w:rPr>
      </w:pPr>
    </w:p>
    <w:p>
      <w:pPr>
        <w:ind w:left="60" w:right="299"/>
        <w:spacing w:after="0" w:line="278" w:lineRule="auto"/>
        <w:rPr>
          <w:sz w:val="20"/>
          <w:szCs w:val="20"/>
          <w:color w:val="auto"/>
        </w:rPr>
      </w:pPr>
      <w:r>
        <w:rPr>
          <w:rFonts w:ascii="Arial" w:cs="Arial" w:eastAsia="Arial" w:hAnsi="Arial"/>
          <w:sz w:val="18"/>
          <w:szCs w:val="18"/>
          <w:b w:val="1"/>
          <w:bCs w:val="1"/>
          <w:i w:val="1"/>
          <w:iCs w:val="1"/>
          <w:color w:val="auto"/>
        </w:rPr>
        <w:t>Consolidated results of operations for the three months ended March 31, 2025, compared to the three months ended March 31, 2024</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jc w:val="right"/>
              <w:ind w:right="45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20" w:type="dxa"/>
            <w:vAlign w:val="bottom"/>
            <w:vMerge w:val="continue"/>
          </w:tcPr>
          <w:p>
            <w:pPr>
              <w:spacing w:after="0"/>
              <w:rPr>
                <w:sz w:val="13"/>
                <w:szCs w:val="13"/>
                <w:color w:val="auto"/>
              </w:rPr>
            </w:pPr>
          </w:p>
        </w:tc>
        <w:tc>
          <w:tcPr>
            <w:tcW w:w="1100" w:type="dxa"/>
            <w:vAlign w:val="bottom"/>
            <w:gridSpan w:val="2"/>
          </w:tcPr>
          <w:p>
            <w:pPr>
              <w:spacing w:after="0"/>
              <w:rPr>
                <w:sz w:val="13"/>
                <w:szCs w:val="13"/>
                <w:color w:val="auto"/>
              </w:rPr>
            </w:pPr>
          </w:p>
        </w:tc>
        <w:tc>
          <w:tcPr>
            <w:tcW w:w="860" w:type="dxa"/>
            <w:vAlign w:val="bottom"/>
          </w:tcPr>
          <w:p>
            <w:pPr>
              <w:jc w:val="right"/>
              <w:ind w:right="195"/>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ind w:right="25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12,348</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10,770</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1,578</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1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2,036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1,615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421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9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10,312</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9,155</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1,157</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20" w:type="dxa"/>
            <w:vAlign w:val="bottom"/>
          </w:tcPr>
          <w:p>
            <w:pPr>
              <w:ind w:left="340"/>
              <w:spacing w:after="0" w:line="196" w:lineRule="exact"/>
              <w:rPr>
                <w:sz w:val="20"/>
                <w:szCs w:val="20"/>
                <w:color w:val="auto"/>
              </w:rPr>
            </w:pPr>
            <w:r>
              <w:rPr>
                <w:rFonts w:ascii="Arial" w:cs="Arial" w:eastAsia="Arial" w:hAnsi="Arial"/>
                <w:sz w:val="18"/>
                <w:szCs w:val="18"/>
                <w:color w:val="auto"/>
              </w:rPr>
              <w:t>Gross margin</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60" w:type="dxa"/>
            <w:vAlign w:val="bottom"/>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1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260" w:type="dxa"/>
            <w:vAlign w:val="bottom"/>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2,517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3,057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(540)</w:t>
            </w: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19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21,232</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28,330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(7,098)</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20" w:type="dxa"/>
            <w:vAlign w:val="bottom"/>
            <w:tcBorders>
              <w:bottom w:val="single" w:sz="8" w:color="CCEEFF"/>
            </w:tcBorders>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23,749</w:t>
            </w:r>
          </w:p>
        </w:tc>
        <w:tc>
          <w:tcPr>
            <w:tcW w:w="2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31,387</w:t>
            </w:r>
          </w:p>
        </w:tc>
        <w:tc>
          <w:tcPr>
            <w:tcW w:w="2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(7,638)</w:t>
            </w:r>
          </w:p>
        </w:tc>
        <w:tc>
          <w:tcPr>
            <w:tcW w:w="1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2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(13,437)</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(22,232)</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8,795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220" w:type="dxa"/>
            <w:vAlign w:val="bottom"/>
            <w:gridSpan w:val="4"/>
          </w:tcPr>
          <w:p>
            <w:pPr>
              <w:jc w:val="right"/>
              <w:ind w:right="170"/>
              <w:spacing w:after="0" w:line="202" w:lineRule="exact"/>
              <w:rPr>
                <w:sz w:val="20"/>
                <w:szCs w:val="20"/>
                <w:color w:val="auto"/>
              </w:rPr>
            </w:pPr>
            <w:r>
              <w:rPr>
                <w:rFonts w:ascii="Arial" w:cs="Arial" w:eastAsia="Arial" w:hAnsi="Arial"/>
                <w:sz w:val="18"/>
                <w:szCs w:val="18"/>
                <w:color w:val="auto"/>
              </w:rPr>
              <w:t>(1,457)</w:t>
            </w:r>
          </w:p>
        </w:tc>
        <w:tc>
          <w:tcPr>
            <w:tcW w:w="180" w:type="dxa"/>
            <w:vAlign w:val="bottom"/>
          </w:tcPr>
          <w:p>
            <w:pPr>
              <w:spacing w:after="0"/>
              <w:rPr>
                <w:sz w:val="17"/>
                <w:szCs w:val="17"/>
                <w:color w:val="auto"/>
              </w:rPr>
            </w:pPr>
          </w:p>
        </w:tc>
        <w:tc>
          <w:tcPr>
            <w:tcW w:w="9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(960)</w:t>
            </w:r>
          </w:p>
        </w:tc>
        <w:tc>
          <w:tcPr>
            <w:tcW w:w="20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(497)</w:t>
            </w: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1100" w:type="dxa"/>
            <w:vAlign w:val="bottom"/>
            <w:gridSpan w:val="2"/>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1,123</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ind w:left="340"/>
              <w:spacing w:after="0"/>
              <w:rPr>
                <w:sz w:val="20"/>
                <w:szCs w:val="20"/>
                <w:color w:val="auto"/>
              </w:rPr>
            </w:pPr>
            <w:r>
              <w:rPr>
                <w:rFonts w:ascii="Arial" w:cs="Arial" w:eastAsia="Arial" w:hAnsi="Arial"/>
                <w:sz w:val="18"/>
                <w:szCs w:val="18"/>
                <w:color w:val="auto"/>
              </w:rPr>
              <w:t>Loss before income taxes</w:t>
            </w:r>
          </w:p>
        </w:tc>
        <w:tc>
          <w:tcPr>
            <w:tcW w:w="9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(13,771)</w:t>
            </w:r>
          </w:p>
        </w:tc>
        <w:tc>
          <w:tcPr>
            <w:tcW w:w="2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w w:val="98"/>
              </w:rPr>
              <w:t>(22,148)</w:t>
            </w:r>
          </w:p>
        </w:tc>
        <w:tc>
          <w:tcPr>
            <w:tcW w:w="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8,377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Benefit (provision) for income taxes</w:t>
            </w:r>
          </w:p>
        </w:tc>
        <w:tc>
          <w:tcPr>
            <w:tcW w:w="1100" w:type="dxa"/>
            <w:vAlign w:val="bottom"/>
            <w:gridSpan w:val="2"/>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ind w:left="340"/>
              <w:spacing w:after="0"/>
              <w:rPr>
                <w:sz w:val="20"/>
                <w:szCs w:val="20"/>
                <w:color w:val="auto"/>
              </w:rPr>
            </w:pPr>
            <w:r>
              <w:rPr>
                <w:rFonts w:ascii="Arial" w:cs="Arial" w:eastAsia="Arial" w:hAnsi="Arial"/>
                <w:sz w:val="18"/>
                <w:szCs w:val="18"/>
                <w:color w:val="auto"/>
              </w:rPr>
              <w:t>Net loss</w:t>
            </w:r>
          </w:p>
        </w:tc>
        <w:tc>
          <w:tcPr>
            <w:tcW w:w="9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 (13,766)</w:t>
            </w:r>
          </w:p>
        </w:tc>
        <w:tc>
          <w:tcPr>
            <w:tcW w:w="26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w w:val="98"/>
              </w:rPr>
              <w:t>(22,186)</w:t>
            </w:r>
          </w:p>
        </w:tc>
        <w:tc>
          <w:tcPr>
            <w:tcW w:w="26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8,420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2"/>
        </w:trPr>
        <w:tc>
          <w:tcPr>
            <w:tcW w:w="36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8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6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following table provides revenue by geography:</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199"/>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95"/>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337"/>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27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United States</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11,202</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9,835</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1,367</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Europe</w:t>
            </w: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1,146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935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12,348</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10,770</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1,578</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Revenue was $12.3 million for the three months ended March 31, 2025, an increase of $1.6 million, or 15%, over the three months ended March 31, 2024.</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Revenue generated in the U.S. was $11.2 million for the three months ended March 31, 2025, an increase of</w:t>
      </w:r>
    </w:p>
    <w:p>
      <w:pPr>
        <w:spacing w:after="0" w:line="14"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$1.4 million, or 14%, over the three months ended March 31, 2024. HF revenue in the U.S. totaled $11.1 million and $9.7 million for the three months ended March 31, 2025 and 2024, respectively. HF revenue units in the U.S. totaled 353 and 319 for the three months ended March 31, 2025 and 2024, respectively. The increases were primarily driven by continued growth in the U.S. HF business as a result of the expansion into new sales territories, new accounts, and increased physician and patient awareness of Barostim.</w:t>
      </w:r>
    </w:p>
    <w:p>
      <w:pPr>
        <w:spacing w:after="0" w:line="166" w:lineRule="exact"/>
        <w:rPr>
          <w:sz w:val="20"/>
          <w:szCs w:val="20"/>
          <w:color w:val="auto"/>
        </w:rPr>
      </w:pPr>
    </w:p>
    <w:p>
      <w:pPr>
        <w:ind w:left="60" w:right="439"/>
        <w:spacing w:after="0" w:line="247" w:lineRule="auto"/>
        <w:rPr>
          <w:sz w:val="20"/>
          <w:szCs w:val="20"/>
          <w:color w:val="auto"/>
        </w:rPr>
      </w:pPr>
      <w:r>
        <w:rPr>
          <w:rFonts w:ascii="Arial" w:cs="Arial" w:eastAsia="Arial" w:hAnsi="Arial"/>
          <w:sz w:val="18"/>
          <w:szCs w:val="18"/>
          <w:color w:val="auto"/>
        </w:rPr>
        <w:t>As of March 31, 2025, we had a total of 227 active implanting centers in the U.S., as compared to 190 as of March 31, 2024. Active implanting centers are customers that have completed at least one commercial HF implant in the last 12 months. As of March 31, 2025, we had a total of 45 sales territories in the U.S. as compared to 39 sales territories as of March 31, 2024.</w:t>
      </w:r>
    </w:p>
    <w:p>
      <w:pPr>
        <w:spacing w:after="0" w:line="160"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Revenue generated in Europe was $1.1 million for the three months ended March 31, 2025, a $0.2 million increase compared to the three months ended March 31, 2024. Total revenue units in Europe increased to 59 for the three months ended March 31, 2025, as compared to 44 in the prior year period. As of March 31, 2025 we had five sales territories in Europe as compared to six sales territories as of March 31, 2024.</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 and gross margin</w:t>
      </w:r>
    </w:p>
    <w:p>
      <w:pPr>
        <w:spacing w:after="0" w:line="210" w:lineRule="exact"/>
        <w:rPr>
          <w:sz w:val="20"/>
          <w:szCs w:val="20"/>
          <w:color w:val="auto"/>
        </w:rPr>
      </w:pPr>
    </w:p>
    <w:p>
      <w:pPr>
        <w:ind w:left="60" w:right="239"/>
        <w:spacing w:after="0" w:line="301" w:lineRule="auto"/>
        <w:rPr>
          <w:sz w:val="20"/>
          <w:szCs w:val="20"/>
          <w:color w:val="auto"/>
        </w:rPr>
      </w:pPr>
      <w:r>
        <w:rPr>
          <w:rFonts w:ascii="Arial" w:cs="Arial" w:eastAsia="Arial" w:hAnsi="Arial"/>
          <w:sz w:val="17"/>
          <w:szCs w:val="17"/>
          <w:color w:val="auto"/>
        </w:rPr>
        <w:t>Cost of goods sold increased $0.4 million, or 26%, to $ 2.0 million for the three months ended March 31, 2025, compared to the three months ended March 31, 2024. This increase was driven by higher sales of Barostim.</w:t>
      </w:r>
    </w:p>
    <w:p>
      <w:pPr>
        <w:spacing w:after="0" w:line="131"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Gross profit was $10.3 million for the three months ended March 31, 2025, an increase of $1.2 million, or 13%, over the three months ended March 31, 2024. Gross margin was 84% and 85% for the three months ended March 31, 2025 and March 31, 2024, respectively.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jc w:val="both"/>
        <w:ind w:left="60" w:right="399"/>
        <w:spacing w:after="0" w:line="253" w:lineRule="auto"/>
        <w:rPr>
          <w:sz w:val="20"/>
          <w:szCs w:val="20"/>
          <w:color w:val="auto"/>
        </w:rPr>
      </w:pPr>
      <w:r>
        <w:rPr>
          <w:rFonts w:ascii="Arial" w:cs="Arial" w:eastAsia="Arial" w:hAnsi="Arial"/>
          <w:sz w:val="18"/>
          <w:szCs w:val="18"/>
          <w:color w:val="auto"/>
        </w:rPr>
        <w:t>R&amp;D expenses decreased $0.5 million, or 18%, to $2.5 million for the three months ended March 31, 2025, compared to the three months ended March 31, 2024. This change was driven by a $0.4 million decrease in consulting expenses and a $0.1 million decrease in non-cash stock-based compensation expense.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0" w:lineRule="exact"/>
        <w:rPr>
          <w:sz w:val="20"/>
          <w:szCs w:val="20"/>
          <w:color w:val="auto"/>
        </w:rPr>
      </w:pPr>
    </w:p>
    <w:p>
      <w:pPr>
        <w:ind w:left="60" w:right="119"/>
        <w:spacing w:after="0" w:line="257" w:lineRule="auto"/>
        <w:rPr>
          <w:sz w:val="20"/>
          <w:szCs w:val="20"/>
          <w:color w:val="auto"/>
        </w:rPr>
      </w:pPr>
      <w:r>
        <w:rPr>
          <w:rFonts w:ascii="Arial" w:cs="Arial" w:eastAsia="Arial" w:hAnsi="Arial"/>
          <w:sz w:val="17"/>
          <w:szCs w:val="17"/>
          <w:color w:val="auto"/>
        </w:rPr>
        <w:t>SG&amp;A expenses decreased $7.1 million, or 25%, to $21.2 million for the three months ended March 31, 2025, compared to the three months ended March 31, 2024. This change was primarily driven by an $8.6 million decrease in non-cash stock-based compensation expense, partially offset by a $1.6 million increase in compensation expenses, mainly as a result of increased headcount. Approximately $8.4 million of the decrease in non-cash stock-based compensation expense is related to the modification of stock options held by our former Chief Executive Officer in connection with his retirement in the first quarter of 2024 described in Note 7 to our condensed consolidated financial statements included elsewhere in this Quarterly Report on Form 10-Q.</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10"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Interest expense increased $0.5 million for the three months ended March 31, 2025, compared to the three months ended March 31, 2024. This increase was driven by the interest expense on higher levels of borrowings under the Loan Agreement.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10"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auto"/>
        </w:rPr>
        <w:t>Other income, net increased $0.1 million for the three months ended March 31, 2025, compared to the three months ended March 31, 2024. This increase was primarily driven by more interest income on our interest-bearing accounts.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Benefit (provision) for income taxes</w:t>
      </w:r>
    </w:p>
    <w:p>
      <w:pPr>
        <w:spacing w:after="0" w:line="210" w:lineRule="exact"/>
        <w:rPr>
          <w:sz w:val="20"/>
          <w:szCs w:val="20"/>
          <w:color w:val="auto"/>
        </w:rPr>
      </w:pPr>
    </w:p>
    <w:p>
      <w:pPr>
        <w:ind w:left="60" w:right="599"/>
        <w:spacing w:after="0" w:line="271" w:lineRule="auto"/>
        <w:rPr>
          <w:sz w:val="20"/>
          <w:szCs w:val="20"/>
          <w:color w:val="auto"/>
        </w:rPr>
      </w:pPr>
      <w:r>
        <w:rPr>
          <w:rFonts w:ascii="Arial" w:cs="Arial" w:eastAsia="Arial" w:hAnsi="Arial"/>
          <w:sz w:val="18"/>
          <w:szCs w:val="18"/>
          <w:color w:val="auto"/>
        </w:rPr>
        <w:t>Benefit (provision) for income taxes was nominal for each of the three months ended March 31, 2025 and March 31, 2024.</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Liquidity, capital resources and plan of operations</w:t>
      </w:r>
    </w:p>
    <w:p>
      <w:pPr>
        <w:spacing w:after="0" w:line="216"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We have incurred significant operating losses and negative cash flows from operations since our inception, and we anticipate that we will incur significant losses for at least the next several years. As of March 31, 2025 and December 31, 2024, we had cash and cash equivalents of $102.7 million and $105.9 million, respectively. For the three months ended March 31, 2025 and 2024, our net losses were $13.8 million and $22.2 million, respectively. Our net cash used in operating activities for the three months ended March 31, 2025 and 2024 was $12.8 million and $10.9 million, respectively.</w:t>
      </w:r>
    </w:p>
    <w:p>
      <w:pPr>
        <w:spacing w:after="0" w:line="179"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On October 31, 2022, we entered into the Loan Agreement under which we may borrow, subject to our achievement of certain milestones, up to a total of $50.0 million in a series of Term Loans described in Note 4 to our condensed consolidated financial statements included elsewhere in this Quarterly Report on Form 10-Q. We had $50.0 million in outstanding Term Loans under the Loan Agreement as of March 31, 2025.</w:t>
      </w:r>
    </w:p>
    <w:p>
      <w:pPr>
        <w:spacing w:after="0" w:line="174"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On November 4, 2022, we entered into an Equity Distribution Agreement with Piper Sandler &amp; Co., as agent, under which we may offer and sell, from time to time at our sole discretion, shares of our common stock having an aggregate offering price of up to $50.0 million in an “at-the-market” (“ATM”) offering, to or through the agent. In January 2024, we commenced this ATM offering and issued 543,462 shares of common stock for gross proceeds of $9.5 million under the ATM offering during the three months ended March 31, 2025. We have remaining capacity to issue and sell up to $6.7 million of additional shares of common stock under this ATM offering.</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liquidity and capital funding requirements will depend on numerous factors, including:</w:t>
      </w:r>
    </w:p>
    <w:p>
      <w:pPr>
        <w:spacing w:after="0" w:line="212"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our investment in our U.S. commercial infrastructure and sales forces;</w:t>
      </w:r>
    </w:p>
    <w:p>
      <w:pPr>
        <w:spacing w:after="0" w:line="224" w:lineRule="exact"/>
        <w:rPr>
          <w:rFonts w:ascii="Times New Roman" w:cs="Times New Roman" w:eastAsia="Times New Roman" w:hAnsi="Times New Roman"/>
          <w:sz w:val="18"/>
          <w:szCs w:val="18"/>
          <w:color w:val="231F20"/>
        </w:rPr>
      </w:pPr>
    </w:p>
    <w:p>
      <w:pPr>
        <w:ind w:left="380" w:right="999" w:hanging="330"/>
        <w:spacing w:after="0" w:line="270" w:lineRule="auto"/>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the degree and rate of market acceptance of Barostim and the ability for our customers to obtain appropriate levels of reimbursement;</w:t>
      </w:r>
    </w:p>
    <w:p>
      <w:pPr>
        <w:spacing w:after="0" w:line="154" w:lineRule="exact"/>
        <w:rPr>
          <w:rFonts w:ascii="Times New Roman" w:cs="Times New Roman" w:eastAsia="Times New Roman" w:hAnsi="Times New Roman"/>
          <w:sz w:val="18"/>
          <w:szCs w:val="18"/>
          <w:color w:val="231F20"/>
        </w:rPr>
      </w:pPr>
    </w:p>
    <w:p>
      <w:pPr>
        <w:ind w:left="380" w:right="1039" w:hanging="330"/>
        <w:spacing w:after="0" w:line="270" w:lineRule="auto"/>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commercialization activities, including product sales, marketing, manufacturing, and distribution;</w:t>
      </w:r>
    </w:p>
    <w:p>
      <w:pPr>
        <w:spacing w:after="0" w:line="15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our R&amp;D activities for product enhancements and to expand our indications;</w:t>
      </w:r>
    </w:p>
    <w:p>
      <w:pPr>
        <w:spacing w:after="0" w:line="224" w:lineRule="exact"/>
        <w:rPr>
          <w:rFonts w:ascii="Times New Roman" w:cs="Times New Roman" w:eastAsia="Times New Roman" w:hAnsi="Times New Roman"/>
          <w:sz w:val="18"/>
          <w:szCs w:val="18"/>
          <w:color w:val="231F20"/>
        </w:rPr>
      </w:pPr>
    </w:p>
    <w:p>
      <w:pPr>
        <w:ind w:left="380" w:right="319" w:hanging="330"/>
        <w:spacing w:after="0" w:line="270" w:lineRule="auto"/>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filing, prosecuting, defending, and enforcing any patent claims and other intellectual property rights;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231F20"/>
        </w:rPr>
        <w:t>our need to implement additional infrastructure and internal systems;</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hire additional personnel to support our operations as a public company; and</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231F20"/>
        </w:rPr>
        <w:t>the emergence of competing technologies or other adverse market developments.</w:t>
      </w:r>
    </w:p>
    <w:p>
      <w:pPr>
        <w:spacing w:after="0" w:line="22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 believe that our existing cash resources together with cash from operations will be sufficient to meet our forecasted requirements for operating liquidity, capital expenditures and debt services for at least the next three years. If these sources are insufficient to satisfy our liquidity requirements, or provide funding to execute or accelerate our growth strategies, however, we may seek to sell additional equity or enter into an additional loan agreement. If we raise additional funds by issuing equity securities, our stockholders would experience dilution. Additional debt financing, if available, may involve covenants further restricting our operations or our ability to incur additional debt. Any such debt financing or additional equity that we raise may contain terms that are not favorable to us or our stockholders.</w:t>
      </w:r>
    </w:p>
    <w:p>
      <w:pPr>
        <w:spacing w:after="0" w:line="180"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Additional financing may not be available at all or may only be available in amounts or on terms that we do not deem to be favorable. If we are unable to obtain additional financing when needed to satisfy our liquidity requirements, we may be required to delay the commercialization and marketing of Barostim.</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center"/>
              <w:ind w:right="5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4"/>
        </w:trPr>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center"/>
              <w:ind w:right="93"/>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9"/>
        </w:trPr>
        <w:tc>
          <w:tcPr>
            <w:tcW w:w="67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center"/>
              <w:ind w:right="53"/>
              <w:spacing w:after="0"/>
              <w:rPr>
                <w:sz w:val="20"/>
                <w:szCs w:val="20"/>
                <w:color w:val="auto"/>
              </w:rPr>
            </w:pPr>
            <w:r>
              <w:rPr>
                <w:rFonts w:ascii="Arial" w:cs="Arial" w:eastAsia="Arial" w:hAnsi="Arial"/>
                <w:sz w:val="14"/>
                <w:szCs w:val="14"/>
                <w:i w:val="1"/>
                <w:iCs w:val="1"/>
                <w:color w:val="auto"/>
              </w:rPr>
              <w:t>(unaudited)</w:t>
            </w:r>
          </w:p>
        </w:tc>
        <w:tc>
          <w:tcPr>
            <w:tcW w:w="0" w:type="dxa"/>
            <w:vAlign w:val="bottom"/>
          </w:tcPr>
          <w:p>
            <w:pPr>
              <w:spacing w:after="0"/>
              <w:rPr>
                <w:sz w:val="1"/>
                <w:szCs w:val="1"/>
                <w:color w:val="auto"/>
              </w:rPr>
            </w:pPr>
          </w:p>
        </w:tc>
      </w:tr>
      <w:tr>
        <w:trPr>
          <w:trHeight w:val="155"/>
        </w:trPr>
        <w:tc>
          <w:tcPr>
            <w:tcW w:w="67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8"/>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(12,767)</w:t>
            </w:r>
          </w:p>
        </w:tc>
        <w:tc>
          <w:tcPr>
            <w:tcW w:w="180" w:type="dxa"/>
            <w:vAlign w:val="bottom"/>
          </w:tcPr>
          <w:p>
            <w:pPr>
              <w:spacing w:after="0"/>
              <w:rPr>
                <w:sz w:val="17"/>
                <w:szCs w:val="17"/>
                <w:color w:val="auto"/>
              </w:rPr>
            </w:pPr>
          </w:p>
        </w:tc>
        <w:tc>
          <w:tcPr>
            <w:tcW w:w="18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(10,896)</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9,615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Effect of currency exchange on cash and cash equivalents</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760" w:type="dxa"/>
            <w:vAlign w:val="bottom"/>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(3,265)</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(10,454)</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operating activities</w:t>
      </w:r>
    </w:p>
    <w:p>
      <w:pPr>
        <w:spacing w:after="0" w:line="210"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Net cash used in operating activities for the three months ended March 31, 2025 was $12.8 million and consisted primarily of a net loss of $ 13.8 million and a change in net operating assets of $1.7 million, partially offset by a non-cash charge of $2.5 million related to stock-based compensation expense. Net operating assets consisted primarily of accrued expenses, inventory, prepaid expenses and other current assets, accounts receivable, and accounts payable to support the growth of our operations.</w:t>
      </w:r>
    </w:p>
    <w:p>
      <w:pPr>
        <w:spacing w:after="0" w:line="176"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Net cash used in operating activities for the three months ended March 31, 2024 was $10.9 million and consisted primarily of a net loss of $22.2 million, partially offset by a non-cash charge of $11.1 million related to stock-based compensation expense.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investing activities:</w:t>
      </w:r>
    </w:p>
    <w:p>
      <w:pPr>
        <w:spacing w:after="0" w:line="210"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Cash used in investing activities was $0.1 million and $0.9 million for the three months ended March 31, 2025 and 2024, respectively, and consisted of purchases of property and equipment.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10"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Net cash provided by financing activities for the three months ended March 31, 2025 was $9.6 million and consisted of $9.2 million related to net proceeds from the issuance of common stock through the ATM offering and $0.4 million related to proceeds from the exercise of common stock options.</w:t>
      </w:r>
    </w:p>
    <w:p>
      <w:pPr>
        <w:spacing w:after="0" w:line="169"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Net cash provided by financing activities for the three months ended March 31, 2024 was $1.4 million and consisted of $0.8 million related to proceeds from the exercise of common stock options and $0.5 million related to net proceeds from the issuance of common stock through the ATM offering.</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216" w:lineRule="exact"/>
        <w:rPr>
          <w:sz w:val="20"/>
          <w:szCs w:val="20"/>
          <w:color w:val="auto"/>
        </w:rPr>
      </w:pPr>
    </w:p>
    <w:p>
      <w:pPr>
        <w:ind w:left="60" w:right="499"/>
        <w:spacing w:after="0" w:line="271" w:lineRule="auto"/>
        <w:rPr>
          <w:sz w:val="20"/>
          <w:szCs w:val="20"/>
          <w:color w:val="auto"/>
        </w:rPr>
      </w:pPr>
      <w:r>
        <w:rPr>
          <w:rFonts w:ascii="Arial" w:cs="Arial" w:eastAsia="Arial" w:hAnsi="Arial"/>
          <w:sz w:val="18"/>
          <w:szCs w:val="18"/>
          <w:color w:val="auto"/>
        </w:rPr>
        <w:t>There have been no material changes to our contractual obligations as of March 31, 2025, as compared to those disclosed in our Annual Report on Form 10-K for the year ended December 31, 2024.</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1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For a discussion of our potential risks and uncertainties, see the information in Part II, Item 7. “Management's Discussion and Analysis of Financial Condition and Results of Operations—Critical accounting policies and estimates" in our Annual Report on Form 10-K for the fiscal year ended December 31, 2024. We have reviewed and determined that those critical accounting policies and estimates remain our critical accounting policies and estimates as of and for the three months ended March 31, 2025.</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JOBS Act accounting election</w:t>
      </w:r>
    </w:p>
    <w:p>
      <w:pPr>
        <w:spacing w:after="0" w:line="21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accounting pronouncements</w:t>
      </w:r>
    </w:p>
    <w:p>
      <w:pPr>
        <w:spacing w:after="0" w:line="216"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color w:val="auto"/>
        </w:rPr>
        <w:t>A discussion of recent accounting pronouncements is included in Note 2 to our condensed consolidated financial statements included elsewhere in this Quarterly Report on Form 10-Q.</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0"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The risk associated with fluctuating interest rates is primarily limited to our cash equivalents and debt issued under the Loan Agreement, which are carried at quoted market prices and the prime rate, respectively. We do not currently use or plan to use financial derivatives in our investment portfolio.</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Portions of our revenue and operating expenses that are incurred outside the U.S. are denominated in foreign currencies and subject to fluctuations due to changes in foreign currency exchange rates, particularly changes in the Euro. Additionally, fluctuations in foreign currency exchange rates may cause us to recognize transaction gains and losses in our condensed consolidated statements of operations and comprehensive loss. To date, foreign currency transaction realized gains and losses have not been material to our condensed consolidated financial statements, and we have not engaged in any foreign currency hedging transactions. As our international operations grow, we will continue to reassess our approach to managing the risks relating to fluctuations in currency rates.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Inflation risk</w:t>
      </w:r>
    </w:p>
    <w:p>
      <w:pPr>
        <w:spacing w:after="0" w:line="210" w:lineRule="exact"/>
        <w:rPr>
          <w:sz w:val="20"/>
          <w:szCs w:val="20"/>
          <w:color w:val="auto"/>
        </w:rPr>
      </w:pPr>
    </w:p>
    <w:p>
      <w:pPr>
        <w:ind w:left="60" w:right="239"/>
        <w:spacing w:after="0" w:line="254" w:lineRule="auto"/>
        <w:rPr>
          <w:sz w:val="20"/>
          <w:szCs w:val="20"/>
          <w:color w:val="auto"/>
        </w:rPr>
      </w:pPr>
      <w:r>
        <w:rPr>
          <w:rFonts w:ascii="Arial" w:cs="Arial" w:eastAsia="Arial" w:hAnsi="Arial"/>
          <w:sz w:val="17"/>
          <w:szCs w:val="17"/>
          <w:color w:val="auto"/>
        </w:rPr>
        <w:t>Inflationary factors, such as increases in our cost of goods sold and operating expenses, may adversely affect our operating results. Although we do not believe that inflation has had a material impact on our financial position or results of operations to date, a high rate of inflation in the future may have an adverse effect on our ability to maintain and increase our gross margin and selling and marketing and operating expenses as</w:t>
      </w:r>
    </w:p>
    <w:p>
      <w:pPr>
        <w:ind w:left="60" w:right="119"/>
        <w:spacing w:after="0" w:line="250" w:lineRule="auto"/>
        <w:rPr>
          <w:sz w:val="20"/>
          <w:szCs w:val="20"/>
          <w:color w:val="auto"/>
        </w:rPr>
      </w:pPr>
      <w:r>
        <w:rPr>
          <w:rFonts w:ascii="Arial" w:cs="Arial" w:eastAsia="Arial" w:hAnsi="Arial"/>
          <w:sz w:val="18"/>
          <w:szCs w:val="18"/>
          <w:color w:val="auto"/>
        </w:rPr>
        <w:t>a percentage of our revenue if the selling prices of our products do not increase as much as or more than these increased costs.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10"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As of March 31, 2025 and December 31, 2024, our cash and cash equivalents were maintained with financial institutions which we believe have sufficient assets and liquidity to conduct their operations in the ordinary course of business with little or no credit risk to us; however, our cash balances were in excess of insured limits.</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Controls and Procedures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management, with the participation of our chief executive officer and our chief financial officer, evaluated the effectiveness of our disclosure controls and procedures as of the end of the period covered by this Quarterly Report on Form 10-Q. Based on that evaluation, our chief executive officer and our chief financial officer concluded that our disclosure controls and procedures were effective, at the reasonable assurance level, as of the end of the period covered by this Quarterly Report on Form 10-Q.</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3"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March 31, 2025, that have materially affected, or are reasonably likely to materially affect, our internal control over financial reporting.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 OTHER INFORMATION</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 Legal Proceedings</w:t>
      </w:r>
    </w:p>
    <w:p>
      <w:pPr>
        <w:spacing w:after="0" w:line="189" w:lineRule="exact"/>
        <w:rPr>
          <w:sz w:val="20"/>
          <w:szCs w:val="20"/>
          <w:color w:val="auto"/>
        </w:rPr>
      </w:pPr>
    </w:p>
    <w:p>
      <w:pPr>
        <w:ind w:left="60" w:right="179"/>
        <w:spacing w:after="0" w:line="303"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legal proceedings.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1A. Risk Factors</w:t>
      </w:r>
    </w:p>
    <w:p>
      <w:pPr>
        <w:spacing w:after="0" w:line="175" w:lineRule="exact"/>
        <w:rPr>
          <w:sz w:val="20"/>
          <w:szCs w:val="20"/>
          <w:color w:val="auto"/>
        </w:rPr>
      </w:pPr>
    </w:p>
    <w:p>
      <w:pPr>
        <w:ind w:left="60" w:right="199"/>
        <w:spacing w:after="0" w:line="292" w:lineRule="auto"/>
        <w:rPr>
          <w:sz w:val="20"/>
          <w:szCs w:val="20"/>
          <w:color w:val="auto"/>
        </w:rPr>
      </w:pPr>
      <w:r>
        <w:rPr>
          <w:rFonts w:ascii="Arial" w:cs="Arial" w:eastAsia="Arial" w:hAnsi="Arial"/>
          <w:sz w:val="18"/>
          <w:szCs w:val="18"/>
          <w:color w:val="auto"/>
        </w:rPr>
        <w:t>For a discussion of our potential risks and uncertainties, see the information in Part I, Item IA. “Risk Factors” in our Annual Report on Form 10-K for the year ended December 31, 2024. Other than the risk factor set forth below, there have been no material changes to the risk factors disclosed in our Annual Report on Form 10-K.</w:t>
      </w:r>
    </w:p>
    <w:p>
      <w:pPr>
        <w:spacing w:after="0" w:line="165" w:lineRule="exact"/>
        <w:rPr>
          <w:sz w:val="20"/>
          <w:szCs w:val="20"/>
          <w:color w:val="auto"/>
        </w:rPr>
      </w:pPr>
    </w:p>
    <w:p>
      <w:pPr>
        <w:ind w:left="60" w:right="179"/>
        <w:spacing w:after="0" w:line="325" w:lineRule="auto"/>
        <w:rPr>
          <w:sz w:val="20"/>
          <w:szCs w:val="20"/>
          <w:color w:val="auto"/>
        </w:rPr>
      </w:pPr>
      <w:r>
        <w:rPr>
          <w:rFonts w:ascii="Arial" w:cs="Arial" w:eastAsia="Arial" w:hAnsi="Arial"/>
          <w:sz w:val="18"/>
          <w:szCs w:val="18"/>
          <w:b w:val="1"/>
          <w:bCs w:val="1"/>
          <w:i w:val="1"/>
          <w:iCs w:val="1"/>
          <w:color w:val="231F20"/>
        </w:rPr>
        <w:t>Barostim is also subject to extensive governmental regulation in foreign jurisdictions, such as Europe, and our failure to comply with applicable requirements could cause our business to suffer.</w:t>
      </w:r>
    </w:p>
    <w:p>
      <w:pPr>
        <w:spacing w:after="0" w:line="112"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In the European Economic Area (“EEA”), Barostim was required to comply with the Essential Requirements laid down in Annex I to the European Union (“EU”) Active Implantable Medical Devices Directive. Compliance with these requirements was a prerequisite to affixing the CE mark to Barostim. To demonstrate compliance with the Essential Requirements and obtain the right to affix the CE Mark to Barostim, we underwent a conformity assessment procedure, which varied according to the type of medical device and its classification. Except for low-risk medical devices (Class I with no measuring function and which are not sterile), where the manufacturer could issue an EU Declaration of Conformity based on a self-assessment of the conformity of its products with the Essential Requirements, a conformity assessment procedure required the intervention of a Notified Body, which is an organization designated by a competent authority of an EEA country to conduct conformity assessments. Depending on the relevant conformity assessment procedure, the Notified Body would audit the Quality Management System and examine the Technical File for the manufacture, design and final inspection of our devices. The Notified Body would issue a CE Certificate of Conformity following successful completion of this conformity assessment procedure conducted in relation to the medical device and its manufacturer and their conformity with the Essential Requirements. This Certificate would entitle the manufacturer to affix the CE mark to its medical devices after having prepared and signed a related EU Declaration of Conformity.</w:t>
      </w:r>
    </w:p>
    <w:p>
      <w:pPr>
        <w:spacing w:after="0" w:line="78" w:lineRule="exact"/>
        <w:rPr>
          <w:sz w:val="20"/>
          <w:szCs w:val="20"/>
          <w:color w:val="auto"/>
        </w:rPr>
      </w:pPr>
    </w:p>
    <w:p>
      <w:pPr>
        <w:ind w:left="60" w:right="199"/>
        <w:spacing w:after="0" w:line="251" w:lineRule="auto"/>
        <w:rPr>
          <w:sz w:val="20"/>
          <w:szCs w:val="20"/>
          <w:color w:val="auto"/>
        </w:rPr>
      </w:pPr>
      <w:r>
        <w:rPr>
          <w:rFonts w:ascii="Arial" w:cs="Arial" w:eastAsia="Arial" w:hAnsi="Arial"/>
          <w:sz w:val="17"/>
          <w:szCs w:val="17"/>
          <w:color w:val="auto"/>
        </w:rPr>
        <w:t>As a general rule, demonstration of conformity of medical devices and their manufacturers with the Essential Requirements must be based on, among other things,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w:t>
      </w:r>
    </w:p>
    <w:p>
      <w:pPr>
        <w:spacing w:after="0" w:line="1" w:lineRule="exact"/>
        <w:rPr>
          <w:sz w:val="20"/>
          <w:szCs w:val="20"/>
          <w:color w:val="auto"/>
        </w:rPr>
      </w:pPr>
    </w:p>
    <w:p>
      <w:pPr>
        <w:ind w:left="60" w:right="259" w:hanging="10"/>
        <w:spacing w:after="0" w:line="238" w:lineRule="auto"/>
        <w:tabs>
          <w:tab w:leader="none" w:pos="330" w:val="left"/>
        </w:tabs>
        <w:numPr>
          <w:ilvl w:val="0"/>
          <w:numId w:val="8"/>
        </w:numPr>
        <w:rPr>
          <w:rFonts w:ascii="Arial" w:cs="Arial" w:eastAsia="Arial" w:hAnsi="Arial"/>
          <w:sz w:val="18"/>
          <w:szCs w:val="18"/>
          <w:color w:val="auto"/>
        </w:rPr>
      </w:pPr>
      <w:r>
        <w:rPr>
          <w:rFonts w:ascii="Arial" w:cs="Arial" w:eastAsia="Arial" w:hAnsi="Arial"/>
          <w:sz w:val="18"/>
          <w:szCs w:val="18"/>
          <w:color w:val="auto"/>
        </w:rPr>
        <w:t>both clinical studies and scientific literature.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73" w:lineRule="exact"/>
        <w:rPr>
          <w:sz w:val="20"/>
          <w:szCs w:val="20"/>
          <w:color w:val="auto"/>
        </w:rPr>
      </w:pPr>
    </w:p>
    <w:p>
      <w:pPr>
        <w:ind w:left="60" w:right="319"/>
        <w:spacing w:after="0" w:line="261" w:lineRule="auto"/>
        <w:rPr>
          <w:sz w:val="20"/>
          <w:szCs w:val="20"/>
          <w:color w:val="auto"/>
        </w:rPr>
      </w:pPr>
      <w:r>
        <w:rPr>
          <w:rFonts w:ascii="Arial" w:cs="Arial" w:eastAsia="Arial" w:hAnsi="Arial"/>
          <w:sz w:val="17"/>
          <w:szCs w:val="17"/>
          <w:color w:val="auto"/>
        </w:rPr>
        <w:t>Regulations in the EU were updated to require compliance to Regulation (EU) 2017/745 on Medical Devices (“MDR”). Additional amendments to the regulation have delayed required implementation dates to December 31, 2027. Compliance with the new regulation required extensive updates to the quality system and device technical file documentation to new requirements. Updates were made and annual Notified Body inspections assessing compliance of the quality system to the MDR have been ongoing since 2020. An application was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made for Barostim to comply with the general safety and performance requirements of the EU MDR. Final approval and certificates of compliance for both the technical file and quality system were issued on April 9, 2025. We are required to continue to submit updates for any substantial changes to the design, manufacturing or quality system for assessment against the MDR requirements. Annual audits by the Notified Body are required to verify that we continue to meet the MDR requirements. The current integrated platform technology, Barostim is approved under the MDR. Barostim Legacy is not approved under MDR, but can still be sold under the Active Implantable Medical Device Directive (“AIMDD”) approval through 2027. Failing to continue to comply with applicable foreign regulatory requirements, including those administered by authorities of the EEA countries, could result in enforcement actions against us, including refusal, suspension, or withdrawal of our CE Certificates of Conformity by our Notified Body (the National Standards Authority of Ireland), which could impair our ability to market products in the EEA in the future.</w:t>
      </w:r>
    </w:p>
    <w:p>
      <w:pPr>
        <w:spacing w:after="0" w:line="2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Mine Safety Disclosures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5. Other Information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Adoption, Modification or Termination of Rule 10b5-1 Plans and Certain Other Trading Arrangements</w:t>
      </w:r>
    </w:p>
    <w:p>
      <w:pPr>
        <w:spacing w:after="0" w:line="212" w:lineRule="exact"/>
        <w:rPr>
          <w:sz w:val="20"/>
          <w:szCs w:val="20"/>
          <w:color w:val="auto"/>
        </w:rPr>
      </w:pPr>
    </w:p>
    <w:p>
      <w:pPr>
        <w:ind w:left="60" w:right="439"/>
        <w:spacing w:after="0" w:line="253" w:lineRule="auto"/>
        <w:rPr>
          <w:sz w:val="20"/>
          <w:szCs w:val="20"/>
          <w:color w:val="auto"/>
        </w:rPr>
      </w:pPr>
      <w:r>
        <w:rPr>
          <w:rFonts w:ascii="Arial" w:cs="Arial" w:eastAsia="Arial" w:hAnsi="Arial"/>
          <w:sz w:val="18"/>
          <w:szCs w:val="18"/>
          <w:color w:val="auto"/>
        </w:rPr>
        <w:t>During the three months ended March 31, 2025, none of our directors or officers adopted, modified or terminated a “Rule 10b5-1 trading arrangement” or “non-Rule 10b5-1 trading arrangement,” as each term is defined in Item 408(a) of Regulation S-K.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6. Exhibits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97"/>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20" w:type="dxa"/>
            <w:vAlign w:val="bottom"/>
            <w:gridSpan w:val="8"/>
          </w:tcPr>
          <w:p>
            <w:pPr>
              <w:ind w:left="2680"/>
              <w:spacing w:after="0"/>
              <w:rPr>
                <w:sz w:val="20"/>
                <w:szCs w:val="20"/>
                <w:color w:val="auto"/>
              </w:rPr>
            </w:pPr>
            <w:r>
              <w:rPr>
                <w:rFonts w:ascii="Arial" w:cs="Arial" w:eastAsia="Arial" w:hAnsi="Arial"/>
                <w:sz w:val="22"/>
                <w:szCs w:val="22"/>
                <w:b w:val="1"/>
                <w:bCs w:val="1"/>
                <w:color w:val="auto"/>
              </w:rPr>
              <w:t>EXHIBIT INDEX</w:t>
            </w:r>
          </w:p>
        </w:tc>
      </w:tr>
      <w:tr>
        <w:trPr>
          <w:trHeight w:val="437"/>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820" w:type="dxa"/>
            <w:vAlign w:val="bottom"/>
          </w:tcPr>
          <w:p>
            <w:pPr>
              <w:spacing w:after="0"/>
              <w:rPr>
                <w:sz w:val="20"/>
                <w:szCs w:val="20"/>
                <w:color w:val="auto"/>
              </w:rPr>
            </w:pPr>
            <w:r>
              <w:rPr>
                <w:rFonts w:ascii="Arial" w:cs="Arial" w:eastAsia="Arial" w:hAnsi="Arial"/>
                <w:sz w:val="14"/>
                <w:szCs w:val="14"/>
                <w:b w:val="1"/>
                <w:bCs w:val="1"/>
                <w:color w:val="auto"/>
              </w:rPr>
              <w:t>No.</w:t>
            </w:r>
          </w:p>
        </w:tc>
        <w:tc>
          <w:tcPr>
            <w:tcW w:w="8080" w:type="dxa"/>
            <w:vAlign w:val="bottom"/>
            <w:gridSpan w:val="9"/>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372"/>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7920" w:type="dxa"/>
            <w:vAlign w:val="bottom"/>
            <w:tcBorders>
              <w:top w:val="single" w:sz="8" w:color="auto"/>
            </w:tcBorders>
            <w:gridSpan w:val="8"/>
          </w:tcPr>
          <w:p>
            <w:pPr>
              <w:spacing w:after="0"/>
              <w:rPr>
                <w:rFonts w:ascii="Arial" w:cs="Arial" w:eastAsia="Arial" w:hAnsi="Arial"/>
                <w:sz w:val="18"/>
                <w:szCs w:val="18"/>
                <w:color w:val="0000EE"/>
              </w:rPr>
            </w:pPr>
            <w:hyperlink r:id="rId44">
              <w:r>
                <w:rPr>
                  <w:rFonts w:ascii="Arial" w:cs="Arial" w:eastAsia="Arial" w:hAnsi="Arial"/>
                  <w:sz w:val="18"/>
                  <w:szCs w:val="18"/>
                  <w:color w:val="0000EE"/>
                </w:rPr>
                <w:t>Restated Certificate of Incorporation of CVRx, Inc. (incorporated by reference to Exhibit 3.1 to the</w:t>
              </w:r>
            </w:hyperlink>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6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44">
              <w:r>
                <w:rPr>
                  <w:rFonts w:ascii="Arial" w:cs="Arial" w:eastAsia="Arial" w:hAnsi="Arial"/>
                  <w:sz w:val="18"/>
                  <w:szCs w:val="18"/>
                  <w:color w:val="0000EE"/>
                </w:rPr>
                <w:t>Company’s Current Report on Form 8-K filed on June 7, 2024)</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7920" w:type="dxa"/>
            <w:vAlign w:val="bottom"/>
            <w:gridSpan w:val="8"/>
          </w:tcPr>
          <w:p>
            <w:pPr>
              <w:spacing w:after="0"/>
              <w:rPr>
                <w:rFonts w:ascii="Arial" w:cs="Arial" w:eastAsia="Arial" w:hAnsi="Arial"/>
                <w:sz w:val="18"/>
                <w:szCs w:val="18"/>
                <w:color w:val="0000EE"/>
              </w:rPr>
            </w:pPr>
            <w:hyperlink r:id="rId45">
              <w:r>
                <w:rPr>
                  <w:rFonts w:ascii="Arial" w:cs="Arial" w:eastAsia="Arial" w:hAnsi="Arial"/>
                  <w:sz w:val="18"/>
                  <w:szCs w:val="18"/>
                  <w:color w:val="0000EE"/>
                </w:rPr>
                <w:t>Amended and Restated By-Laws of CVRx, Inc. (incorporated by reference to Exhibit 3.2 to the</w:t>
              </w:r>
            </w:hyperlink>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9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rPr>
            </w:pPr>
            <w:hyperlink r:id="rId45">
              <w:r>
                <w:rPr>
                  <w:rFonts w:ascii="Arial" w:cs="Arial" w:eastAsia="Arial" w:hAnsi="Arial"/>
                  <w:sz w:val="18"/>
                  <w:szCs w:val="18"/>
                  <w:color w:val="0000EE"/>
                </w:rPr>
                <w:t>Company’s Current Report on Form 8-K filed on July 7, 2021)</w:t>
              </w:r>
            </w:hyperlink>
          </w:p>
        </w:tc>
        <w:tc>
          <w:tcPr>
            <w:tcW w:w="2540" w:type="dxa"/>
            <w:vAlign w:val="bottom"/>
            <w:tcBorders>
              <w:top w:val="single" w:sz="8" w:color="0000EE"/>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31.1</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8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Certification of Chief Executive Officer Pursuant to Section 302 of the Sarbanes-Oxley Act of 2002</w:t>
            </w:r>
          </w:p>
        </w:tc>
        <w:tc>
          <w:tcPr>
            <w:tcW w:w="120" w:type="dxa"/>
            <w:vAlign w:val="bottom"/>
            <w:gridSpan w:val="2"/>
          </w:tcPr>
          <w:p>
            <w:pPr>
              <w:spacing w:after="0"/>
              <w:rPr>
                <w:sz w:val="24"/>
                <w:szCs w:val="24"/>
                <w:color w:val="auto"/>
              </w:rPr>
            </w:pP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31.2</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7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Certification of Chief Financial Officer Pursuant to Section 302 of the Sarbanes-Oxley Act of 2002</w:t>
            </w:r>
          </w:p>
        </w:tc>
        <w:tc>
          <w:tcPr>
            <w:tcW w:w="180" w:type="dxa"/>
            <w:vAlign w:val="bottom"/>
            <w:gridSpan w:val="4"/>
          </w:tcPr>
          <w:p>
            <w:pPr>
              <w:spacing w:after="0"/>
              <w:rPr>
                <w:sz w:val="24"/>
                <w:szCs w:val="24"/>
                <w:color w:val="auto"/>
              </w:rPr>
            </w:pPr>
          </w:p>
        </w:tc>
      </w:tr>
      <w:tr>
        <w:trPr>
          <w:trHeight w:val="399"/>
        </w:trPr>
        <w:tc>
          <w:tcPr>
            <w:tcW w:w="820" w:type="dxa"/>
            <w:vAlign w:val="bottom"/>
          </w:tcPr>
          <w:p>
            <w:pPr>
              <w:spacing w:after="0"/>
              <w:rPr>
                <w:sz w:val="20"/>
                <w:szCs w:val="20"/>
                <w:color w:val="auto"/>
              </w:rPr>
            </w:pPr>
            <w:r>
              <w:rPr>
                <w:rFonts w:ascii="Arial" w:cs="Arial" w:eastAsia="Arial" w:hAnsi="Arial"/>
                <w:sz w:val="18"/>
                <w:szCs w:val="18"/>
                <w:color w:val="auto"/>
              </w:rPr>
              <w:t>32.1</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920" w:type="dxa"/>
            <w:vAlign w:val="bottom"/>
            <w:gridSpan w:val="8"/>
          </w:tcPr>
          <w:p>
            <w:pPr>
              <w:spacing w:after="0"/>
              <w:rPr>
                <w:sz w:val="20"/>
                <w:szCs w:val="20"/>
                <w:color w:val="auto"/>
              </w:rPr>
            </w:pPr>
            <w:r>
              <w:rPr>
                <w:rFonts w:ascii="Arial" w:cs="Arial" w:eastAsia="Arial" w:hAnsi="Arial"/>
                <w:sz w:val="18"/>
                <w:szCs w:val="18"/>
                <w:color w:val="0000EE"/>
              </w:rPr>
              <w:t>Certification of Chief Executive Officer Pursuant to 18 U.S.C. Section 1350, as adopted pursuant to</w:t>
            </w: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c>
          <w:tcPr>
            <w:tcW w:w="6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32.2</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920" w:type="dxa"/>
            <w:vAlign w:val="bottom"/>
            <w:gridSpan w:val="8"/>
          </w:tcPr>
          <w:p>
            <w:pPr>
              <w:spacing w:after="0"/>
              <w:rPr>
                <w:sz w:val="20"/>
                <w:szCs w:val="20"/>
                <w:color w:val="auto"/>
              </w:rPr>
            </w:pPr>
            <w:r>
              <w:rPr>
                <w:rFonts w:ascii="Arial" w:cs="Arial" w:eastAsia="Arial" w:hAnsi="Arial"/>
                <w:sz w:val="18"/>
                <w:szCs w:val="18"/>
                <w:color w:val="0000EE"/>
              </w:rPr>
              <w:t>Certification of Chief Financial Officer Pursuant to 18 U.S.C. Section 1350, as adopted pursuant to</w:t>
            </w: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c>
          <w:tcPr>
            <w:tcW w:w="120" w:type="dxa"/>
            <w:vAlign w:val="bottom"/>
            <w:gridSpan w:val="2"/>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040" w:right="279" w:hanging="983"/>
        <w:spacing w:after="0" w:line="286" w:lineRule="auto"/>
        <w:tabs>
          <w:tab w:leader="none" w:pos="1020" w:val="left"/>
        </w:tabs>
        <w:rPr>
          <w:sz w:val="20"/>
          <w:szCs w:val="20"/>
          <w:color w:val="auto"/>
        </w:rPr>
      </w:pPr>
      <w:r>
        <w:rPr>
          <w:rFonts w:ascii="Arial" w:cs="Arial" w:eastAsia="Arial" w:hAnsi="Arial"/>
          <w:sz w:val="18"/>
          <w:szCs w:val="18"/>
          <w:color w:val="auto"/>
        </w:rPr>
        <w:t>101.INS</w:t>
      </w:r>
      <w:r>
        <w:rPr>
          <w:rFonts w:ascii="Times New Roman" w:cs="Times New Roman" w:eastAsia="Times New Roman" w:hAnsi="Times New Roman"/>
          <w:sz w:val="18"/>
          <w:szCs w:val="18"/>
          <w:color w:val="auto"/>
        </w:rPr>
        <w:t>†</w:t>
      </w:r>
      <w:r>
        <w:rPr>
          <w:rFonts w:ascii="Arial" w:cs="Arial" w:eastAsia="Arial" w:hAnsi="Arial"/>
          <w:sz w:val="18"/>
          <w:szCs w:val="18"/>
          <w:color w:val="auto"/>
        </w:rPr>
        <w:tab/>
        <w:t xml:space="preserve">Inline XBRL Instance Document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instance document does not appear in the Interactive Data File because its XBRL tags are embedded within the Inline XBRL document</w:t>
      </w:r>
    </w:p>
    <w:p>
      <w:pPr>
        <w:spacing w:after="0" w:line="127"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101.SCH</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Schema Document</w:t>
      </w:r>
    </w:p>
    <w:p>
      <w:pPr>
        <w:spacing w:after="0" w:line="21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101.CAL</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Calculation Linkbase Document</w:t>
      </w:r>
    </w:p>
    <w:p>
      <w:pPr>
        <w:spacing w:after="0" w:line="21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101.DEF</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Definition Linkbase Document</w:t>
      </w:r>
    </w:p>
    <w:p>
      <w:pPr>
        <w:spacing w:after="0" w:line="21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101.LAB</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Label Linkbase Document</w:t>
      </w:r>
    </w:p>
    <w:p>
      <w:pPr>
        <w:spacing w:after="0" w:line="21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101.PRE</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Presentation Linkbase Document</w:t>
      </w:r>
    </w:p>
    <w:p>
      <w:pPr>
        <w:spacing w:after="0" w:line="21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104</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Cover Page Interactive Data File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1414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91" w:lineRule="exact"/>
        <w:rPr>
          <w:sz w:val="20"/>
          <w:szCs w:val="20"/>
          <w:color w:val="auto"/>
        </w:rPr>
      </w:pPr>
    </w:p>
    <w:p>
      <w:pPr>
        <w:ind w:left="380" w:hanging="330"/>
        <w:spacing w:after="0"/>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6"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9, 2025</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CVRX, INC.</w:t>
      </w:r>
    </w:p>
    <w:p>
      <w:pPr>
        <w:spacing w:after="0" w:line="225" w:lineRule="exact"/>
        <w:rPr>
          <w:sz w:val="20"/>
          <w:szCs w:val="20"/>
          <w:color w:val="auto"/>
        </w:rPr>
      </w:pPr>
    </w:p>
    <w:p>
      <w:pPr>
        <w:ind w:left="394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Hykes</w:t>
      </w:r>
    </w:p>
    <w:p>
      <w:pPr>
        <w:spacing w:after="0" w:line="1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Kevin Hykes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117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ind w:left="3940"/>
        <w:spacing w:after="0"/>
        <w:tabs>
          <w:tab w:leader="none" w:pos="4500" w:val="left"/>
        </w:tabs>
        <w:rPr>
          <w:sz w:val="20"/>
          <w:szCs w:val="20"/>
          <w:color w:val="auto"/>
        </w:rPr>
      </w:pPr>
      <w:r>
        <w:rPr>
          <w:rFonts w:ascii="Arial" w:cs="Arial" w:eastAsia="Arial" w:hAnsi="Arial"/>
          <w:sz w:val="18"/>
          <w:szCs w:val="18"/>
          <w:color w:val="auto"/>
        </w:rPr>
        <w:t>Title:</w:t>
        <w:tab/>
        <w:t>President and Chief Executive Officer</w:t>
      </w:r>
    </w:p>
    <w:p>
      <w:pPr>
        <w:ind w:left="4520"/>
        <w:spacing w:after="0"/>
        <w:rPr>
          <w:sz w:val="20"/>
          <w:szCs w:val="20"/>
          <w:color w:val="auto"/>
        </w:rPr>
      </w:pPr>
      <w:r>
        <w:rPr>
          <w:rFonts w:ascii="Arial" w:cs="Arial" w:eastAsia="Arial" w:hAnsi="Arial"/>
          <w:sz w:val="18"/>
          <w:szCs w:val="18"/>
          <w:color w:val="auto"/>
        </w:rPr>
        <w:t>(Principal Executive Officer)</w:t>
      </w:r>
    </w:p>
    <w:p>
      <w:pPr>
        <w:spacing w:after="0" w:line="194" w:lineRule="exact"/>
        <w:rPr>
          <w:sz w:val="20"/>
          <w:szCs w:val="20"/>
          <w:color w:val="auto"/>
        </w:rPr>
      </w:pPr>
    </w:p>
    <w:p>
      <w:pPr>
        <w:ind w:left="394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Jared Oasheim</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117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ind w:left="3940"/>
        <w:spacing w:after="0"/>
        <w:tabs>
          <w:tab w:leader="none" w:pos="4500" w:val="left"/>
        </w:tabs>
        <w:rPr>
          <w:sz w:val="20"/>
          <w:szCs w:val="20"/>
          <w:color w:val="auto"/>
        </w:rPr>
      </w:pPr>
      <w:r>
        <w:rPr>
          <w:rFonts w:ascii="Arial" w:cs="Arial" w:eastAsia="Arial" w:hAnsi="Arial"/>
          <w:sz w:val="18"/>
          <w:szCs w:val="18"/>
          <w:color w:val="auto"/>
        </w:rPr>
        <w:t>Title:</w:t>
        <w:tab/>
        <w:t>Chief Financial Officer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Hykes, certify that:</w:t>
      </w:r>
    </w:p>
    <w:p>
      <w:pPr>
        <w:spacing w:after="0" w:line="117" w:lineRule="exact"/>
        <w:rPr>
          <w:sz w:val="20"/>
          <w:szCs w:val="20"/>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CVRx, Inc.;</w:t>
      </w:r>
    </w:p>
    <w:p>
      <w:pPr>
        <w:spacing w:after="0" w:line="117"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80" w:right="300" w:hanging="648"/>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320" w:hanging="640"/>
        <w:spacing w:after="0" w:line="261"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620" w:right="40" w:hanging="640"/>
        <w:spacing w:after="0" w:line="261"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620" w:right="180" w:hanging="640"/>
        <w:spacing w:after="0" w:line="266"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60" w:hanging="640"/>
        <w:spacing w:after="0" w:line="261"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980" w:right="240" w:hanging="648"/>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620" w:right="120" w:hanging="640"/>
        <w:spacing w:after="0" w:line="266"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620" w:right="200" w:hanging="640"/>
        <w:spacing w:after="0" w:line="282"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Kevin Hykes</w:t>
            </w:r>
          </w:p>
        </w:tc>
        <w:tc>
          <w:tcPr>
            <w:tcW w:w="0" w:type="dxa"/>
            <w:vAlign w:val="bottom"/>
          </w:tcPr>
          <w:p>
            <w:pPr>
              <w:spacing w:after="0"/>
              <w:rPr>
                <w:sz w:val="1"/>
                <w:szCs w:val="1"/>
                <w:color w:val="auto"/>
              </w:rPr>
            </w:pPr>
          </w:p>
        </w:tc>
      </w:tr>
      <w:tr>
        <w:trPr>
          <w:trHeight w:val="27"/>
        </w:trPr>
        <w:tc>
          <w:tcPr>
            <w:tcW w:w="5660" w:type="dxa"/>
            <w:vAlign w:val="bottom"/>
            <w:vMerge w:val="restart"/>
          </w:tcPr>
          <w:p>
            <w:pPr>
              <w:ind w:left="5160"/>
              <w:spacing w:after="0"/>
              <w:rPr>
                <w:sz w:val="20"/>
                <w:szCs w:val="20"/>
                <w:color w:val="auto"/>
              </w:rPr>
            </w:pPr>
            <w:r>
              <w:rPr>
                <w:rFonts w:ascii="Times New Roman" w:cs="Times New Roman" w:eastAsia="Times New Roman" w:hAnsi="Times New Roman"/>
                <w:sz w:val="18"/>
                <w:szCs w:val="18"/>
                <w:color w:val="auto"/>
                <w:w w:val="99"/>
              </w:rPr>
              <w:t>Name:</w:t>
            </w:r>
          </w:p>
        </w:tc>
        <w:tc>
          <w:tcPr>
            <w:tcW w:w="40" w:type="dxa"/>
            <w:vAlign w:val="bottom"/>
            <w:vMerge w:val="restart"/>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Kevin Hykes</w:t>
            </w:r>
          </w:p>
        </w:tc>
        <w:tc>
          <w:tcPr>
            <w:tcW w:w="0" w:type="dxa"/>
            <w:vAlign w:val="bottom"/>
          </w:tcPr>
          <w:p>
            <w:pPr>
              <w:spacing w:after="0"/>
              <w:rPr>
                <w:sz w:val="1"/>
                <w:szCs w:val="1"/>
                <w:color w:val="auto"/>
              </w:rPr>
            </w:pPr>
          </w:p>
        </w:tc>
      </w:tr>
      <w:tr>
        <w:trPr>
          <w:trHeight w:val="234"/>
        </w:trPr>
        <w:tc>
          <w:tcPr>
            <w:tcW w:w="56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Jared Oasheim, certify that:</w:t>
      </w:r>
    </w:p>
    <w:p>
      <w:pPr>
        <w:spacing w:after="0" w:line="117" w:lineRule="exact"/>
        <w:rPr>
          <w:sz w:val="20"/>
          <w:szCs w:val="20"/>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CVRx, Inc.;</w:t>
      </w:r>
    </w:p>
    <w:p>
      <w:pPr>
        <w:spacing w:after="0" w:line="117"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80" w:right="300" w:hanging="648"/>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320" w:hanging="640"/>
        <w:spacing w:after="0" w:line="261" w:lineRule="auto"/>
        <w:tabs>
          <w:tab w:leader="none" w:pos="1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620" w:right="40" w:hanging="640"/>
        <w:spacing w:after="0" w:line="261" w:lineRule="auto"/>
        <w:tabs>
          <w:tab w:leader="none" w:pos="1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620" w:right="180" w:hanging="640"/>
        <w:spacing w:after="0" w:line="266" w:lineRule="auto"/>
        <w:tabs>
          <w:tab w:leader="none" w:pos="1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60" w:hanging="640"/>
        <w:spacing w:after="0" w:line="261" w:lineRule="auto"/>
        <w:tabs>
          <w:tab w:leader="none" w:pos="1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980" w:right="240" w:hanging="648"/>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620" w:right="120" w:hanging="640"/>
        <w:spacing w:after="0" w:line="266" w:lineRule="auto"/>
        <w:tabs>
          <w:tab w:leader="none" w:pos="1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620" w:right="200" w:hanging="640"/>
        <w:spacing w:after="0" w:line="282" w:lineRule="auto"/>
        <w:tabs>
          <w:tab w:leader="none" w:pos="1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279" w:lineRule="exact"/>
        <w:rPr>
          <w:sz w:val="20"/>
          <w:szCs w:val="20"/>
          <w:color w:val="auto"/>
        </w:rPr>
      </w:pPr>
    </w:p>
    <w:p>
      <w:pPr>
        <w:ind w:left="516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Jared Oasheim</w:t>
      </w:r>
    </w:p>
    <w:p>
      <w:pPr>
        <w:spacing w:after="0" w:line="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-119380</wp:posOffset>
            </wp:positionV>
            <wp:extent cx="26657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1" w:lineRule="exact"/>
        <w:rPr>
          <w:sz w:val="20"/>
          <w:szCs w:val="20"/>
          <w:color w:val="auto"/>
        </w:rPr>
      </w:pPr>
    </w:p>
    <w:p>
      <w:pPr>
        <w:ind w:left="5160"/>
        <w:spacing w:after="0"/>
        <w:tabs>
          <w:tab w:leader="none" w:pos="5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CVRx, Inc. (the “Company”) on Form 10-Q for the period ended March 31, 2025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22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Kevin Hykes</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00" w:type="dxa"/>
            <w:vAlign w:val="bottom"/>
            <w:vMerge w:val="continue"/>
          </w:tcPr>
          <w:p>
            <w:pPr>
              <w:spacing w:after="0"/>
              <w:rPr>
                <w:sz w:val="17"/>
                <w:szCs w:val="17"/>
                <w:color w:val="auto"/>
              </w:rPr>
            </w:pPr>
          </w:p>
        </w:tc>
        <w:tc>
          <w:tcPr>
            <w:tcW w:w="43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Kevin Hykes</w:t>
            </w:r>
          </w:p>
        </w:tc>
        <w:tc>
          <w:tcPr>
            <w:tcW w:w="0" w:type="dxa"/>
            <w:vAlign w:val="bottom"/>
          </w:tcPr>
          <w:p>
            <w:pPr>
              <w:spacing w:after="0"/>
              <w:rPr>
                <w:sz w:val="1"/>
                <w:szCs w:val="1"/>
                <w:color w:val="auto"/>
              </w:rPr>
            </w:pPr>
          </w:p>
        </w:tc>
      </w:t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31" w:right="99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CVRx, Inc. (the “Company”) on Form 10-Q for the period ended March 31, 2025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22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Jared Oasheim</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00" w:type="dxa"/>
            <w:vAlign w:val="bottom"/>
            <w:vMerge w:val="continue"/>
          </w:tcPr>
          <w:p>
            <w:pPr>
              <w:spacing w:after="0"/>
              <w:rPr>
                <w:sz w:val="17"/>
                <w:szCs w:val="17"/>
                <w:color w:val="auto"/>
              </w:rPr>
            </w:pPr>
          </w:p>
        </w:tc>
        <w:tc>
          <w:tcPr>
            <w:tcW w:w="43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Jared Oasheim</w:t>
            </w:r>
          </w:p>
        </w:tc>
        <w:tc>
          <w:tcPr>
            <w:tcW w:w="0" w:type="dxa"/>
            <w:vAlign w:val="bottom"/>
          </w:tcPr>
          <w:p>
            <w:pPr>
              <w:spacing w:after="0"/>
              <w:rPr>
                <w:sz w:val="1"/>
                <w:szCs w:val="1"/>
                <w:color w:val="auto"/>
              </w:rPr>
            </w:pPr>
          </w:p>
        </w:tc>
      </w:t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13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3"/>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44" Type="http://schemas.openxmlformats.org/officeDocument/2006/relationships/hyperlink" Target="https://www.sec.gov/Archives/edgar/data/1235912/000110465924069657/tm2416672d1_ex3-1.htm" TargetMode="External"/><Relationship Id="rId45" Type="http://schemas.openxmlformats.org/officeDocument/2006/relationships/hyperlink" Target="https://www.sec.gov/Archives/edgar/data/1235912/000110465921089779/tm2121505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2025-05-09T07:47:21Z</dcterms:created>
  <dcterms:modified xsi:type="dcterms:W3CDTF">2025-05-09T07:47:21Z</dcterms:modified>
</cp:coreProperties>
</file>