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24"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FORM 10-Q</w:t>
      </w:r>
    </w:p>
    <w:p>
      <w:pPr>
        <w:pStyle w:val="TextBody"/>
        <w:bidi w:val="0"/>
        <w:spacing w:lineRule="auto" w:line="288" w:before="0" w:after="8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(Mark One)</w:t>
      </w:r>
    </w:p>
    <w:tbl>
      <w:tblPr>
        <w:tblW w:w="1004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40"/>
        <w:gridCol w:w="2740"/>
        <w:gridCol w:w="389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2740" w:type="dxa"/>
            <w:tcBorders/>
            <w:vAlign w:val="center"/>
          </w:tcPr>
          <w:p>
            <w:pPr>
              <w:pStyle w:val="TableContents"/>
              <w:bidi w:val="0"/>
              <w:spacing w:before="0" w:after="283"/>
              <w:jc w:val="left"/>
              <w:rPr>
                <w:sz w:val="4"/>
                <w:szCs w:val="4"/>
              </w:rPr>
            </w:pPr>
            <w:r>
              <w:rPr>
                <w:sz w:val="4"/>
                <w:szCs w:val="4"/>
              </w:rPr>
            </w:r>
          </w:p>
        </w:tc>
        <w:tc>
          <w:tcPr>
            <w:tcW w:w="3894"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3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QUARTERLY REPORT PURSUANT TO SECTION 13 OR 15(d) OF THE SECURITIES EXCHANGE ACT OF 1934</w:t>
            </w:r>
          </w:p>
        </w:tc>
      </w:tr>
    </w:tbl>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For the quarterly period ended September 30, 2026</w:t>
      </w:r>
    </w:p>
    <w:p>
      <w:pPr>
        <w:pStyle w:val="TextBody"/>
        <w:bidi w:val="0"/>
        <w:spacing w:lineRule="auto" w:line="288" w:before="0" w:after="60"/>
        <w:jc w:val="center"/>
        <w:rPr>
          <w:rFonts w:ascii="Arial;sans-serif" w:hAnsi="Arial;sans-serif"/>
          <w:b/>
          <w:color w:val="000000"/>
          <w:sz w:val="16"/>
        </w:rPr>
      </w:pPr>
      <w:r>
        <w:rPr>
          <w:rFonts w:ascii="Arial;sans-serif" w:hAnsi="Arial;sans-serif"/>
          <w:b/>
          <w:color w:val="000000"/>
          <w:sz w:val="16"/>
        </w:rPr>
        <w:t>or</w:t>
      </w:r>
    </w:p>
    <w:tbl>
      <w:tblPr>
        <w:tblW w:w="1001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37"/>
        <w:gridCol w:w="2737"/>
        <w:gridCol w:w="3870"/>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2737" w:type="dxa"/>
            <w:tcBorders/>
            <w:vAlign w:val="center"/>
          </w:tcPr>
          <w:p>
            <w:pPr>
              <w:pStyle w:val="TableContents"/>
              <w:bidi w:val="0"/>
              <w:spacing w:before="0" w:after="283"/>
              <w:jc w:val="left"/>
              <w:rPr>
                <w:sz w:val="4"/>
                <w:szCs w:val="4"/>
              </w:rPr>
            </w:pPr>
            <w:r>
              <w:rPr>
                <w:sz w:val="4"/>
                <w:szCs w:val="4"/>
              </w:rPr>
            </w:r>
          </w:p>
        </w:tc>
        <w:tc>
          <w:tcPr>
            <w:tcW w:w="3870"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934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8"/>
              </w:rPr>
            </w:pPr>
            <w:r>
              <w:rPr>
                <w:rFonts w:ascii="Arial;sans-serif" w:hAnsi="Arial;sans-serif"/>
                <w:b/>
                <w:color w:val="000000"/>
                <w:sz w:val="18"/>
              </w:rPr>
              <w:t>TRANSITION REPORT PURSUANT TO SECTION 13 OR 15(d) OF THE SECURITIES EXCHANGE ACT OF 1934</w:t>
            </w:r>
          </w:p>
        </w:tc>
      </w:tr>
    </w:tbl>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For the transition period from ___________ to ___________</w:t>
      </w:r>
    </w:p>
    <w:p>
      <w:pPr>
        <w:pStyle w:val="TextBody"/>
        <w:bidi w:val="0"/>
        <w:spacing w:lineRule="auto" w:line="288" w:before="0" w:after="40"/>
        <w:jc w:val="center"/>
        <w:rPr>
          <w:rFonts w:ascii="Arial;sans-serif" w:hAnsi="Arial;sans-serif"/>
          <w:b/>
          <w:color w:val="000000"/>
          <w:sz w:val="16"/>
        </w:rPr>
      </w:pPr>
      <w:r>
        <w:rPr>
          <w:rFonts w:ascii="Arial;sans-serif" w:hAnsi="Arial;sans-serif"/>
          <w:b/>
          <w:color w:val="000000"/>
          <w:sz w:val="16"/>
        </w:rPr>
        <w:t>Commission File Number: 001-40545</w:t>
      </w:r>
    </w:p>
    <w:p>
      <w:pPr>
        <w:pStyle w:val="TextBody"/>
        <w:bidi w:val="0"/>
        <w:spacing w:lineRule="auto" w:line="288" w:before="0" w:after="12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CVRx, Inc.</w:t>
      </w:r>
    </w:p>
    <w:p>
      <w:pPr>
        <w:pStyle w:val="TextBody"/>
        <w:bidi w:val="0"/>
        <w:spacing w:lineRule="auto" w:line="288" w:before="0" w:after="40"/>
        <w:jc w:val="center"/>
        <w:rPr>
          <w:rFonts w:ascii="Arial;sans-serif" w:hAnsi="Arial;sans-serif"/>
          <w:b/>
          <w:color w:val="000000"/>
          <w:sz w:val="18"/>
        </w:rPr>
      </w:pPr>
      <w:r>
        <w:rPr>
          <w:rFonts w:ascii="Arial;sans-serif" w:hAnsi="Arial;sans-serif"/>
          <w:b/>
          <w:color w:val="000000"/>
          <w:sz w:val="18"/>
        </w:rPr>
        <w:t>(Exact name of registrant as specified in its charter)</w:t>
      </w:r>
    </w:p>
    <w:p>
      <w:pPr>
        <w:pStyle w:val="TextBody"/>
        <w:bidi w:val="0"/>
        <w:spacing w:lineRule="auto" w:line="288" w:before="0" w:after="24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tbl>
      <w:tblPr>
        <w:tblW w:w="4095" w:type="dxa"/>
        <w:jc w:val="left"/>
        <w:tblInd w:w="0" w:type="dxa"/>
        <w:tblLayout w:type="fixed"/>
        <w:tblCellMar>
          <w:top w:w="28" w:type="dxa"/>
          <w:left w:w="28" w:type="dxa"/>
          <w:bottom w:w="28" w:type="dxa"/>
          <w:right w:w="28" w:type="dxa"/>
        </w:tblCellMar>
      </w:tblPr>
      <w:tblGrid>
        <w:gridCol w:w="911"/>
        <w:gridCol w:w="799"/>
        <w:gridCol w:w="810"/>
        <w:gridCol w:w="459"/>
        <w:gridCol w:w="459"/>
        <w:gridCol w:w="657"/>
      </w:tblGrid>
      <w:tr>
        <w:tc>
          <w:tcPr>
            <w:tcW w:w="911"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r>
      <w:tr>
        <w:tc>
          <w:tcPr>
            <w:tcW w:w="2520"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Delaware</w:t>
            </w:r>
          </w:p>
        </w:tc>
        <w:tc>
          <w:tcPr>
            <w:tcW w:w="157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6"/>
              </w:rPr>
            </w:pPr>
            <w:r>
              <w:rPr>
                <w:rFonts w:ascii="Arial;sans-serif" w:hAnsi="Arial;sans-serif"/>
                <w:b/>
                <w:color w:val="000000"/>
                <w:sz w:val="16"/>
              </w:rPr>
              <w:t>41-1983744</w:t>
            </w:r>
          </w:p>
        </w:tc>
      </w:tr>
      <w:tr>
        <w:tc>
          <w:tcPr>
            <w:tcW w:w="252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(State or other jurisdiction of</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incorporation or organization)</w:t>
            </w:r>
          </w:p>
        </w:tc>
        <w:tc>
          <w:tcPr>
            <w:tcW w:w="157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(I.R.S. Employer</w:t>
            </w:r>
          </w:p>
          <w:p>
            <w:pPr>
              <w:pStyle w:val="TableContents"/>
              <w:bidi w:val="0"/>
              <w:spacing w:lineRule="auto" w:line="276" w:before="0" w:after="0"/>
              <w:jc w:val="center"/>
              <w:rPr>
                <w:rFonts w:ascii="Arial;sans-serif" w:hAnsi="Arial;sans-serif"/>
                <w:b/>
                <w:color w:val="000000"/>
                <w:sz w:val="16"/>
              </w:rPr>
            </w:pPr>
            <w:r>
              <w:rPr>
                <w:rFonts w:ascii="Arial;sans-serif" w:hAnsi="Arial;sans-serif"/>
                <w:b/>
                <w:color w:val="000000"/>
                <w:sz w:val="16"/>
              </w:rPr>
              <w:t>Identification No.)</w:t>
            </w:r>
          </w:p>
        </w:tc>
      </w:tr>
    </w:tbl>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9201 West Broadway Avenue</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Suite 650</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Minneapolis, MN 55445</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(Address of Principal Executive Offices)</w:t>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(763) 416-2840</w:t>
      </w:r>
    </w:p>
    <w:p>
      <w:pPr>
        <w:pStyle w:val="TextBody"/>
        <w:bidi w:val="0"/>
        <w:spacing w:lineRule="auto" w:line="288" w:before="0" w:after="120"/>
        <w:jc w:val="center"/>
        <w:rPr>
          <w:rFonts w:ascii="Arial;sans-serif" w:hAnsi="Arial;sans-serif"/>
          <w:b/>
          <w:color w:val="000000"/>
          <w:sz w:val="16"/>
        </w:rPr>
      </w:pPr>
      <w:r>
        <w:rPr>
          <w:rFonts w:ascii="Arial;sans-serif" w:hAnsi="Arial;sans-serif"/>
          <w:b/>
          <w:color w:val="000000"/>
          <w:sz w:val="16"/>
        </w:rPr>
        <w:t>(Registrant’s telephone number)</w:t>
      </w:r>
    </w:p>
    <w:p>
      <w:pPr>
        <w:pStyle w:val="TextBody"/>
        <w:bidi w:val="0"/>
        <w:spacing w:lineRule="auto" w:line="288" w:before="0" w:after="200"/>
        <w:jc w:val="center"/>
        <w:rPr>
          <w:rFonts w:ascii="Arial;sans-serif" w:hAnsi="Arial;sans-serif"/>
          <w:b/>
          <w:color w:val="000000"/>
          <w:sz w:val="18"/>
        </w:rPr>
      </w:pPr>
      <w:r>
        <w:rPr>
          <w:rFonts w:ascii="Arial;sans-serif" w:hAnsi="Arial;sans-serif"/>
          <w:b/>
          <w:color w:val="000000"/>
          <w:sz w:val="18"/>
        </w:rPr>
        <w:t>__________________________________________________________________</w:t>
      </w:r>
    </w:p>
    <w:p>
      <w:pPr>
        <w:pStyle w:val="TextBody"/>
        <w:bidi w:val="0"/>
        <w:spacing w:lineRule="auto" w:line="288" w:before="0" w:after="240"/>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7536" w:type="dxa"/>
        <w:jc w:val="left"/>
        <w:tblInd w:w="0" w:type="dxa"/>
        <w:tblLayout w:type="fixed"/>
        <w:tblCellMar>
          <w:top w:w="28" w:type="dxa"/>
          <w:left w:w="28" w:type="dxa"/>
          <w:bottom w:w="28" w:type="dxa"/>
          <w:right w:w="28" w:type="dxa"/>
        </w:tblCellMar>
      </w:tblPr>
      <w:tblGrid>
        <w:gridCol w:w="831"/>
        <w:gridCol w:w="730"/>
        <w:gridCol w:w="733"/>
        <w:gridCol w:w="109"/>
        <w:gridCol w:w="109"/>
        <w:gridCol w:w="109"/>
        <w:gridCol w:w="534"/>
        <w:gridCol w:w="534"/>
        <w:gridCol w:w="536"/>
        <w:gridCol w:w="109"/>
        <w:gridCol w:w="109"/>
        <w:gridCol w:w="109"/>
        <w:gridCol w:w="871"/>
        <w:gridCol w:w="871"/>
        <w:gridCol w:w="1242"/>
      </w:tblGrid>
      <w:tr>
        <w:tc>
          <w:tcPr>
            <w:tcW w:w="83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c>
          <w:tcPr>
            <w:tcW w:w="22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color w:val="000000"/>
                <w:sz w:val="18"/>
              </w:rPr>
            </w:pPr>
            <w:r>
              <w:rPr>
                <w:rFonts w:ascii="Arial;sans-serif" w:hAnsi="Arial;sans-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76" w:before="0" w:after="10"/>
              <w:jc w:val="center"/>
              <w:rPr>
                <w:rFonts w:ascii="Arial;sans-serif" w:hAnsi="Arial;sans-serif"/>
                <w:b w:val="false"/>
                <w:color w:val="000000"/>
                <w:sz w:val="18"/>
              </w:rPr>
            </w:pPr>
            <w:r>
              <w:rPr>
                <w:rFonts w:ascii="Arial;sans-serif" w:hAnsi="Arial;sans-serif"/>
                <w:b w:val="false"/>
                <w:color w:val="000000"/>
                <w:sz w:val="18"/>
              </w:rPr>
              <w:t>Name of each exchange</w:t>
            </w:r>
          </w:p>
          <w:p>
            <w:pPr>
              <w:pStyle w:val="TableContents"/>
              <w:bidi w:val="0"/>
              <w:spacing w:lineRule="auto" w:line="276" w:before="0" w:after="10"/>
              <w:jc w:val="center"/>
              <w:rPr>
                <w:rFonts w:ascii="Arial;sans-serif" w:hAnsi="Arial;sans-serif"/>
                <w:b w:val="false"/>
                <w:color w:val="000000"/>
                <w:sz w:val="18"/>
              </w:rPr>
            </w:pPr>
            <w:r>
              <w:rPr>
                <w:rFonts w:ascii="Arial;sans-serif" w:hAnsi="Arial;sans-serif"/>
                <w:b w:val="false"/>
                <w:color w:val="000000"/>
                <w:sz w:val="18"/>
              </w:rPr>
              <w:t>on which registered</w:t>
            </w:r>
          </w:p>
        </w:tc>
      </w:tr>
      <w:tr>
        <w:tc>
          <w:tcPr>
            <w:tcW w:w="22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Common stock,</w:t>
            </w:r>
          </w:p>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CVRX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Arial;sans-serif" w:hAnsi="Arial;sans-serif"/>
                <w:b/>
                <w:color w:val="000000"/>
                <w:sz w:val="18"/>
              </w:rPr>
            </w:pPr>
            <w:r>
              <w:rPr>
                <w:rFonts w:ascii="Arial;sans-serif" w:hAnsi="Arial;sans-serif"/>
                <w:b/>
                <w:color w:val="000000"/>
                <w:sz w:val="18"/>
              </w:rPr>
              <w:t>The Nasdaq Global Select Market</w:t>
            </w:r>
          </w:p>
        </w:tc>
      </w:tr>
    </w:tbl>
    <w:p>
      <w:pPr>
        <w:pStyle w:val="TextBody"/>
        <w:bidi w:val="0"/>
        <w:spacing w:lineRule="auto" w:line="288" w:before="0" w:after="200"/>
        <w:jc w:val="left"/>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200"/>
        <w:jc w:val="left"/>
      </w:pPr>
      <w:r>
        <w:rPr>
          <w:rFonts w:ascii="Arial;sans-serif" w:hAnsi="Arial;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20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7529" w:type="dxa"/>
        <w:jc w:val="left"/>
        <w:tblInd w:w="0" w:type="dxa"/>
        <w:tblLayout w:type="fixed"/>
        <w:tblCellMar>
          <w:top w:w="28" w:type="dxa"/>
          <w:left w:w="28" w:type="dxa"/>
          <w:bottom w:w="28" w:type="dxa"/>
          <w:right w:w="28" w:type="dxa"/>
        </w:tblCellMar>
      </w:tblPr>
      <w:tblGrid>
        <w:gridCol w:w="629"/>
        <w:gridCol w:w="554"/>
        <w:gridCol w:w="556"/>
        <w:gridCol w:w="109"/>
        <w:gridCol w:w="109"/>
        <w:gridCol w:w="109"/>
        <w:gridCol w:w="109"/>
        <w:gridCol w:w="109"/>
        <w:gridCol w:w="109"/>
        <w:gridCol w:w="684"/>
        <w:gridCol w:w="684"/>
        <w:gridCol w:w="687"/>
        <w:gridCol w:w="109"/>
        <w:gridCol w:w="109"/>
        <w:gridCol w:w="109"/>
        <w:gridCol w:w="109"/>
        <w:gridCol w:w="109"/>
        <w:gridCol w:w="109"/>
        <w:gridCol w:w="684"/>
        <w:gridCol w:w="684"/>
        <w:gridCol w:w="687"/>
        <w:gridCol w:w="109"/>
        <w:gridCol w:w="109"/>
        <w:gridCol w:w="154"/>
      </w:tblGrid>
      <w:t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6"/>
              </w:rPr>
            </w:pPr>
            <w:r>
              <w:rPr>
                <w:rFonts w:ascii="Arial;sans-serif" w:hAnsi="Arial;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bl>
    <w:p>
      <w:pPr>
        <w:pStyle w:val="TextBody"/>
        <w:bidi w:val="0"/>
        <w:spacing w:lineRule="auto" w:line="288" w:before="0" w:after="200"/>
        <w:jc w:val="left"/>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0" w:after="200"/>
        <w:jc w:val="left"/>
      </w:pPr>
      <w:r>
        <w:rPr>
          <w:rFonts w:ascii="Arial;sans-serif" w:hAnsi="Arial;sans-serif"/>
          <w:b w:val="false"/>
          <w:color w:val="000000"/>
          <w:sz w:val="16"/>
        </w:rPr>
        <w:t>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Arial;sans-serif" w:hAnsi="Arial;sans-serif"/>
          <w:b w:val="false"/>
          <w:color w:val="000000"/>
          <w:sz w:val="16"/>
        </w:rPr>
        <w:t>No  </w:t>
      </w:r>
      <w:r>
        <w:rPr>
          <w:rFonts w:ascii="Wingdings;sans-serif" w:hAnsi="Wingdings;sans-serif"/>
          <w:b w:val="false"/>
          <w:color w:val="000000"/>
          <w:sz w:val="16"/>
        </w:rPr>
        <w:t>x</w:t>
      </w:r>
    </w:p>
    <w:p>
      <w:pPr>
        <w:pStyle w:val="TextBody"/>
        <w:bidi w:val="0"/>
        <w:spacing w:lineRule="auto" w:line="288" w:before="0" w:after="120"/>
        <w:jc w:val="left"/>
        <w:rPr>
          <w:rFonts w:ascii="Arial;sans-serif" w:hAnsi="Arial;sans-serif"/>
          <w:b w:val="false"/>
          <w:color w:val="000000"/>
          <w:sz w:val="16"/>
        </w:rPr>
      </w:pPr>
      <w:r>
        <w:rPr>
          <w:rFonts w:ascii="Arial;sans-serif" w:hAnsi="Arial;sans-serif"/>
          <w:b w:val="false"/>
          <w:color w:val="000000"/>
          <w:sz w:val="16"/>
        </w:rPr>
        <w:t>As of October 29, 2026, there were 28,485,019 shares of the registrant’s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top w:val="single" w:sz="8" w:space="0" w:color="000000"/>
              <w:bottom w:val="single" w:sz="2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76"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67"/>
        <w:gridCol w:w="230"/>
        <w:gridCol w:w="231"/>
        <w:gridCol w:w="3045"/>
        <w:gridCol w:w="2940"/>
        <w:gridCol w:w="2949"/>
        <w:gridCol w:w="158"/>
        <w:gridCol w:w="158"/>
        <w:gridCol w:w="227"/>
      </w:tblGrid>
      <w:tr>
        <w:tc>
          <w:tcPr>
            <w:tcW w:w="26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045"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3">
              <w:r>
                <w:rPr>
                  <w:rStyle w:val="InternetLink"/>
                  <w:rFonts w:ascii="Arial;sans-serif" w:hAnsi="Arial;sans-serif"/>
                  <w:b/>
                  <w:color w:val="0000FF"/>
                  <w:sz w:val="20"/>
                  <w:u w:val="single"/>
                </w:rPr>
                <w:t>Part I</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3">
              <w:r>
                <w:rPr>
                  <w:rStyle w:val="InternetLink"/>
                  <w:rFonts w:ascii="Arial;sans-serif" w:hAnsi="Arial;sans-serif"/>
                  <w:b/>
                  <w:color w:val="0000FF"/>
                  <w:sz w:val="20"/>
                  <w:u w:val="single"/>
                </w:rPr>
                <w:t>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6">
              <w:r>
                <w:rPr>
                  <w:rStyle w:val="InternetLink"/>
                  <w:rFonts w:ascii="Arial;sans-serif" w:hAnsi="Arial;sans-serif"/>
                  <w:b w:val="false"/>
                  <w:color w:val="0000FF"/>
                  <w:sz w:val="20"/>
                  <w:u w:val="single"/>
                </w:rPr>
                <w:t>Item 1.</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6">
              <w:r>
                <w:rPr>
                  <w:rStyle w:val="InternetLink"/>
                  <w:rFonts w:ascii="Arial;sans-serif" w:hAnsi="Arial;sans-serif"/>
                  <w:b w:val="false"/>
                  <w:color w:val="0000FF"/>
                  <w:sz w:val="20"/>
                  <w:u w:val="single"/>
                </w:rPr>
                <w:t>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6">
              <w:r>
                <w:rPr>
                  <w:rStyle w:val="InternetLink"/>
                  <w:rFonts w:ascii="Arial;sans-serif" w:hAnsi="Arial;sans-serif"/>
                  <w:b w:val="false"/>
                  <w:strike w:val="false"/>
                  <w:dstrike w:val="false"/>
                  <w:color w:val="000000"/>
                  <w:sz w:val="20"/>
                  <w:u w:val="none"/>
                  <w:effect w:val="none"/>
                </w:rPr>
                <w:t>5</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9">
              <w:r>
                <w:rPr>
                  <w:rStyle w:val="InternetLink"/>
                  <w:rFonts w:ascii="Arial;sans-serif" w:hAnsi="Arial;sans-serif"/>
                  <w:b w:val="false"/>
                  <w:color w:val="000080"/>
                  <w:sz w:val="20"/>
                  <w:u w:val="single"/>
                </w:rPr>
                <w:t xml:space="preserve">Condensed Consolidated Balance Sheets as of </w:t>
              </w:r>
            </w:hyperlink>
            <w:hyperlink w:anchor="ifdc1cbac2efd4600a604d68a7e09a462_19">
              <w:r>
                <w:rPr>
                  <w:rStyle w:val="InternetLink"/>
                  <w:rFonts w:ascii="Arial;sans-serif" w:hAnsi="Arial;sans-serif"/>
                  <w:b w:val="false"/>
                  <w:color w:val="000080"/>
                  <w:sz w:val="20"/>
                  <w:u w:val="single"/>
                </w:rPr>
                <w:t>September</w:t>
              </w:r>
            </w:hyperlink>
            <w:hyperlink w:anchor="ifdc1cbac2efd4600a604d68a7e09a462_19">
              <w:r>
                <w:rPr>
                  <w:rStyle w:val="InternetLink"/>
                  <w:rFonts w:ascii="Arial;sans-serif" w:hAnsi="Arial;sans-serif"/>
                  <w:b w:val="false"/>
                  <w:color w:val="000080"/>
                  <w:sz w:val="20"/>
                  <w:u w:val="single"/>
                </w:rPr>
                <w:t xml:space="preserve"> 30, 2026 and December 31, 2025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9">
              <w:r>
                <w:rPr>
                  <w:rStyle w:val="InternetLink"/>
                  <w:rFonts w:ascii="Arial;sans-serif" w:hAnsi="Arial;sans-serif"/>
                  <w:b w:val="false"/>
                  <w:strike w:val="false"/>
                  <w:dstrike w:val="false"/>
                  <w:color w:val="000000"/>
                  <w:sz w:val="20"/>
                  <w:u w:val="none"/>
                  <w:effect w:val="none"/>
                </w:rPr>
                <w:t>5</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22">
              <w:r>
                <w:rPr>
                  <w:rStyle w:val="InternetLink"/>
                  <w:rFonts w:ascii="Arial;sans-serif" w:hAnsi="Arial;sans-serif"/>
                  <w:b w:val="false"/>
                  <w:color w:val="000080"/>
                  <w:sz w:val="20"/>
                  <w:u w:val="single"/>
                </w:rPr>
                <w:t xml:space="preserve">Condensed Consolidated Statements of Operations and Comprehensive Loss for the three and </w:t>
              </w:r>
            </w:hyperlink>
            <w:hyperlink w:anchor="ifdc1cbac2efd4600a604d68a7e09a462_22">
              <w:r>
                <w:rPr>
                  <w:rStyle w:val="InternetLink"/>
                  <w:rFonts w:ascii="Arial;sans-serif" w:hAnsi="Arial;sans-serif"/>
                  <w:b w:val="false"/>
                  <w:color w:val="000080"/>
                  <w:sz w:val="20"/>
                  <w:u w:val="single"/>
                </w:rPr>
                <w:t>nine</w:t>
              </w:r>
            </w:hyperlink>
            <w:hyperlink w:anchor="ifdc1cbac2efd4600a604d68a7e09a462_22">
              <w:r>
                <w:rPr>
                  <w:rStyle w:val="InternetLink"/>
                  <w:rFonts w:ascii="Arial;sans-serif" w:hAnsi="Arial;sans-serif"/>
                  <w:b w:val="false"/>
                  <w:color w:val="000080"/>
                  <w:sz w:val="20"/>
                  <w:u w:val="single"/>
                </w:rPr>
                <w:t xml:space="preserve"> months ended </w:t>
              </w:r>
            </w:hyperlink>
            <w:hyperlink w:anchor="ifdc1cbac2efd4600a604d68a7e09a462_22">
              <w:r>
                <w:rPr>
                  <w:rStyle w:val="InternetLink"/>
                  <w:rFonts w:ascii="Arial;sans-serif" w:hAnsi="Arial;sans-serif"/>
                  <w:b w:val="false"/>
                  <w:color w:val="000080"/>
                  <w:sz w:val="20"/>
                  <w:u w:val="single"/>
                </w:rPr>
                <w:t xml:space="preserve">September </w:t>
              </w:r>
            </w:hyperlink>
            <w:hyperlink w:anchor="ifdc1cbac2efd4600a604d68a7e09a462_22">
              <w:r>
                <w:rPr>
                  <w:rStyle w:val="InternetLink"/>
                  <w:rFonts w:ascii="Arial;sans-serif" w:hAnsi="Arial;sans-serif"/>
                  <w:b w:val="false"/>
                  <w:color w:val="000080"/>
                  <w:sz w:val="20"/>
                  <w:u w:val="single"/>
                </w:rPr>
                <w:t>30, 2026 and 2025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22">
              <w:r>
                <w:rPr>
                  <w:rStyle w:val="InternetLink"/>
                  <w:rFonts w:ascii="Arial;sans-serif" w:hAnsi="Arial;sans-serif"/>
                  <w:b w:val="false"/>
                  <w:strike w:val="false"/>
                  <w:dstrike w:val="false"/>
                  <w:color w:val="000000"/>
                  <w:sz w:val="20"/>
                  <w:u w:val="none"/>
                  <w:effect w:val="none"/>
                </w:rPr>
                <w:t>6</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25">
              <w:r>
                <w:rPr>
                  <w:rStyle w:val="InternetLink"/>
                  <w:rFonts w:ascii="Arial;sans-serif" w:hAnsi="Arial;sans-serif"/>
                  <w:b w:val="false"/>
                  <w:color w:val="000080"/>
                  <w:sz w:val="20"/>
                  <w:u w:val="single"/>
                </w:rPr>
                <w:t xml:space="preserve">Condensed Consolidated Statements of Stockholders’ Equity for the three and </w:t>
              </w:r>
            </w:hyperlink>
            <w:hyperlink w:anchor="ifdc1cbac2efd4600a604d68a7e09a462_25">
              <w:r>
                <w:rPr>
                  <w:rStyle w:val="InternetLink"/>
                  <w:rFonts w:ascii="Arial;sans-serif" w:hAnsi="Arial;sans-serif"/>
                  <w:b w:val="false"/>
                  <w:color w:val="000080"/>
                  <w:sz w:val="20"/>
                  <w:u w:val="single"/>
                </w:rPr>
                <w:t>nine</w:t>
              </w:r>
            </w:hyperlink>
            <w:hyperlink w:anchor="ifdc1cbac2efd4600a604d68a7e09a462_25">
              <w:r>
                <w:rPr>
                  <w:rStyle w:val="InternetLink"/>
                  <w:rFonts w:ascii="Arial;sans-serif" w:hAnsi="Arial;sans-serif"/>
                  <w:b w:val="false"/>
                  <w:color w:val="000080"/>
                  <w:sz w:val="20"/>
                  <w:u w:val="single"/>
                </w:rPr>
                <w:t xml:space="preserve"> months ended </w:t>
              </w:r>
            </w:hyperlink>
            <w:hyperlink w:anchor="ifdc1cbac2efd4600a604d68a7e09a462_25">
              <w:r>
                <w:rPr>
                  <w:rStyle w:val="InternetLink"/>
                  <w:rFonts w:ascii="Arial;sans-serif" w:hAnsi="Arial;sans-serif"/>
                  <w:b w:val="false"/>
                  <w:color w:val="000080"/>
                  <w:sz w:val="20"/>
                  <w:u w:val="single"/>
                </w:rPr>
                <w:t>September</w:t>
              </w:r>
            </w:hyperlink>
            <w:hyperlink w:anchor="ifdc1cbac2efd4600a604d68a7e09a462_25">
              <w:r>
                <w:rPr>
                  <w:rStyle w:val="InternetLink"/>
                  <w:rFonts w:ascii="Arial;sans-serif" w:hAnsi="Arial;sans-serif"/>
                  <w:b w:val="false"/>
                  <w:color w:val="000080"/>
                  <w:sz w:val="20"/>
                  <w:u w:val="single"/>
                </w:rPr>
                <w:t xml:space="preserve"> 30, 2026 and 2025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25">
              <w:r>
                <w:rPr>
                  <w:rStyle w:val="InternetLink"/>
                  <w:rFonts w:ascii="Arial;sans-serif" w:hAnsi="Arial;sans-serif"/>
                  <w:b w:val="false"/>
                  <w:strike w:val="false"/>
                  <w:dstrike w:val="false"/>
                  <w:color w:val="000000"/>
                  <w:sz w:val="20"/>
                  <w:u w:val="none"/>
                  <w:effect w:val="none"/>
                </w:rPr>
                <w:t>7</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28">
              <w:r>
                <w:rPr>
                  <w:rStyle w:val="InternetLink"/>
                  <w:rFonts w:ascii="Arial;sans-serif" w:hAnsi="Arial;sans-serif"/>
                  <w:b w:val="false"/>
                  <w:color w:val="000080"/>
                  <w:sz w:val="20"/>
                  <w:u w:val="single"/>
                </w:rPr>
                <w:t xml:space="preserve">Condensed Consolidated Statements of Cash Flows for the </w:t>
              </w:r>
            </w:hyperlink>
            <w:hyperlink w:anchor="ifdc1cbac2efd4600a604d68a7e09a462_28">
              <w:r>
                <w:rPr>
                  <w:rStyle w:val="InternetLink"/>
                  <w:rFonts w:ascii="Arial;sans-serif" w:hAnsi="Arial;sans-serif"/>
                  <w:b w:val="false"/>
                  <w:color w:val="000080"/>
                  <w:sz w:val="20"/>
                  <w:u w:val="single"/>
                </w:rPr>
                <w:t>nine</w:t>
              </w:r>
            </w:hyperlink>
            <w:hyperlink w:anchor="ifdc1cbac2efd4600a604d68a7e09a462_28">
              <w:r>
                <w:rPr>
                  <w:rStyle w:val="InternetLink"/>
                  <w:rFonts w:ascii="Arial;sans-serif" w:hAnsi="Arial;sans-serif"/>
                  <w:b w:val="false"/>
                  <w:color w:val="000080"/>
                  <w:sz w:val="20"/>
                  <w:u w:val="single"/>
                </w:rPr>
                <w:t xml:space="preserve"> months ended </w:t>
              </w:r>
            </w:hyperlink>
            <w:hyperlink w:anchor="ifdc1cbac2efd4600a604d68a7e09a462_28">
              <w:r>
                <w:rPr>
                  <w:rStyle w:val="InternetLink"/>
                  <w:rFonts w:ascii="Arial;sans-serif" w:hAnsi="Arial;sans-serif"/>
                  <w:b w:val="false"/>
                  <w:color w:val="000080"/>
                  <w:sz w:val="20"/>
                  <w:u w:val="single"/>
                </w:rPr>
                <w:t>September</w:t>
              </w:r>
            </w:hyperlink>
            <w:hyperlink w:anchor="ifdc1cbac2efd4600a604d68a7e09a462_28">
              <w:r>
                <w:rPr>
                  <w:rStyle w:val="InternetLink"/>
                  <w:rFonts w:ascii="Arial;sans-serif" w:hAnsi="Arial;sans-serif"/>
                  <w:b w:val="false"/>
                  <w:color w:val="000080"/>
                  <w:sz w:val="20"/>
                  <w:u w:val="single"/>
                </w:rPr>
                <w:t xml:space="preserve"> 30, 2026 and 2025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28">
              <w:r>
                <w:rPr>
                  <w:rStyle w:val="InternetLink"/>
                  <w:rFonts w:ascii="Arial;sans-serif" w:hAnsi="Arial;sans-serif"/>
                  <w:b w:val="false"/>
                  <w:strike w:val="false"/>
                  <w:dstrike w:val="false"/>
                  <w:color w:val="000000"/>
                  <w:sz w:val="20"/>
                  <w:u w:val="none"/>
                  <w:effect w:val="none"/>
                </w:rPr>
                <w:t>8</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31">
              <w:r>
                <w:rPr>
                  <w:rStyle w:val="InternetLink"/>
                  <w:rFonts w:ascii="Arial;sans-serif" w:hAnsi="Arial;sans-serif"/>
                  <w:b w:val="false"/>
                  <w:color w:val="0000FF"/>
                  <w:sz w:val="20"/>
                  <w:u w:val="single"/>
                </w:rPr>
                <w:t>Notes to Condensed Consolidated 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31">
              <w:r>
                <w:rPr>
                  <w:rStyle w:val="InternetLink"/>
                  <w:rFonts w:ascii="Arial;sans-serif" w:hAnsi="Arial;sans-serif"/>
                  <w:b w:val="false"/>
                  <w:strike w:val="false"/>
                  <w:dstrike w:val="false"/>
                  <w:color w:val="000000"/>
                  <w:sz w:val="20"/>
                  <w:u w:val="none"/>
                  <w:effect w:val="none"/>
                </w:rPr>
                <w:t>9</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70">
              <w:r>
                <w:rPr>
                  <w:rStyle w:val="InternetLink"/>
                  <w:rFonts w:ascii="Arial;sans-serif" w:hAnsi="Arial;sans-serif"/>
                  <w:b w:val="false"/>
                  <w:color w:val="0000FF"/>
                  <w:sz w:val="20"/>
                  <w:u w:val="single"/>
                </w:rPr>
                <w:t>Item 2.</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70">
              <w:r>
                <w:rPr>
                  <w:rStyle w:val="InternetLink"/>
                  <w:rFonts w:ascii="Arial;sans-serif" w:hAnsi="Arial;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70">
              <w:r>
                <w:rPr>
                  <w:rStyle w:val="InternetLink"/>
                  <w:rFonts w:ascii="Arial;sans-serif" w:hAnsi="Arial;sans-serif"/>
                  <w:b w:val="false"/>
                  <w:strike w:val="false"/>
                  <w:dstrike w:val="false"/>
                  <w:color w:val="000000"/>
                  <w:sz w:val="20"/>
                  <w:u w:val="none"/>
                  <w:effect w:val="none"/>
                </w:rPr>
                <w:t>20</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03">
              <w:r>
                <w:rPr>
                  <w:rStyle w:val="InternetLink"/>
                  <w:rFonts w:ascii="Arial;sans-serif" w:hAnsi="Arial;sans-serif"/>
                  <w:b w:val="false"/>
                  <w:color w:val="0000FF"/>
                  <w:sz w:val="20"/>
                  <w:u w:val="single"/>
                </w:rPr>
                <w:t>Item 3.</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03">
              <w:r>
                <w:rPr>
                  <w:rStyle w:val="InternetLink"/>
                  <w:rFonts w:ascii="Arial;sans-serif" w:hAnsi="Arial;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03">
              <w:r>
                <w:rPr>
                  <w:rStyle w:val="InternetLink"/>
                  <w:rFonts w:ascii="Arial;sans-serif" w:hAnsi="Arial;sans-serif"/>
                  <w:b w:val="false"/>
                  <w:strike w:val="false"/>
                  <w:dstrike w:val="false"/>
                  <w:color w:val="000000"/>
                  <w:sz w:val="20"/>
                  <w:u w:val="none"/>
                  <w:effect w:val="none"/>
                </w:rPr>
                <w:t>30</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06">
              <w:r>
                <w:rPr>
                  <w:rStyle w:val="InternetLink"/>
                  <w:rFonts w:ascii="Arial;sans-serif" w:hAnsi="Arial;sans-serif"/>
                  <w:b w:val="false"/>
                  <w:color w:val="0000FF"/>
                  <w:sz w:val="20"/>
                  <w:u w:val="single"/>
                </w:rPr>
                <w:t>Item 4.</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06">
              <w:r>
                <w:rPr>
                  <w:rStyle w:val="InternetLink"/>
                  <w:rFonts w:ascii="Arial;sans-serif" w:hAnsi="Arial;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06">
              <w:r>
                <w:rPr>
                  <w:rStyle w:val="InternetLink"/>
                  <w:rFonts w:ascii="Arial;sans-serif" w:hAnsi="Arial;sans-serif"/>
                  <w:b w:val="false"/>
                  <w:strike w:val="false"/>
                  <w:dstrike w:val="false"/>
                  <w:color w:val="000000"/>
                  <w:sz w:val="20"/>
                  <w:u w:val="none"/>
                  <w:effect w:val="none"/>
                </w:rPr>
                <w:t>31</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09">
              <w:r>
                <w:rPr>
                  <w:rStyle w:val="InternetLink"/>
                  <w:rFonts w:ascii="Arial;sans-serif" w:hAnsi="Arial;sans-serif"/>
                  <w:b/>
                  <w:color w:val="0000FF"/>
                  <w:sz w:val="20"/>
                  <w:u w:val="single"/>
                </w:rPr>
                <w:t>Part II</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09">
              <w:r>
                <w:rPr>
                  <w:rStyle w:val="InternetLink"/>
                  <w:rFonts w:ascii="Arial;sans-serif" w:hAnsi="Arial;sans-serif"/>
                  <w:b/>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12">
              <w:r>
                <w:rPr>
                  <w:rStyle w:val="InternetLink"/>
                  <w:rFonts w:ascii="Arial;sans-serif" w:hAnsi="Arial;sans-serif"/>
                  <w:b w:val="false"/>
                  <w:color w:val="0000FF"/>
                  <w:sz w:val="20"/>
                  <w:u w:val="single"/>
                </w:rPr>
                <w:t>Item 1.</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12">
              <w:r>
                <w:rPr>
                  <w:rStyle w:val="InternetLink"/>
                  <w:rFonts w:ascii="Arial;sans-serif" w:hAnsi="Arial;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12">
              <w:r>
                <w:rPr>
                  <w:rStyle w:val="InternetLink"/>
                  <w:rFonts w:ascii="Arial;sans-serif" w:hAnsi="Arial;sans-serif"/>
                  <w:b w:val="false"/>
                  <w:strike w:val="false"/>
                  <w:dstrike w:val="false"/>
                  <w:color w:val="000000"/>
                  <w:sz w:val="20"/>
                  <w:u w:val="none"/>
                  <w:effect w:val="none"/>
                </w:rPr>
                <w:t>31</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15">
              <w:r>
                <w:rPr>
                  <w:rStyle w:val="InternetLink"/>
                  <w:rFonts w:ascii="Arial;sans-serif" w:hAnsi="Arial;sans-serif"/>
                  <w:b w:val="false"/>
                  <w:color w:val="0000FF"/>
                  <w:sz w:val="20"/>
                  <w:u w:val="single"/>
                </w:rPr>
                <w:t>Item 1A.</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15">
              <w:r>
                <w:rPr>
                  <w:rStyle w:val="InternetLink"/>
                  <w:rFonts w:ascii="Arial;sans-serif" w:hAnsi="Arial;sans-serif"/>
                  <w:b w:val="false"/>
                  <w:color w:val="0000FF"/>
                  <w:sz w:val="20"/>
                  <w:u w:val="single"/>
                </w:rPr>
                <w:t>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15">
              <w:r>
                <w:rPr>
                  <w:rStyle w:val="InternetLink"/>
                  <w:rFonts w:ascii="Arial;sans-serif" w:hAnsi="Arial;sans-serif"/>
                  <w:b w:val="false"/>
                  <w:strike w:val="false"/>
                  <w:dstrike w:val="false"/>
                  <w:color w:val="000000"/>
                  <w:sz w:val="20"/>
                  <w:u w:val="none"/>
                  <w:effect w:val="none"/>
                </w:rPr>
                <w:t>31</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18">
              <w:r>
                <w:rPr>
                  <w:rStyle w:val="InternetLink"/>
                  <w:rFonts w:ascii="Arial;sans-serif" w:hAnsi="Arial;sans-serif"/>
                  <w:b w:val="false"/>
                  <w:color w:val="0000FF"/>
                  <w:sz w:val="20"/>
                  <w:u w:val="single"/>
                </w:rPr>
                <w:t>Item 2.</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18">
              <w:r>
                <w:rPr>
                  <w:rStyle w:val="InternetLink"/>
                  <w:rFonts w:ascii="Arial;sans-serif" w:hAnsi="Arial;sans-serif"/>
                  <w:b w:val="false"/>
                  <w:color w:val="0000FF"/>
                  <w:sz w:val="20"/>
                  <w:u w:val="single"/>
                </w:rPr>
                <w:t>Unregistered Sales of Equity Securities and Use of Proceeds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18">
              <w:r>
                <w:rPr>
                  <w:rStyle w:val="InternetLink"/>
                  <w:rFonts w:ascii="Arial;sans-serif" w:hAnsi="Arial;sans-serif"/>
                  <w:b w:val="false"/>
                  <w:strike w:val="false"/>
                  <w:dstrike w:val="false"/>
                  <w:color w:val="000000"/>
                  <w:sz w:val="20"/>
                  <w:u w:val="none"/>
                  <w:effect w:val="none"/>
                </w:rPr>
                <w:t>31</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21">
              <w:r>
                <w:rPr>
                  <w:rStyle w:val="InternetLink"/>
                  <w:rFonts w:ascii="Arial;sans-serif" w:hAnsi="Arial;sans-serif"/>
                  <w:b w:val="false"/>
                  <w:color w:val="0000FF"/>
                  <w:sz w:val="20"/>
                  <w:u w:val="single"/>
                </w:rPr>
                <w:t>Item 3.</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21">
              <w:r>
                <w:rPr>
                  <w:rStyle w:val="InternetLink"/>
                  <w:rFonts w:ascii="Arial;sans-serif" w:hAnsi="Arial;sans-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21">
              <w:r>
                <w:rPr>
                  <w:rStyle w:val="InternetLink"/>
                  <w:rFonts w:ascii="Arial;sans-serif" w:hAnsi="Arial;sans-serif"/>
                  <w:b w:val="false"/>
                  <w:strike w:val="false"/>
                  <w:dstrike w:val="false"/>
                  <w:color w:val="000000"/>
                  <w:sz w:val="20"/>
                  <w:u w:val="none"/>
                  <w:effect w:val="none"/>
                </w:rPr>
                <w:t>31</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24">
              <w:r>
                <w:rPr>
                  <w:rStyle w:val="InternetLink"/>
                  <w:rFonts w:ascii="Arial;sans-serif" w:hAnsi="Arial;sans-serif"/>
                  <w:b w:val="false"/>
                  <w:color w:val="0000FF"/>
                  <w:sz w:val="20"/>
                  <w:u w:val="single"/>
                </w:rPr>
                <w:t>Item 4.</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24">
              <w:r>
                <w:rPr>
                  <w:rStyle w:val="InternetLink"/>
                  <w:rFonts w:ascii="Arial;sans-serif" w:hAnsi="Arial;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24">
              <w:r>
                <w:rPr>
                  <w:rStyle w:val="InternetLink"/>
                  <w:rFonts w:ascii="Arial;sans-serif" w:hAnsi="Arial;sans-serif"/>
                  <w:b w:val="false"/>
                  <w:strike w:val="false"/>
                  <w:dstrike w:val="false"/>
                  <w:color w:val="000000"/>
                  <w:sz w:val="20"/>
                  <w:u w:val="none"/>
                  <w:effect w:val="none"/>
                </w:rPr>
                <w:t>31</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27">
              <w:r>
                <w:rPr>
                  <w:rStyle w:val="InternetLink"/>
                  <w:rFonts w:ascii="Arial;sans-serif" w:hAnsi="Arial;sans-serif"/>
                  <w:b w:val="false"/>
                  <w:color w:val="0000FF"/>
                  <w:sz w:val="20"/>
                  <w:u w:val="single"/>
                </w:rPr>
                <w:t>Item 5.</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27">
              <w:r>
                <w:rPr>
                  <w:rStyle w:val="InternetLink"/>
                  <w:rFonts w:ascii="Arial;sans-serif" w:hAnsi="Arial;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27">
              <w:r>
                <w:rPr>
                  <w:rStyle w:val="InternetLink"/>
                  <w:rFonts w:ascii="Arial;sans-serif" w:hAnsi="Arial;sans-serif"/>
                  <w:b w:val="false"/>
                  <w:strike w:val="false"/>
                  <w:dstrike w:val="false"/>
                  <w:color w:val="000000"/>
                  <w:sz w:val="20"/>
                  <w:u w:val="none"/>
                  <w:effect w:val="none"/>
                </w:rPr>
                <w:t>32</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30">
              <w:r>
                <w:rPr>
                  <w:rStyle w:val="InternetLink"/>
                  <w:rFonts w:ascii="Arial;sans-serif" w:hAnsi="Arial;sans-serif"/>
                  <w:b w:val="false"/>
                  <w:color w:val="0000FF"/>
                  <w:sz w:val="20"/>
                  <w:u w:val="single"/>
                </w:rPr>
                <w:t>Item 6.</w:t>
              </w:r>
            </w:hyperlink>
          </w:p>
        </w:tc>
        <w:tc>
          <w:tcPr>
            <w:tcW w:w="8934"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30">
              <w:r>
                <w:rPr>
                  <w:rStyle w:val="InternetLink"/>
                  <w:rFonts w:ascii="Arial;sans-serif" w:hAnsi="Arial;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right"/>
            </w:pPr>
            <w:hyperlink w:anchor="ifdc1cbac2efd4600a604d68a7e09a462_130">
              <w:r>
                <w:rPr>
                  <w:rStyle w:val="InternetLink"/>
                  <w:rFonts w:ascii="Arial;sans-serif" w:hAnsi="Arial;sans-serif"/>
                  <w:b w:val="false"/>
                  <w:strike w:val="false"/>
                  <w:dstrike w:val="false"/>
                  <w:color w:val="000000"/>
                  <w:sz w:val="20"/>
                  <w:u w:val="none"/>
                  <w:effect w:val="none"/>
                </w:rPr>
                <w:t>33</w:t>
              </w:r>
            </w:hyperlink>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33">
              <w:r>
                <w:rPr>
                  <w:rStyle w:val="InternetLink"/>
                  <w:rFonts w:ascii="Arial;sans-serif" w:hAnsi="Arial;sans-serif"/>
                  <w:b w:val="false"/>
                  <w:color w:val="0000FF"/>
                  <w:sz w:val="20"/>
                  <w:u w:val="single"/>
                </w:rPr>
                <w:t>Exhibit Index</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pPr>
            <w:hyperlink w:anchor="ifdc1cbac2efd4600a604d68a7e09a462_136">
              <w:r>
                <w:rPr>
                  <w:rStyle w:val="InternetLink"/>
                  <w:rFonts w:ascii="Arial;sans-serif" w:hAnsi="Arial;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98450"/>
                <wp:effectExtent l="0" t="0" r="0" b="0"/>
                <wp:wrapNone/>
                <wp:docPr id="2" name="Frame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lineRule="auto" w:line="276"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Quarterly Report on Form 10-Q</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For the quarterly period ended September 30, 2026</w:t>
      </w:r>
    </w:p>
    <w:p>
      <w:pPr>
        <w:pStyle w:val="TextBody"/>
        <w:bidi w:val="0"/>
        <w:spacing w:lineRule="auto" w:line="288" w:before="0" w:after="240"/>
        <w:jc w:val="center"/>
        <w:rPr>
          <w:rFonts w:ascii="Arial;sans-serif" w:hAnsi="Arial;sans-serif"/>
          <w:b/>
          <w:i/>
          <w:color w:val="000000"/>
          <w:sz w:val="20"/>
        </w:rPr>
      </w:pPr>
      <w:r>
        <w:rPr>
          <w:rFonts w:ascii="Arial;sans-serif" w:hAnsi="Arial;sans-serif"/>
          <w:b/>
          <w:i/>
          <w:color w:val="000000"/>
          <w:sz w:val="20"/>
        </w:rPr>
        <w:t>Cautionary Note on Forward-Looking Statements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are forward-looking statements, including statements regarding our future results of operations and financial position, business strategy, financial results and financial position, clinical trial results, prospective products, product approvals, research and development costs, timing and likelihood of success, and the plans and objectives of management for future operations.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The forward-looking statements in this Quarterly Report on Form 10-Q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known and unknown risks, uncertainties and assumptions, including, but not limited to, the important factors discussed in Part I, Item 1A. “Risk Factors” in our Annual Report on Form 10-K for the year ended December 31, 2025, which are summarized below. Moreover, we operate in an evolving environment. New risk factors and uncertainties may emerge from time to time, and it is not possible for management to predict all risk factors and uncertainties.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pStyle w:val="TextBody"/>
        <w:bidi w:val="0"/>
        <w:spacing w:lineRule="auto" w:line="288" w:before="0" w:after="240"/>
        <w:jc w:val="center"/>
        <w:rPr>
          <w:rFonts w:ascii="Arial;sans-serif" w:hAnsi="Arial;sans-serif"/>
          <w:b/>
          <w:i/>
          <w:color w:val="000000"/>
          <w:sz w:val="20"/>
        </w:rPr>
      </w:pPr>
      <w:r>
        <w:rPr>
          <w:rFonts w:ascii="Arial;sans-serif" w:hAnsi="Arial;sans-serif"/>
          <w:b/>
          <w:i/>
          <w:color w:val="000000"/>
          <w:sz w:val="20"/>
        </w:rPr>
        <w:t>Summary Risk Factors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business is subject to numerous risks and uncertainties, including those described in Part I, Item 1A. “Risk Factors” in our Annual Report on Form 10-K for the year ended December 31, 2025. You should carefully consider these risks and uncertainties when investing in our common stock. The principal risks and uncertainties affecting our business include, but are not limited to, the following:</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have a history of significant losses, which we expect to continue, and we may not be able to achieve or sustain profitability;</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our principal stockholders, management, and directors (one of whom is affiliated with one of our principal stockholders) own a significant percentage of our stock and will be able to exert significant control over matters subject to stockholder approval;</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have a limited history operating as a commercial company and are highly dependent on a single product, Barostim, and the failure to increase market acceptance in the U.S. for Barostim would negatively impact our business, liquidity, and results of operations;</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have limited commercial sales experience marketing and selling Barostim, and if we are unable to continue to maintain and grow sales and marketing capabilities, we will be unable to generate sustained and increasing product revenue;</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must continue to demonstrate to physicians and patients the merits of Barostim;</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if third-party payers do not provide adequate coverage and reimbursement for the use of Barostim, our revenue will be negatively impacted;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8450"/>
                <wp:effectExtent l="0" t="0" r="0" b="0"/>
                <wp:wrapNone/>
                <wp:docPr id="3" name="Frame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276"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our industry is highly competitive; if our competitors, many of which are large, well-established companies with substantially greater resources than us and have a long history of competing in the heart failure market, are better able to develop and market products that are safer, more effective, less costly, easier to use, or otherwise more attractive than Barostim, our business will be adversely impacted;</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if we fail to receive access to hospitals, our sales may decrease;</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are dependent upon third-party manufacturers and suppliers, and in some cases a limited number of suppliers, making us vulnerable to supply shortages, loss or degradation in performance of the suppliers, price fluctuations, and ongoing supply chain disruptions, which could harm our business;</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manufacturing risks may adversely affect our ability to manufacture our product and could reduce our gross margin and profitability;</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our clinical studies may not produce results necessary to support regulatory clearance or approval, and could produce negative or inconclusive results;</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a pandemic, epidemic or outbreak of an infectious disease in the U.S. or worldwide could adversely affect our business;</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may face product liability claims that could be costly, divert management’s attention and harm our reputation;</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we may in the future become involved in lawsuits to protect or enforce our intellectual property or defend ourselves against intellectual property disputes, which could be expensive, time consuming and ultimately unsuccessful, and could result in the diversion of significant resources, thereby hindering our ability to effectively commercialize our existing or future products;</w:t>
      </w:r>
    </w:p>
    <w:p>
      <w:pPr>
        <w:pStyle w:val="TextBody"/>
        <w:bidi w:val="0"/>
        <w:spacing w:lineRule="auto" w:line="288" w:before="0" w:after="120"/>
        <w:ind w:left="0" w:right="0" w:hanging="331"/>
        <w:jc w:val="left"/>
      </w:pPr>
      <w:r>
        <w:rPr>
          <w:color w:val="000000"/>
        </w:rPr>
        <w:t>•</w:t>
      </w:r>
      <w:r>
        <w:rPr>
          <w:rFonts w:ascii="Arial;sans-serif" w:hAnsi="Arial;sans-serif"/>
          <w:b w:val="false"/>
          <w:color w:val="000000"/>
          <w:sz w:val="20"/>
        </w:rPr>
        <w:t>if we fail to retain our key executives or recruit and hire new employees, our operations and financial results may be adversely affected while we attract other highly qualified personnel; and</w:t>
      </w:r>
    </w:p>
    <w:p>
      <w:pPr>
        <w:pStyle w:val="TextBody"/>
        <w:bidi w:val="0"/>
        <w:spacing w:lineRule="auto" w:line="288" w:before="0" w:after="240"/>
        <w:ind w:left="0" w:right="0" w:hanging="331"/>
        <w:jc w:val="left"/>
      </w:pPr>
      <w:r>
        <w:rPr>
          <w:color w:val="000000"/>
        </w:rPr>
        <w:t>•</w:t>
      </w:r>
      <w:r>
        <w:rPr>
          <w:rFonts w:ascii="Arial;sans-serif" w:hAnsi="Arial;sans-serif"/>
          <w:b w:val="false"/>
          <w:color w:val="000000"/>
          <w:sz w:val="20"/>
        </w:rPr>
        <w:t>we will continue to obtain long-term clinical data regarding the safety and effectiveness of our products, which could impact future adoption and regulatory approvals</w:t>
      </w:r>
      <w:r>
        <w:rPr>
          <w:rFonts w:ascii="Arial;sans-serif" w:hAnsi="Arial;sans-serif"/>
          <w:b w:val="false"/>
          <w:color w:val="231F2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8450"/>
                <wp:effectExtent l="0" t="0" r="0" b="0"/>
                <wp:wrapNone/>
                <wp:docPr id="4" name="Frame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lineRule="auto" w:line="276"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Balance Sheets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45"/>
        <w:gridCol w:w="2310"/>
        <w:gridCol w:w="2278"/>
        <w:gridCol w:w="221"/>
        <w:gridCol w:w="787"/>
        <w:gridCol w:w="114"/>
        <w:gridCol w:w="109"/>
        <w:gridCol w:w="109"/>
        <w:gridCol w:w="109"/>
        <w:gridCol w:w="211"/>
        <w:gridCol w:w="856"/>
        <w:gridCol w:w="156"/>
      </w:tblGrid>
      <w:tr>
        <w:tc>
          <w:tcPr>
            <w:tcW w:w="2945"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Assets</w:t>
            </w:r>
          </w:p>
        </w:tc>
        <w:tc>
          <w:tcPr>
            <w:tcW w:w="1122"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58,746 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75,708 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Arial;sans-serif" w:hAnsi="Arial;sans-serif"/>
                <w:b w:val="false"/>
                <w:color w:val="000000"/>
                <w:sz w:val="20"/>
              </w:rPr>
            </w:pPr>
            <w:r>
              <w:rPr>
                <w:rFonts w:ascii="Arial;sans-serif" w:hAnsi="Arial;sans-serif"/>
                <w:b w:val="false"/>
                <w:color w:val="000000"/>
                <w:sz w:val="20"/>
              </w:rPr>
              <w:t>Accounts receivable, net of allowances of $868 and $871, respectively</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10,665 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13,628 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00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85,023 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101,647 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Property and equipment, net</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assets</w:t>
            </w:r>
          </w:p>
        </w:tc>
        <w:tc>
          <w:tcPr>
            <w:tcW w:w="2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87,612 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104,794 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2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3,833 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00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12,510 </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13,317 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58,655 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 non-current portion</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long-term liabilities</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2,280 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w:t>
            </w:r>
          </w:p>
        </w:tc>
        <w:tc>
          <w:tcPr>
            <w:tcW w:w="1008"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73,794 </w:t>
            </w:r>
          </w:p>
        </w:tc>
        <w:tc>
          <w:tcPr>
            <w:tcW w:w="11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65,470 </w:t>
            </w:r>
          </w:p>
        </w:tc>
        <w:tc>
          <w:tcPr>
            <w:tcW w:w="15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10)</w:t>
            </w:r>
          </w:p>
        </w:tc>
        <w:tc>
          <w:tcPr>
            <w:tcW w:w="11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$0.01 par value, 200,000,000 authorized as of September 30, 2026 and December 31, 2025; 28,485,256 and 26,311,607 shares issued and outstanding as of September 30, 2026 and December 31, 2025, respectively</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Additional paid-in capital</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645,716 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629,916 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deficit</w:t>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(631,979)</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(590,652)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stockholders’ equity</w:t>
            </w:r>
          </w:p>
        </w:tc>
        <w:tc>
          <w:tcPr>
            <w:tcW w:w="1008"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13,818 </w:t>
            </w:r>
          </w:p>
        </w:tc>
        <w:tc>
          <w:tcPr>
            <w:tcW w:w="11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39,324 </w:t>
            </w:r>
          </w:p>
        </w:tc>
        <w:tc>
          <w:tcPr>
            <w:tcW w:w="15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753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liabilities and stockholders’ equity</w:t>
            </w:r>
          </w:p>
        </w:tc>
        <w:tc>
          <w:tcPr>
            <w:tcW w:w="22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87,612 </w:t>
            </w:r>
          </w:p>
        </w:tc>
        <w:tc>
          <w:tcPr>
            <w:tcW w:w="11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104,794 </w:t>
            </w:r>
          </w:p>
        </w:tc>
        <w:tc>
          <w:tcPr>
            <w:tcW w:w="15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8450"/>
                <wp:effectExtent l="0" t="0" r="0" b="0"/>
                <wp:wrapNone/>
                <wp:docPr id="5" name="Frame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Loss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and per share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983"/>
        <w:gridCol w:w="1393"/>
        <w:gridCol w:w="1398"/>
        <w:gridCol w:w="211"/>
        <w:gridCol w:w="781"/>
        <w:gridCol w:w="109"/>
        <w:gridCol w:w="109"/>
        <w:gridCol w:w="109"/>
        <w:gridCol w:w="109"/>
        <w:gridCol w:w="211"/>
        <w:gridCol w:w="781"/>
        <w:gridCol w:w="109"/>
        <w:gridCol w:w="109"/>
        <w:gridCol w:w="109"/>
        <w:gridCol w:w="109"/>
        <w:gridCol w:w="211"/>
        <w:gridCol w:w="781"/>
        <w:gridCol w:w="109"/>
        <w:gridCol w:w="109"/>
        <w:gridCol w:w="109"/>
        <w:gridCol w:w="109"/>
        <w:gridCol w:w="211"/>
        <w:gridCol w:w="781"/>
        <w:gridCol w:w="155"/>
      </w:tblGrid>
      <w:tr>
        <w:tc>
          <w:tcPr>
            <w:tcW w:w="1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c>
          <w:tcPr>
            <w:tcW w:w="4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4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14,690 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44,306 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40,627 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11,998 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12,753 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38,603 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34,515 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66,464 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25,043 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25,021 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76,832 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74,596 </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(13,045)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(12,268)</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(38,229)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(40,081)</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(4,410)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(14,164)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(12,873)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(41,324)</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(41,383)</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(14,163)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(12,870)</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(41,372)</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Cumulative translation adjustment</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Comprehensive loss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(14,163)</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(12,871)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(41,370)</w:t>
            </w:r>
          </w:p>
        </w:tc>
        <w:tc>
          <w:tcPr>
            <w:tcW w:w="15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basic and diluted</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5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7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Weighted-average common shares used to compute net loss per share, basic and diluted</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27,246,765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26,168,562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26,708,952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26,039,718</w:t>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8450"/>
                <wp:effectExtent l="0" t="0" r="0" b="0"/>
                <wp:wrapNone/>
                <wp:docPr id="6" name="Frame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Stockholders’ Equity</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share data)</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78"/>
        <w:gridCol w:w="872"/>
        <w:gridCol w:w="875"/>
        <w:gridCol w:w="427"/>
        <w:gridCol w:w="429"/>
        <w:gridCol w:w="186"/>
        <w:gridCol w:w="109"/>
        <w:gridCol w:w="109"/>
        <w:gridCol w:w="109"/>
        <w:gridCol w:w="181"/>
        <w:gridCol w:w="391"/>
        <w:gridCol w:w="109"/>
        <w:gridCol w:w="109"/>
        <w:gridCol w:w="109"/>
        <w:gridCol w:w="109"/>
        <w:gridCol w:w="181"/>
        <w:gridCol w:w="661"/>
        <w:gridCol w:w="109"/>
        <w:gridCol w:w="109"/>
        <w:gridCol w:w="109"/>
        <w:gridCol w:w="109"/>
        <w:gridCol w:w="181"/>
        <w:gridCol w:w="677"/>
        <w:gridCol w:w="109"/>
        <w:gridCol w:w="109"/>
        <w:gridCol w:w="109"/>
        <w:gridCol w:w="109"/>
        <w:gridCol w:w="293"/>
        <w:gridCol w:w="610"/>
        <w:gridCol w:w="178"/>
        <w:gridCol w:w="109"/>
        <w:gridCol w:w="109"/>
        <w:gridCol w:w="109"/>
        <w:gridCol w:w="200"/>
        <w:gridCol w:w="649"/>
        <w:gridCol w:w="174"/>
      </w:tblGrid>
      <w:tr>
        <w:tc>
          <w:tcPr>
            <w:tcW w:w="107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c>
          <w:tcPr>
            <w:tcW w:w="2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c>
          <w:tcPr>
            <w:tcW w:w="2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June 30, 2026</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26,641,597 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637,707 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(617,816)</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(204)</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19,953 </w:t>
            </w:r>
          </w:p>
        </w:tc>
        <w:tc>
          <w:tcPr>
            <w:tcW w:w="17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758 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2,871 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4,387 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1,838,514 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5,157 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three months ended September 30, 2026</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(14,163)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September 30, 2026</w:t>
            </w:r>
          </w:p>
        </w:tc>
        <w:tc>
          <w:tcPr>
            <w:tcW w:w="856"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28,485,256</w:t>
            </w:r>
            <w:r>
              <w:rPr>
                <w:color w:val="000000"/>
              </w:rPr>
              <w:t> </w:t>
            </w:r>
          </w:p>
        </w:tc>
        <w:tc>
          <w:tcPr>
            <w:tcW w:w="1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285</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645,716</w:t>
            </w:r>
            <w:r>
              <w:rPr>
                <w:color w:val="000000"/>
              </w:rPr>
              <w:t>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77"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(631,979)</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(204)</w:t>
            </w:r>
          </w:p>
        </w:tc>
        <w:tc>
          <w:tcPr>
            <w:tcW w:w="17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13,818</w:t>
            </w:r>
            <w:r>
              <w:rPr>
                <w:color w:val="000000"/>
              </w:rPr>
              <w:t> </w:t>
            </w:r>
          </w:p>
        </w:tc>
        <w:tc>
          <w:tcPr>
            <w:tcW w:w="17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June 30, 2025</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26,145,951 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623,724 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(565,848)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(203)</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57,934 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47,782 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148 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2,888 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three months ended September 30, 2025</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(12,870)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September 30, 2025</w:t>
            </w:r>
          </w:p>
        </w:tc>
        <w:tc>
          <w:tcPr>
            <w:tcW w:w="8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26,193,733</w:t>
            </w:r>
            <w:r>
              <w:rPr>
                <w:color w:val="000000"/>
              </w:rPr>
              <w:t> </w:t>
            </w:r>
          </w:p>
        </w:tc>
        <w:tc>
          <w:tcPr>
            <w:tcW w:w="1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262</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626,714</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7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(578,718)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(204)</w:t>
            </w:r>
          </w:p>
        </w:tc>
        <w:tc>
          <w:tcPr>
            <w:tcW w:w="17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48,054</w:t>
            </w:r>
            <w:r>
              <w:rPr>
                <w:color w:val="000000"/>
              </w:rPr>
              <w:t> </w:t>
            </w:r>
          </w:p>
        </w:tc>
        <w:tc>
          <w:tcPr>
            <w:tcW w:w="17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65"/>
        <w:gridCol w:w="875"/>
        <w:gridCol w:w="884"/>
        <w:gridCol w:w="427"/>
        <w:gridCol w:w="429"/>
        <w:gridCol w:w="186"/>
        <w:gridCol w:w="109"/>
        <w:gridCol w:w="109"/>
        <w:gridCol w:w="109"/>
        <w:gridCol w:w="181"/>
        <w:gridCol w:w="391"/>
        <w:gridCol w:w="109"/>
        <w:gridCol w:w="109"/>
        <w:gridCol w:w="109"/>
        <w:gridCol w:w="109"/>
        <w:gridCol w:w="181"/>
        <w:gridCol w:w="661"/>
        <w:gridCol w:w="109"/>
        <w:gridCol w:w="109"/>
        <w:gridCol w:w="109"/>
        <w:gridCol w:w="109"/>
        <w:gridCol w:w="181"/>
        <w:gridCol w:w="677"/>
        <w:gridCol w:w="109"/>
        <w:gridCol w:w="109"/>
        <w:gridCol w:w="109"/>
        <w:gridCol w:w="109"/>
        <w:gridCol w:w="293"/>
        <w:gridCol w:w="610"/>
        <w:gridCol w:w="178"/>
        <w:gridCol w:w="109"/>
        <w:gridCol w:w="109"/>
        <w:gridCol w:w="109"/>
        <w:gridCol w:w="200"/>
        <w:gridCol w:w="649"/>
        <w:gridCol w:w="175"/>
      </w:tblGrid>
      <w:tr>
        <w:tc>
          <w:tcPr>
            <w:tcW w:w="10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c>
          <w:tcPr>
            <w:tcW w:w="2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restart"/>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Total</w:t>
              <w:br/>
              <w:t>stockholders’</w:t>
              <w:br/>
              <w:t>equity</w:t>
            </w:r>
          </w:p>
        </w:tc>
      </w:tr>
      <w:tr>
        <w:tc>
          <w:tcPr>
            <w:tcW w:w="2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Shares</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4"/>
              </w:rPr>
            </w:pPr>
            <w:r>
              <w:rPr>
                <w:rFonts w:ascii="Arial;sans-serif" w:hAnsi="Arial;sans-serif"/>
                <w:b/>
                <w:color w:val="000000"/>
                <w:sz w:val="14"/>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continue"/>
            <w:tcBorders/>
            <w:shd w:fill="FFFFFF" w:val="clear"/>
            <w:tcMar>
              <w:top w:w="0" w:type="dxa"/>
              <w:left w:w="0" w:type="dxa"/>
              <w:bottom w:w="0" w:type="dxa"/>
              <w:right w:w="0" w:type="dxa"/>
            </w:tcMar>
            <w:vAlign w:val="center"/>
          </w:tcPr>
          <w:p>
            <w:pPr>
              <w:pStyle w:val="Normal"/>
              <w:bidi w:val="0"/>
              <w:jc w:val="left"/>
            </w:p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vMerge w:val="continue"/>
            <w:tcBorders/>
            <w:shd w:fill="FFFFFF" w:val="clear"/>
            <w:tcMar>
              <w:top w:w="0" w:type="dxa"/>
              <w:left w:w="0" w:type="dxa"/>
              <w:bottom w:w="0" w:type="dxa"/>
              <w:right w:w="0" w:type="dxa"/>
            </w:tcMar>
            <w:vAlign w:val="center"/>
          </w:tcPr>
          <w:p>
            <w:pPr>
              <w:pStyle w:val="Normal"/>
              <w:bidi w:val="0"/>
              <w:jc w:val="left"/>
            </w:p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December 31, 2025</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26,311,607 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263 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629,916 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(590,652)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(203)</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39,324 </w:t>
            </w:r>
          </w:p>
        </w:tc>
        <w:tc>
          <w:tcPr>
            <w:tcW w:w="17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43,639 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Employee Stock Purchase Plan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102,808 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9,452 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Vesting of restricted stock units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86,534 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1,940,668 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5,853 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nine months ended September 30, 2026</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(41,327)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(41,327)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September 30, 2026</w:t>
            </w:r>
          </w:p>
        </w:tc>
        <w:tc>
          <w:tcPr>
            <w:tcW w:w="85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28,485,256</w:t>
            </w:r>
            <w:r>
              <w:rPr>
                <w:color w:val="000000"/>
              </w:rPr>
              <w:t> </w:t>
            </w:r>
          </w:p>
        </w:tc>
        <w:tc>
          <w:tcPr>
            <w:tcW w:w="1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285</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645,716</w:t>
            </w:r>
            <w:r>
              <w:rPr>
                <w:color w:val="000000"/>
              </w:rPr>
              <w:t>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(631,979)</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(204)</w:t>
            </w:r>
          </w:p>
        </w:tc>
        <w:tc>
          <w:tcPr>
            <w:tcW w:w="17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pPr>
            <w:r>
              <w:rPr>
                <w:rFonts w:ascii="Arial;sans-serif" w:hAnsi="Arial;sans-serif"/>
                <w:b/>
                <w:color w:val="000000"/>
                <w:sz w:val="14"/>
              </w:rPr>
              <w:t>13,818</w:t>
            </w:r>
            <w:r>
              <w:rPr>
                <w:color w:val="000000"/>
              </w:rPr>
              <w:t> </w:t>
            </w:r>
          </w:p>
        </w:tc>
        <w:tc>
          <w:tcPr>
            <w:tcW w:w="17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Balances as of December 31, 2024</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25,324,684 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3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608,354 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(537,346)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(206)</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71,055 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Exercise of stock options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253,645 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597 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Proceeds from Employee Stock Purchase Plan</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71,942 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360 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Employee stock compensation</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8,259 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Issuance of common stock</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543,462 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9,153 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Net loss for the nine months ended September 30, 2025</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(41,372)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(41,372)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4"/>
              </w:rPr>
            </w:pPr>
            <w:r>
              <w:rPr>
                <w:rFonts w:ascii="Arial;sans-serif" w:hAnsi="Arial;sans-serif"/>
                <w:b w:val="false"/>
                <w:color w:val="000000"/>
                <w:sz w:val="14"/>
              </w:rPr>
              <w:t>Cumulative translation adjustment</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4"/>
              </w:rPr>
            </w:pPr>
            <w:r>
              <w:rPr>
                <w:rFonts w:ascii="Arial;sans-serif" w:hAnsi="Arial;sans-serif"/>
                <w:b w:val="false"/>
                <w:color w:val="000000"/>
                <w:sz w:val="14"/>
              </w:rPr>
              <w:t>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Balances as of September 30, 2025</w:t>
            </w:r>
          </w:p>
        </w:tc>
        <w:tc>
          <w:tcPr>
            <w:tcW w:w="856" w:type="dxa"/>
            <w:gridSpan w:val="2"/>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26,193,733</w:t>
            </w:r>
            <w:r>
              <w:rPr>
                <w:color w:val="000000"/>
              </w:rPr>
              <w:t> </w:t>
            </w:r>
          </w:p>
        </w:tc>
        <w:tc>
          <w:tcPr>
            <w:tcW w:w="18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39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262</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6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626,714</w:t>
            </w:r>
            <w:r>
              <w:rPr>
                <w:color w:val="000000"/>
              </w:rPr>
              <w:t>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7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(578,718)</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1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color w:val="000000"/>
                <w:sz w:val="14"/>
              </w:rPr>
            </w:pPr>
            <w:r>
              <w:rPr>
                <w:rFonts w:ascii="Arial;sans-serif" w:hAnsi="Arial;sans-serif"/>
                <w:b/>
                <w:color w:val="000000"/>
                <w:sz w:val="14"/>
              </w:rPr>
              <w:t>(204)</w:t>
            </w:r>
          </w:p>
        </w:tc>
        <w:tc>
          <w:tcPr>
            <w:tcW w:w="17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color w:val="000000"/>
                <w:sz w:val="14"/>
              </w:rPr>
            </w:pPr>
            <w:r>
              <w:rPr>
                <w:rFonts w:ascii="Arial;sans-serif" w:hAnsi="Arial;sans-serif"/>
                <w:b/>
                <w:color w:val="000000"/>
                <w:sz w:val="14"/>
              </w:rPr>
              <w:t>$</w:t>
            </w:r>
          </w:p>
        </w:tc>
        <w:tc>
          <w:tcPr>
            <w:tcW w:w="64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pPr>
            <w:r>
              <w:rPr>
                <w:rFonts w:ascii="Arial;sans-serif" w:hAnsi="Arial;sans-serif"/>
                <w:b/>
                <w:color w:val="000000"/>
                <w:sz w:val="14"/>
              </w:rPr>
              <w:t>48,054</w:t>
            </w:r>
            <w:r>
              <w:rPr>
                <w:color w:val="000000"/>
              </w:rPr>
              <w:t> </w:t>
            </w:r>
          </w:p>
        </w:tc>
        <w:tc>
          <w:tcPr>
            <w:tcW w:w="17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8450"/>
                <wp:effectExtent l="0" t="0" r="0" b="0"/>
                <wp:wrapNone/>
                <wp:docPr id="7" name="Frame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200"/>
        <w:jc w:val="center"/>
        <w:rPr>
          <w:rFonts w:ascii="Arial;sans-serif" w:hAnsi="Arial;sans-serif"/>
          <w:b/>
          <w:color w:val="000000"/>
          <w:sz w:val="20"/>
        </w:rPr>
      </w:pPr>
      <w:r>
        <w:rPr>
          <w:rFonts w:ascii="Arial;sans-serif" w:hAnsi="Arial;sans-serif"/>
          <w:b/>
          <w:color w:val="000000"/>
          <w:sz w:val="20"/>
        </w:rPr>
        <w:t>(Unaudited)</w:t>
      </w:r>
    </w:p>
    <w:tbl>
      <w:tblPr>
        <w:tblW w:w="9144" w:type="dxa"/>
        <w:jc w:val="center"/>
        <w:tblInd w:w="0" w:type="dxa"/>
        <w:tblLayout w:type="fixed"/>
        <w:tblCellMar>
          <w:top w:w="28" w:type="dxa"/>
          <w:left w:w="28" w:type="dxa"/>
          <w:bottom w:w="28" w:type="dxa"/>
          <w:right w:w="28" w:type="dxa"/>
        </w:tblCellMar>
      </w:tblPr>
      <w:tblGrid>
        <w:gridCol w:w="2355"/>
        <w:gridCol w:w="2071"/>
        <w:gridCol w:w="2084"/>
        <w:gridCol w:w="211"/>
        <w:gridCol w:w="811"/>
        <w:gridCol w:w="109"/>
        <w:gridCol w:w="109"/>
        <w:gridCol w:w="109"/>
        <w:gridCol w:w="109"/>
        <w:gridCol w:w="211"/>
        <w:gridCol w:w="811"/>
        <w:gridCol w:w="154"/>
      </w:tblGrid>
      <w:tr>
        <w:tc>
          <w:tcPr>
            <w:tcW w:w="2355"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6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2025</w:t>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flows from operating activities:</w:t>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Adjustments to reconcile net loss to net cash used in operating activities:</w:t>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Stock-based compensation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Depreciation of property and equipment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on disposal of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Amortization of deferred financing costs and loan discount</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Changes in operating assets and liabilities: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receivable</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Inventory</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Prepaid expenses and other current assets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operating activities</w:t>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(31,887)</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(30,412)</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flows from investing activities:</w:t>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Purchase of property and equipment</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investing activities</w:t>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(332)</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flows from financing activities:</w:t>
            </w:r>
          </w:p>
        </w:tc>
        <w:tc>
          <w:tcPr>
            <w:tcW w:w="113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the exercise of common stock options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Employee Stock Purchase Plan</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the issuance of common stock</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Proceeds from debt financing</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Debt financing costs</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provided by financing activities</w:t>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15,258 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10,110 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 of currency exchange on cash and cash equivalents</w:t>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Net change in cash and cash equivalents</w:t>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(16,962)</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(20,809)</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and cash equivalents at beginning of period</w:t>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105,933 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Cash and cash equivalents at end of period</w:t>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58,746 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85,124 </w:t>
            </w:r>
          </w:p>
        </w:tc>
        <w:tc>
          <w:tcPr>
            <w:tcW w:w="154"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Supplemental Information:</w:t>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1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Cash paid for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center"/>
        <w:rPr>
          <w:rFonts w:ascii="Arial;sans-serif" w:hAnsi="Arial;sans-serif"/>
          <w:b w:val="false"/>
          <w:color w:val="000000"/>
          <w:sz w:val="20"/>
        </w:rPr>
      </w:pPr>
      <w:r>
        <w:rPr>
          <w:rFonts w:ascii="Arial;sans-serif" w:hAnsi="Arial;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8450"/>
                <wp:effectExtent l="0" t="0" r="0" b="0"/>
                <wp:wrapNone/>
                <wp:docPr id="8" name="Frame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CVRx, INC.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240"/>
        <w:jc w:val="center"/>
        <w:rPr>
          <w:rFonts w:ascii="Arial;sans-serif" w:hAnsi="Arial;sans-serif"/>
          <w:b/>
          <w:color w:val="000000"/>
          <w:sz w:val="20"/>
        </w:rPr>
      </w:pPr>
      <w:r>
        <w:rPr>
          <w:rFonts w:ascii="Arial;sans-serif" w:hAnsi="Arial;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  Business organization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CVRx, Inc. (the “Company”) was incorporated in Delaware and is headquartered in Minneapolis, Minnesota. The Company has developed and is marketing a medical device, Barostim, for heart failure (“HF”) and resistant hypertension. The Company is focused on the sale of its product in the U.S. and Europe.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Management expects that operating losses and negative cash flows from operations could continue in the foreseeable future. There is no assurance that the Company will generate sufficient product sales to produce positive earnings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2.  Summary of significant accounting policies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Statement presentation and basis of consolidation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have been prepared in accordance with accounting principles generally accepted in the United States of America (“U.S. GAAP”) for interim financial information and with the rules and regulations of the U.S. Securities and Exchange Commission (“SEC”) applicable to interim financial statements. In the Company’s opinion, the accompanying unaudited condensed consolidated financial statements reflect all adjustments necessary for a fair presentation of the Company’s statements of financial position, results of operations, and cash flows for the periods presented. The results of operations for the interim periods are not necessarily indicative of results that may be expected for the fiscal year as a whole or any other future period.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condensed consolidated financial statements include the accounts of CVRx, Inc. and its wholly owned subsidiary, CVRx Switzerland LLC. All intercompany balances and transactions have been eliminated in consolidation.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JOBS Act accounting election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are an emerging growth company under the Jumpstart Our Business Startups Act of 2012 (the “JOBS Act”). As a result, we have elected to take advantage of certain exemptions from various reporting requirements that are applicable to other public companies that are not emerging growth companies.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the accompanying notes. Actual results could differ from those estimates.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Cash and cash equivalents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Cash and cash equivalents include highly liquid investments with an original maturity of three months or less. As of September 30, 2026 and December 31, 2025, cash equivalents consisted of money market funds, which are stated at cost and approximate fair value. Additionally, as of September 30, 2026 and December 31, 2025, a majority of our cash and cash equivalents were maintained with two financial institutions in the U.S., and our current deposits were in excess of insured limits.</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Accounts receivable</w:t>
      </w:r>
    </w:p>
    <w:p>
      <w:pPr>
        <w:pStyle w:val="TextBody"/>
        <w:bidi w:val="0"/>
        <w:spacing w:lineRule="auto" w:line="288" w:before="0" w:after="240"/>
        <w:jc w:val="left"/>
      </w:pPr>
      <w:r>
        <w:rPr>
          <w:rFonts w:ascii="Arial;sans-serif" w:hAnsi="Arial;sans-serif"/>
          <w:b w:val="false"/>
          <w:color w:val="000000"/>
          <w:sz w:val="20"/>
        </w:rPr>
        <w:t xml:space="preserve">Trade accounts receivable are recorded at the invoiced amount and do not bear interest. Customer credit terms are established prior to shipment with the standard generally being net 30 days. </w:t>
      </w:r>
      <w:r>
        <w:rPr>
          <w:rFonts w:ascii="Arial;sans-serif" w:hAnsi="Arial;sans-serif"/>
          <w:b w:val="false"/>
          <w:color w:val="000000"/>
          <w:sz w:val="20"/>
          <w:shd w:fill="FFFFFF" w:val="clear"/>
        </w:rPr>
        <w:t xml:space="preserve">We evaluate the collectability of our accounts receivable based on known collection risks and historical experience. In circumstances where we are aware of a specific customer's inability to meet its financial obligations to us, we record a specific allowance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8450"/>
                <wp:effectExtent l="0" t="0" r="0" b="0"/>
                <wp:wrapNone/>
                <wp:docPr id="9" name="Frame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for bad debts against amounts due to reduce the carrying amount of accounts receivable to the amount we reasonably believe will be collected.</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Inventory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Inventory is stated at the lower of cost or net realizable value, with cost determined on a first-in, first-out basis. We regularly review inventory quantities based on actual loss experiences, projected future demand and remaining shelf life to record a provision for excess and obsolete inventory when appropriate.</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Operating leases are included in operating lease right-of-use (“ROU”) asset, accrued expenses, and operating lease liability – non-current portion in our balance sheets. 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We used the incremental borrowing rate based on information readily available at the time of recognition to determine the present value of the lease payments. The determination of our incremental borrowing rate requires management judgment based on information available at lease commencement.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Revenue recognition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sell our products primarily through a direct sales force and to a lesser extent through a combination of sales agents and independent distributors. Our revenue consists primarily of the sale of our Barostim, which consists of two implantable components: a pulse generator and a stimulation lead.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Under Accounting Standards Codification (“ASC”) Topic 606, Revenue from Contracts with Customers (“ASC 606”), revenue is recognized when a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we perform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it transfers to the customer. We recognize net revenue on product sales, adjusted for any applicable estimates of variable consideration, when the customer obtains control of our product, which generally occurs at a point in time upon delivery based on the contractual shipping terms of a contract. Our contracts have a single performance obligation, and our payment terms with customers are generally between 30 and 90 days. Variable consideration related to certain customer rebates is estimated based on the amounts expected to be paid under the agreement with the customer.</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Stock-based compensation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We recognize equity-based compensation expense for awards of equity instruments to employees and non-employees based on the grant date fair value of those awards in accordance with Financial Accounting Standards Board (“FASB”) Accounting Standards Codification Topic 718, Compensation—Stock Compensation (“ASC 718”). ASC 718 requires all equity-based compensation awards to employees and non-employee directors, including grants of restricted shares and stock options, to be recognized as expense in the statements of operations and comprehensive loss based on their grant date fair values. We estimate the grant date fair value of stock options using the Black-Scholes option pricing model, and the fair value of restricted stock units (“RSUs”) and performance stock units (“PSUs”) are equal to the closing price of our common stock on the grant date. We account for forfeitures as they occur. We expense the fair value of our equity-based compensation awards granted to employees on a straight-line basis over the associated service period, which is generally the period in which the related services are received for stock options and RSUs, and the performance period and any additional service period based on the probability of achieving the performance objectives for PSUs.</w:t>
      </w:r>
    </w:p>
    <w:p>
      <w:pPr>
        <w:pStyle w:val="TextBody"/>
        <w:bidi w:val="0"/>
        <w:spacing w:before="0" w:after="0"/>
        <w:jc w:val="left"/>
      </w:pPr>
      <w:r/>
    </w:p>
    <w:p>
      <w:pPr>
        <w:pStyle w:val="TextBody"/>
        <w:bidi w:val="0"/>
        <w:spacing w:before="0" w:after="0"/>
        <w:jc w:val="left"/>
      </w:pPr>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8450"/>
                <wp:effectExtent l="0" t="0" r="0" b="0"/>
                <wp:wrapNone/>
                <wp:docPr id="10" name="Frame1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Recent accounting pronouncements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2024, the FASB issued ASU 2024-03, Income Statement — Reporting Comprehensive Income (Subtopic 220-40): Disaggregation of Income Statement Expenses. The amendments require public business entities to provide enhanced disclosures related to the disaggregation of income statement expenses, including additional quantitative and qualitative information about the nature of expenses presented within relevant expense captions. The guidance is effective for annual reporting periods beginning after December 15, 2026, and interim reporting periods beginning after December 15, 2027, with early adoption permitted. We have not yet adopted ASU 2024-03 and are in the process of evaluating the impact of the guidance on our consolidated financial statements. While the amendments will require additional disclosures and may require changes to internal data aggregation and reporting processes, we do not expect adoption to have a material impact on our results of operations, financial position, or cash flows.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3.  Selected balance sheet information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Inventory consists of the following at:</w:t>
      </w:r>
    </w:p>
    <w:tbl>
      <w:tblPr>
        <w:tblW w:w="4629" w:type="dxa"/>
        <w:jc w:val="left"/>
        <w:tblInd w:w="0" w:type="dxa"/>
        <w:tblLayout w:type="fixed"/>
        <w:tblCellMar>
          <w:top w:w="28" w:type="dxa"/>
          <w:left w:w="28" w:type="dxa"/>
          <w:bottom w:w="28" w:type="dxa"/>
          <w:right w:w="28" w:type="dxa"/>
        </w:tblCellMar>
      </w:tblPr>
      <w:tblGrid>
        <w:gridCol w:w="554"/>
        <w:gridCol w:w="487"/>
        <w:gridCol w:w="490"/>
        <w:gridCol w:w="109"/>
        <w:gridCol w:w="109"/>
        <w:gridCol w:w="109"/>
        <w:gridCol w:w="242"/>
        <w:gridCol w:w="863"/>
        <w:gridCol w:w="125"/>
        <w:gridCol w:w="109"/>
        <w:gridCol w:w="109"/>
        <w:gridCol w:w="109"/>
        <w:gridCol w:w="229"/>
        <w:gridCol w:w="818"/>
        <w:gridCol w:w="167"/>
      </w:tblGrid>
      <w:tr>
        <w:tc>
          <w:tcPr>
            <w:tcW w:w="55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c>
          <w:tcPr>
            <w:tcW w:w="15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Raw material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9,468 </w:t>
            </w:r>
          </w:p>
        </w:tc>
        <w:tc>
          <w:tcPr>
            <w:tcW w:w="12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8,628 </w:t>
            </w:r>
          </w:p>
        </w:tc>
        <w:tc>
          <w:tcPr>
            <w:tcW w:w="167"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3,670 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6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13,628 </w:t>
            </w:r>
          </w:p>
        </w:tc>
        <w:tc>
          <w:tcPr>
            <w:tcW w:w="12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12,205 </w:t>
            </w:r>
          </w:p>
        </w:tc>
        <w:tc>
          <w:tcPr>
            <w:tcW w:w="1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Property and equipment, net consists of the following at:</w:t>
      </w:r>
    </w:p>
    <w:tbl>
      <w:tblPr>
        <w:tblW w:w="7506" w:type="dxa"/>
        <w:jc w:val="left"/>
        <w:tblInd w:w="0" w:type="dxa"/>
        <w:tblLayout w:type="fixed"/>
        <w:tblCellMar>
          <w:top w:w="28" w:type="dxa"/>
          <w:left w:w="28" w:type="dxa"/>
          <w:bottom w:w="28" w:type="dxa"/>
          <w:right w:w="28" w:type="dxa"/>
        </w:tblCellMar>
      </w:tblPr>
      <w:tblGrid>
        <w:gridCol w:w="1598"/>
        <w:gridCol w:w="1403"/>
        <w:gridCol w:w="1408"/>
        <w:gridCol w:w="109"/>
        <w:gridCol w:w="109"/>
        <w:gridCol w:w="109"/>
        <w:gridCol w:w="268"/>
        <w:gridCol w:w="823"/>
        <w:gridCol w:w="138"/>
        <w:gridCol w:w="109"/>
        <w:gridCol w:w="109"/>
        <w:gridCol w:w="109"/>
        <w:gridCol w:w="253"/>
        <w:gridCol w:w="776"/>
        <w:gridCol w:w="185"/>
      </w:tblGrid>
      <w:tr>
        <w:tc>
          <w:tcPr>
            <w:tcW w:w="1598"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c>
          <w:tcPr>
            <w:tcW w:w="44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Office furniture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512 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Lab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3,533 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Computer equipment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Capital equipment in process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5,453 </w:t>
            </w:r>
          </w:p>
        </w:tc>
        <w:tc>
          <w:tcPr>
            <w:tcW w:w="138"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6,391 </w:t>
            </w:r>
          </w:p>
        </w:tc>
        <w:tc>
          <w:tcPr>
            <w:tcW w:w="185"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3,513 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4,148 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1,940 </w:t>
            </w:r>
          </w:p>
        </w:tc>
        <w:tc>
          <w:tcPr>
            <w:tcW w:w="13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2,243 </w:t>
            </w:r>
          </w:p>
        </w:tc>
        <w:tc>
          <w:tcPr>
            <w:tcW w:w="1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Depreciation is determined using the straight-line method over the estimated useful lives of the respective assets, generally three to five years. Leasehold improvements are amortized on a straight-line basis over the shorter of their estimated useful lives or the term of the lease. Depreciation expense was $0.2 million for each of the three months ended September 30, 2026 and 2025, and $0.6 million for each of the nine months ended September 30, 2026 and 2025, respectively.</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8450"/>
                <wp:effectExtent l="0" t="0" r="0" b="0"/>
                <wp:wrapNone/>
                <wp:docPr id="11" name="Frame1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Accrued expenses consist of the following at:</w:t>
      </w:r>
    </w:p>
    <w:tbl>
      <w:tblPr>
        <w:tblW w:w="6637" w:type="dxa"/>
        <w:jc w:val="left"/>
        <w:tblInd w:w="0" w:type="dxa"/>
        <w:tblLayout w:type="fixed"/>
        <w:tblCellMar>
          <w:top w:w="28" w:type="dxa"/>
          <w:left w:w="28" w:type="dxa"/>
          <w:bottom w:w="28" w:type="dxa"/>
          <w:right w:w="28" w:type="dxa"/>
        </w:tblCellMar>
      </w:tblPr>
      <w:tblGrid>
        <w:gridCol w:w="1282"/>
        <w:gridCol w:w="1124"/>
        <w:gridCol w:w="1134"/>
        <w:gridCol w:w="109"/>
        <w:gridCol w:w="109"/>
        <w:gridCol w:w="109"/>
        <w:gridCol w:w="268"/>
        <w:gridCol w:w="823"/>
        <w:gridCol w:w="138"/>
        <w:gridCol w:w="109"/>
        <w:gridCol w:w="109"/>
        <w:gridCol w:w="109"/>
        <w:gridCol w:w="253"/>
        <w:gridCol w:w="776"/>
        <w:gridCol w:w="185"/>
      </w:tblGrid>
      <w:tr>
        <w:tc>
          <w:tcPr>
            <w:tcW w:w="1282"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c>
          <w:tcPr>
            <w:tcW w:w="3540"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3,439 </w:t>
            </w:r>
          </w:p>
        </w:tc>
        <w:tc>
          <w:tcPr>
            <w:tcW w:w="138"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5,200 </w:t>
            </w:r>
          </w:p>
        </w:tc>
        <w:tc>
          <w:tcPr>
            <w:tcW w:w="185"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401(k) match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1,136 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Customer rebates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469 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Paid time 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Clinical trial and other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1,846 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753 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8,368 </w:t>
            </w:r>
          </w:p>
        </w:tc>
        <w:tc>
          <w:tcPr>
            <w:tcW w:w="138"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7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9,484 </w:t>
            </w:r>
          </w:p>
        </w:tc>
        <w:tc>
          <w:tcPr>
            <w:tcW w:w="185"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4. Debt</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Innovatus Loan Agreement</w:t>
      </w:r>
    </w:p>
    <w:p>
      <w:pPr>
        <w:pStyle w:val="TextBody"/>
        <w:bidi w:val="0"/>
        <w:spacing w:lineRule="auto" w:line="276" w:before="0" w:after="0"/>
        <w:jc w:val="left"/>
      </w:pPr>
      <w:r>
        <w:rPr>
          <w:rFonts w:ascii="Arial;sans-serif" w:hAnsi="Arial;sans-serif"/>
          <w:b w:val="false"/>
          <w:color w:val="000000"/>
          <w:sz w:val="20"/>
        </w:rPr>
        <w:t xml:space="preserve">On October 31, 2022, we entered into a Loan and Security Agreement (the “Loan Agreement”) with Innovatus Life Sciences Fund I, LP, as the collateral agent and a lender, allowing us to borrow, subject to our achievement of certain milestones, up to a total of </w:t>
      </w:r>
      <w:r>
        <w:rPr>
          <w:rFonts w:ascii="Arial;sans-serif" w:hAnsi="Arial;sans-serif"/>
          <w:b w:val="false"/>
          <w:color w:val="000000"/>
          <w:sz w:val="20"/>
          <w:shd w:fill="FFFFFF" w:val="clear"/>
        </w:rPr>
        <w:t>$50.0 million</w:t>
      </w:r>
      <w:r>
        <w:rPr>
          <w:color w:val="000000"/>
        </w:rPr>
        <w:t xml:space="preserve"> </w:t>
      </w:r>
      <w:r>
        <w:rPr>
          <w:rFonts w:ascii="Arial;sans-serif" w:hAnsi="Arial;sans-serif"/>
          <w:b w:val="false"/>
          <w:color w:val="000000"/>
          <w:sz w:val="20"/>
        </w:rPr>
        <w:t>in a series of term loans (collectively, the “Term Loans”). On January 9, 2026, we entered into an Amendment to our existing Loan Agreement. Pursuant to the Amendment, the term loans available were increased by $50.0 million, to an aggregate principal amount of up to $100.0 million, subject to our achievement of certain milestones, and the maturity date was extended to 2031. In connection with the Amendment, we borrowed an additional $10.0 million under the Loan Agreement. W</w:t>
      </w:r>
      <w:r>
        <w:rPr>
          <w:rFonts w:ascii="Arial;sans-serif" w:hAnsi="Arial;sans-serif"/>
          <w:b w:val="false"/>
          <w:color w:val="000000"/>
          <w:sz w:val="20"/>
          <w:shd w:fill="FFFFFF" w:val="clear"/>
        </w:rPr>
        <w:t xml:space="preserve">e had $60.0 million in outstanding Term Loans under the Loan Agreement as of </w:t>
      </w:r>
      <w:r>
        <w:rPr>
          <w:rFonts w:ascii="Arial;sans-serif" w:hAnsi="Arial;sans-serif"/>
          <w:b w:val="false"/>
          <w:color w:val="000000"/>
          <w:sz w:val="20"/>
        </w:rPr>
        <w:t>September 30, 2026</w:t>
      </w:r>
      <w:r>
        <w:rPr>
          <w:rFonts w:ascii="Arial;sans-serif" w:hAnsi="Arial;sans-serif"/>
          <w:b w:val="false"/>
          <w:color w:val="000000"/>
          <w:sz w:val="20"/>
          <w:shd w:fill="FFFFFF" w:val="clear"/>
        </w:rPr>
        <w:t>.</w:t>
      </w:r>
      <w:r>
        <w:rPr>
          <w:color w:val="000000"/>
        </w:rPr>
        <w:t xml:space="preserve"> </w:t>
      </w:r>
      <w:r>
        <w:rPr>
          <w:rFonts w:ascii="Arial;sans-serif" w:hAnsi="Arial;sans-serif"/>
          <w:b w:val="false"/>
          <w:color w:val="000000"/>
          <w:sz w:val="20"/>
        </w:rPr>
        <w:t xml:space="preserve">The Term Loans require interest only payments through December 2029, followed by monthly principal and interest payments. A final payment of </w:t>
      </w:r>
      <w:r>
        <w:rPr>
          <w:rFonts w:ascii="Arial;sans-serif" w:hAnsi="Arial;sans-serif"/>
          <w:b w:val="false"/>
          <w:color w:val="000000"/>
          <w:sz w:val="20"/>
          <w:shd w:fill="FFFFFF" w:val="clear"/>
        </w:rPr>
        <w:t>$2.7 million</w:t>
      </w:r>
      <w:r>
        <w:rPr>
          <w:rFonts w:ascii="Arial;sans-serif" w:hAnsi="Arial;sans-serif"/>
          <w:b w:val="false"/>
          <w:color w:val="000000"/>
          <w:sz w:val="20"/>
        </w:rPr>
        <w:t>, equal to 4.5% of the original borrowed principal amount, is due in May 2031. The Term Loans bear interest at a floating rate per annum equal to the sum of (a) the greater of (i) the prime rate or (ii) 6.75%; plus (b) 2.65%, which margin will decrease to 2% after we achieve a positive adjusted EBITDA for two consecutive quarters. The Term Loans are secured by substantially all of our personal property. A performance covenant took effect upon the third tranche funding, requiring that we achieve 50% of the trailing twelve months revenue target set in the Board-approved revenue plan in effect for such period. The Loan Agreement requires the payment of certain penalties if the Term Loans are paid off prior to maturity for any reason, including pursuant to an acceleration clause, and includes various restrictive covenants, including a restriction on the payment of dividends or making other distributions or payments on our capital stock, subject to limited exceptions. We were in compliance with these covenants as of September 30, 2026.</w:t>
      </w:r>
    </w:p>
    <w:p>
      <w:pPr>
        <w:pStyle w:val="TextBody"/>
        <w:bidi w:val="0"/>
        <w:spacing w:before="0" w:after="0"/>
        <w:jc w:val="left"/>
      </w:pPr>
      <w:r/>
    </w:p>
    <w:p>
      <w:pPr>
        <w:pStyle w:val="TextBody"/>
        <w:bidi w:val="0"/>
        <w:spacing w:lineRule="auto" w:line="288" w:before="0" w:after="240"/>
        <w:jc w:val="left"/>
      </w:pPr>
      <w:r>
        <w:rPr>
          <w:rFonts w:ascii="Arial;sans-serif" w:hAnsi="Arial;sans-serif"/>
          <w:b w:val="false"/>
          <w:color w:val="000000"/>
          <w:sz w:val="20"/>
        </w:rPr>
        <w:t xml:space="preserve">In connection with the Loan Agreement, we recorded </w:t>
      </w:r>
      <w:r>
        <w:rPr>
          <w:rFonts w:ascii="Arial;sans-serif" w:hAnsi="Arial;sans-serif"/>
          <w:b w:val="false"/>
          <w:color w:val="000000"/>
          <w:sz w:val="20"/>
          <w:shd w:fill="FFFFFF" w:val="clear"/>
        </w:rPr>
        <w:t>$2.2 million</w:t>
      </w:r>
      <w:r>
        <w:rPr>
          <w:color w:val="000000"/>
        </w:rPr>
        <w:t xml:space="preserve"> </w:t>
      </w:r>
      <w:r>
        <w:rPr>
          <w:rFonts w:ascii="Arial;sans-serif" w:hAnsi="Arial;sans-serif"/>
          <w:b w:val="false"/>
          <w:color w:val="000000"/>
          <w:sz w:val="20"/>
        </w:rPr>
        <w:t xml:space="preserve">of debt issuance costs and discounts as a reduction of long-term debt.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8450"/>
                <wp:effectExtent l="0" t="0" r="0" b="0"/>
                <wp:wrapNone/>
                <wp:docPr id="12" name="Frame1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annual principal maturities of debt under the Loan Agreement are as follows:</w:t>
      </w:r>
    </w:p>
    <w:tbl>
      <w:tblPr>
        <w:tblW w:w="5606" w:type="dxa"/>
        <w:jc w:val="left"/>
        <w:tblInd w:w="0" w:type="dxa"/>
        <w:tblLayout w:type="fixed"/>
        <w:tblCellMar>
          <w:top w:w="28" w:type="dxa"/>
          <w:left w:w="28" w:type="dxa"/>
          <w:bottom w:w="28" w:type="dxa"/>
          <w:right w:w="28" w:type="dxa"/>
        </w:tblCellMar>
      </w:tblPr>
      <w:tblGrid>
        <w:gridCol w:w="1451"/>
        <w:gridCol w:w="1273"/>
        <w:gridCol w:w="1280"/>
        <w:gridCol w:w="109"/>
        <w:gridCol w:w="109"/>
        <w:gridCol w:w="109"/>
        <w:gridCol w:w="241"/>
        <w:gridCol w:w="858"/>
        <w:gridCol w:w="176"/>
      </w:tblGrid>
      <w:t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r>
      <w:tr>
        <w:tc>
          <w:tcPr>
            <w:tcW w:w="400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41,250 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18,750 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60,000 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Unamortized debt costs and discounts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0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58"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58,655 </w:t>
            </w:r>
          </w:p>
        </w:tc>
        <w:tc>
          <w:tcPr>
            <w:tcW w:w="17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5.  Leases</w:t>
      </w:r>
    </w:p>
    <w:p>
      <w:pPr>
        <w:pStyle w:val="TextBody"/>
        <w:bidi w:val="0"/>
        <w:spacing w:lineRule="auto" w:line="276" w:before="0" w:after="0"/>
        <w:jc w:val="left"/>
      </w:pPr>
      <w:r>
        <w:rPr>
          <w:rFonts w:ascii="Arial;sans-serif" w:hAnsi="Arial;sans-serif"/>
          <w:b w:val="false"/>
          <w:color w:val="000000"/>
          <w:sz w:val="20"/>
          <w:shd w:fill="FFFFFF" w:val="clear"/>
        </w:rPr>
        <w:t xml:space="preserve">We lease 35,183 square feet of office space in Minneapolis, Minnesota, which houses our principal executive offices and our manufacturing facility. We lease this space under an operating lease agreement that commenced December 1, 2008 and was scheduled to expire August 31, 2024. On April 21, 2023, we extended the operating lease for our office space in Minneapolis, Minnesota for an additional 49 consecutive months through August 31, 2028. On November 7, 2023, we expanded our existing office space with the addition of 7,615 square feet of property adjacent to our principal executive offices and our manufacturing facility. </w:t>
      </w:r>
      <w:r>
        <w:rPr>
          <w:rFonts w:ascii="Arial;sans-serif" w:hAnsi="Arial;sans-serif"/>
          <w:b w:val="false"/>
          <w:color w:val="000000"/>
          <w:sz w:val="20"/>
        </w:rPr>
        <w:t>On May 20, 2025, we further increased our office space by leasing an additional 3,678 square feet of the contiguous property.</w:t>
      </w:r>
      <w:r>
        <w:rPr>
          <w:color w:val="000000"/>
          <w:shd w:fill="FFFFFF" w:val="clear"/>
        </w:rPr>
        <w:t xml:space="preserve"> </w:t>
      </w:r>
      <w:r>
        <w:rPr>
          <w:rFonts w:ascii="Arial;sans-serif" w:hAnsi="Arial;sans-serif"/>
          <w:b w:val="false"/>
          <w:color w:val="000000"/>
          <w:sz w:val="20"/>
          <w:shd w:fill="FFFFFF" w:val="clear"/>
        </w:rPr>
        <w:t>The term on this expanded property is for 40 consecutive months, which will run concurrently with the term on the existing lease. We intend to add new facilities as we grow, and we believe that suitable additional or substitute space will be available as needed to accommodate any such expansion of our operations. Our operating lease agreement includes an option to renew for one additional period of three years. The exercise of the lease renewal option is at our sole discretion and was not included in the lease term for the calculation of the ROU asset and lease liability, as it is not reasonably certain of exercise.</w:t>
      </w:r>
    </w:p>
    <w:p>
      <w:pPr>
        <w:pStyle w:val="TextBody"/>
        <w:bidi w:val="0"/>
        <w:spacing w:before="0" w:after="0"/>
        <w:jc w:val="left"/>
      </w:p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 addition to base rent, we also pay our proportionate share of operating expenses, as defined in the lease. These payments are made monthly and are adjusted annually to reflect actual charges incurred for operating expenses, such as common area maintenance, taxes, and insurance.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presents the lease balances within the condensed consolidated balance sheets:</w:t>
      </w:r>
    </w:p>
    <w:tbl>
      <w:tblPr>
        <w:tblW w:w="6984" w:type="dxa"/>
        <w:jc w:val="left"/>
        <w:tblInd w:w="0" w:type="dxa"/>
        <w:tblLayout w:type="fixed"/>
        <w:tblCellMar>
          <w:top w:w="28" w:type="dxa"/>
          <w:left w:w="28" w:type="dxa"/>
          <w:bottom w:w="28" w:type="dxa"/>
          <w:right w:w="28" w:type="dxa"/>
        </w:tblCellMar>
      </w:tblPr>
      <w:tblGrid>
        <w:gridCol w:w="1407"/>
        <w:gridCol w:w="1235"/>
        <w:gridCol w:w="1243"/>
        <w:gridCol w:w="109"/>
        <w:gridCol w:w="109"/>
        <w:gridCol w:w="109"/>
        <w:gridCol w:w="324"/>
        <w:gridCol w:w="739"/>
        <w:gridCol w:w="167"/>
        <w:gridCol w:w="109"/>
        <w:gridCol w:w="109"/>
        <w:gridCol w:w="109"/>
        <w:gridCol w:w="302"/>
        <w:gridCol w:w="690"/>
        <w:gridCol w:w="223"/>
      </w:tblGrid>
      <w:t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December 31,</w:t>
              <w:br/>
              <w:t>2025</w:t>
            </w:r>
          </w:p>
        </w:tc>
      </w:tr>
      <w:tr>
        <w:tc>
          <w:tcPr>
            <w:tcW w:w="388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right-of-use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878 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lease liability,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 xml:space="preserve">Total operating lease 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3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16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90"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990 </w:t>
            </w:r>
          </w:p>
        </w:tc>
        <w:tc>
          <w:tcPr>
            <w:tcW w:w="223"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8450"/>
                <wp:effectExtent l="0" t="0" r="0" b="0"/>
                <wp:wrapNone/>
                <wp:docPr id="13" name="Frame1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Maturities of our lease liability for our operating lease are as follows as of September 30, 2026:</w:t>
      </w:r>
    </w:p>
    <w:tbl>
      <w:tblPr>
        <w:tblW w:w="4811" w:type="dxa"/>
        <w:jc w:val="left"/>
        <w:tblInd w:w="0" w:type="dxa"/>
        <w:tblLayout w:type="fixed"/>
        <w:tblCellMar>
          <w:top w:w="28" w:type="dxa"/>
          <w:left w:w="28" w:type="dxa"/>
          <w:bottom w:w="28" w:type="dxa"/>
          <w:right w:w="28" w:type="dxa"/>
        </w:tblCellMar>
      </w:tblPr>
      <w:tblGrid>
        <w:gridCol w:w="1162"/>
        <w:gridCol w:w="1021"/>
        <w:gridCol w:w="1026"/>
        <w:gridCol w:w="109"/>
        <w:gridCol w:w="109"/>
        <w:gridCol w:w="109"/>
        <w:gridCol w:w="317"/>
        <w:gridCol w:w="724"/>
        <w:gridCol w:w="234"/>
      </w:tblGrid>
      <w:t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br/>
              <w:t>2026</w:t>
            </w:r>
          </w:p>
        </w:tc>
      </w:tr>
      <w:t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23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424 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undiscounted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781 </w:t>
            </w:r>
          </w:p>
        </w:tc>
        <w:tc>
          <w:tcPr>
            <w:tcW w:w="2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Less: imputed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Present value of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2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730 </w:t>
            </w:r>
          </w:p>
        </w:tc>
        <w:tc>
          <w:tcPr>
            <w:tcW w:w="23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of September 30, 2026, the remaining lease term was 1.9 years, and the weighted average discount rate was 7.1%. The operating cash outflows from our operating lease were $0.5 million for each of the nine months ended September 30, 2026 and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6.  Stockholders’ equity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Common Stock Warrants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had common stock warrants exercisable for 47,408 shares of common stock upon conversion at a weighted average exercise price of $12.66 per share outstanding and 102,718 shares of common stock upon conversion at a weighted average exercise price of $12.66 per share outstanding at September 30, 2026 and December 31, 2025, respectively.</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At-the-Market (“ATM”) Offering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issued 543,462 shares of common stock for gross proceeds of $9.5 million under the ATM offering during the year ended December 31, 2025. On November 4, 2025, we and the agent mutually agreed to terminate the Equity Distribution Agreement for the ATM, effective on November 6, 2025.</w:t>
      </w:r>
    </w:p>
    <w:p>
      <w:pPr>
        <w:pStyle w:val="TextBody"/>
        <w:bidi w:val="0"/>
        <w:spacing w:lineRule="auto" w:line="288" w:before="0" w:after="0"/>
        <w:jc w:val="left"/>
      </w:pPr>
      <w:r>
        <w:rPr>
          <w:rFonts w:ascii="Arial;sans-serif" w:hAnsi="Arial;sans-serif"/>
          <w:b w:val="false"/>
          <w:color w:val="000000"/>
          <w:sz w:val="20"/>
        </w:rPr>
        <w:t>On January 12, 2026, we entered into an Open Market Sale Agreement</w:t>
      </w:r>
      <w:r>
        <w:rPr>
          <w:rFonts w:ascii="Arial;sans-serif" w:hAnsi="Arial;sans-serif"/>
          <w:b w:val="false"/>
          <w:color w:val="000000"/>
          <w:sz w:val="13"/>
        </w:rPr>
        <w:t>SM</w:t>
      </w:r>
      <w:r>
        <w:rPr>
          <w:color w:val="000000"/>
        </w:rPr>
        <w:t xml:space="preserve"> </w:t>
      </w:r>
      <w:r>
        <w:rPr>
          <w:rFonts w:ascii="Arial;sans-serif" w:hAnsi="Arial;sans-serif"/>
          <w:b w:val="false"/>
          <w:color w:val="000000"/>
          <w:sz w:val="20"/>
        </w:rPr>
        <w:t>(the “Sale Agreement”) with Jefferies LLC, as agent. Pursuant to the terms of the Sale Agreement, we may offer and sell, from time to time at our sole discretion, shares of common stock having an aggregate offering price up to $50.0 million in an ATM offering, to or through the agent. We issued 1,940,668 shares of common stock for gross proceeds of $6.3 million under the ATM offering during the nine months ended September 30, 2026. We have remaining capacity to issue and sell up to approximately $43.7 million of additional shares of common stock under this ATM offering.</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7.  Stock-based compensation</w:t>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Summary of plans and activity</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June 2001, our Board of Directors and stockholders established the 2001 Stock Incentive Award Plan (“2001 Plan”). Under the 2001 Plan, as amended, 2,674,749 shares of common stock had been reserved for the issuance of incentive stock options granted to employees, non-employee directors, consultants, or independent contractors. Options granted under the 2001 Plan have vesting terms that range from the date of grant to four years and expire within a maximum term of 10 years from the grant date.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In 2021, our Board of Directors and stockholders established the 2021 Equity Incentive Plan (“2021 Plan”). The number of shares of common stock initially reserved for issuance under the 2021 Plan was 1,854,490 newly reserved shares in addition to the 600,737 shares that remained available for issuance under the 2001 Plan. The shares available for issuance under the 2021 Plan automatically increase on the first day of each year, commencing January 1, 2022, and ending on (and including) January 1, 2031, in an amount equal to 5% of the total number of shares of our common stock outstanding on the last day of the calendar month before the date of each automatic increase, or such lesser number of shares as determined by the Board of Directors. The annual increase resulted in an additional 1,315,580 shares being reserved for issuance under the 2021 Plan as of January 1, 2026. The 2021 Plan provides for the issuance of stock options, stock appreciation rights,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8450"/>
                <wp:effectExtent l="0" t="0" r="0" b="0"/>
                <wp:wrapNone/>
                <wp:docPr id="14" name="Frame1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restricted stock awards, stock unit awards and other stock-based awards and cash incentive awards to employees, consultants and non-employee directors of the Company and its subsidiaries. Awards granted under the 2021 Plan will have such vesting schedules and other terms as determined by the Compensation Committee and stock options and stock appreciation rights have a maximum term of 10 years from the grant date. No further awards can be granted under the 2001 Plan following the adoption of the 2021 Plan.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of September 30, 2026, there were 231,121 shares available for future issuance under the 2021 Plan, based on awards outstanding and reserved at target levels for PSUs. In connection with the PSUs granted during 2026, we evaluated the number of shares that could be issued assuming maximum achievement of the applicable performance conditions. If PSUs are reserved at the maximum payout level, the number of shares subject to outstanding awards could exceed the shares available under the plan as of September 30, 2026. We expect that we will have sufficient shares available for issuance under the 2021 Plan to satisfy these awards as a result of future automatic annual increases pursuant to the terms of the plan prior to the end of the performance period.</w:t>
      </w:r>
    </w:p>
    <w:p>
      <w:pPr>
        <w:pStyle w:val="TextBody"/>
        <w:bidi w:val="0"/>
        <w:spacing w:before="0" w:after="0"/>
        <w:jc w:val="left"/>
      </w:p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 Options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Options are granted at exercise prices not less than the fair market value of our common stock on the date of grant. Prior to our initial public offering (the “IPO”), the fair market value of our common stock was determined by our Board of Directors, and following our IPO, the fair market value of our common stock is based on the closing price of our common stock on the date of grant.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During the years 2008 through the IPO, the Board of Directors authorized the grant of stock options for the purchase of shares of common stock to the employers of certain non-employee directors. The options were not granted under the 2001 Plan or the 2021 Plan, but terms are substantially the same as our standard form of option agreement for non-employee directors as they have an exercise price not less than the fair market value on the grant date and vest over 48 months from the date of grant.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is a summary of stock option activity:</w:t>
      </w:r>
    </w:p>
    <w:tbl>
      <w:tblPr>
        <w:tblW w:w="7606" w:type="dxa"/>
        <w:jc w:val="left"/>
        <w:tblInd w:w="0" w:type="dxa"/>
        <w:tblLayout w:type="fixed"/>
        <w:tblCellMar>
          <w:top w:w="28" w:type="dxa"/>
          <w:left w:w="28" w:type="dxa"/>
          <w:bottom w:w="28" w:type="dxa"/>
          <w:right w:w="28" w:type="dxa"/>
        </w:tblCellMar>
      </w:tblPr>
      <w:tblGrid>
        <w:gridCol w:w="1406"/>
        <w:gridCol w:w="1237"/>
        <w:gridCol w:w="1242"/>
        <w:gridCol w:w="309"/>
        <w:gridCol w:w="309"/>
        <w:gridCol w:w="313"/>
        <w:gridCol w:w="109"/>
        <w:gridCol w:w="109"/>
        <w:gridCol w:w="109"/>
        <w:gridCol w:w="211"/>
        <w:gridCol w:w="616"/>
        <w:gridCol w:w="109"/>
        <w:gridCol w:w="109"/>
        <w:gridCol w:w="109"/>
        <w:gridCol w:w="109"/>
        <w:gridCol w:w="258"/>
        <w:gridCol w:w="754"/>
        <w:gridCol w:w="188"/>
      </w:tblGrid>
      <w:tr>
        <w:tc>
          <w:tcPr>
            <w:tcW w:w="1406"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Number</w:t>
              <w:br/>
              <w:t>of</w:t>
              <w:br/>
              <w:t>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Weighted</w:t>
              <w:br/>
              <w:t>Average</w:t>
              <w:br/>
              <w:t>Exercise</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c>
          <w:tcPr>
            <w:tcW w:w="38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as of December 31, 2025</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5,834,448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2,459 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1,839,424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Cancelled / Forfeited</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(523,010)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Exercised</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(43,639)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Balance as of September 30, 2026</w:t>
            </w:r>
          </w:p>
        </w:tc>
        <w:tc>
          <w:tcPr>
            <w:tcW w:w="93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7,107,223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88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Options exercisable as of September 30, 2026</w:t>
            </w:r>
          </w:p>
        </w:tc>
        <w:tc>
          <w:tcPr>
            <w:tcW w:w="931"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4,378,112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88"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September 30, 2026, stock options outstanding included 4,363 options that were not granted under the 2001 Plan or the 2021 Plan. For options outstanding as of September 30, 2026, the weighted average remaining contractual life was 6.5 years. For options exercisable as of September 30, 2026, the weighted average remaining contractual life was 5.0 years. As of September 30, 2026, unrecognized compensation expense related to unvested stock-based compensation arrangements for stock options was $17.0 million. As of September 30, 2026, the related weighted average period over which the expense is expected to be recognized is approximately 2.3 years.</w:t>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Restricted Stock Units</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RSUs are share awards that entitle the holder to receive freely tradable shares of our common stock upon vesting. The RSUs cannot be transferred and the awards are subject to forfeiture if the holder’s service terminates prior to vesting other than for death, disability, or other qualifying terminations.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8450"/>
                <wp:effectExtent l="0" t="0" r="0" b="0"/>
                <wp:wrapNone/>
                <wp:docPr id="15" name="Frame1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is a summary of RSU activity:</w:t>
      </w:r>
    </w:p>
    <w:tbl>
      <w:tblPr>
        <w:tblW w:w="7476" w:type="dxa"/>
        <w:jc w:val="left"/>
        <w:tblInd w:w="0" w:type="dxa"/>
        <w:tblLayout w:type="fixed"/>
        <w:tblCellMar>
          <w:top w:w="28" w:type="dxa"/>
          <w:left w:w="28" w:type="dxa"/>
          <w:bottom w:w="28" w:type="dxa"/>
          <w:right w:w="28" w:type="dxa"/>
        </w:tblCellMar>
      </w:tblPr>
      <w:tblGrid>
        <w:gridCol w:w="1361"/>
        <w:gridCol w:w="1199"/>
        <w:gridCol w:w="1204"/>
        <w:gridCol w:w="297"/>
        <w:gridCol w:w="297"/>
        <w:gridCol w:w="305"/>
        <w:gridCol w:w="109"/>
        <w:gridCol w:w="109"/>
        <w:gridCol w:w="109"/>
        <w:gridCol w:w="216"/>
        <w:gridCol w:w="632"/>
        <w:gridCol w:w="111"/>
        <w:gridCol w:w="109"/>
        <w:gridCol w:w="109"/>
        <w:gridCol w:w="109"/>
        <w:gridCol w:w="258"/>
        <w:gridCol w:w="754"/>
        <w:gridCol w:w="188"/>
      </w:tblGrid>
      <w:tr>
        <w:tc>
          <w:tcPr>
            <w:tcW w:w="136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Number</w:t>
              <w:br/>
              <w:t>of</w:t>
              <w:br/>
              <w:t>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December 31, 2025</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383,268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791,100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7.48 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(86,534)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Cancelled / Forfeited</w:t>
            </w:r>
          </w:p>
        </w:tc>
        <w:tc>
          <w:tcPr>
            <w:tcW w:w="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(134,979)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September 30, 2026</w:t>
            </w:r>
          </w:p>
        </w:tc>
        <w:tc>
          <w:tcPr>
            <w:tcW w:w="899" w:type="dxa"/>
            <w:gridSpan w:val="3"/>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952,855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8.44 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7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1,668 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pPr>
      <w:r>
        <w:rPr>
          <w:rFonts w:ascii="Arial;sans-serif" w:hAnsi="Arial;sans-serif"/>
          <w:b w:val="false"/>
          <w:color w:val="000000"/>
          <w:sz w:val="20"/>
        </w:rPr>
        <w:t xml:space="preserve">The aggregate intrinsic value of unvested RSUs is based on our closing stock price on the last trading day of the period. 86,534 RSUs were vested as of September 30, 2026. </w:t>
      </w:r>
      <w:r>
        <w:rPr>
          <w:rFonts w:ascii="Arial;sans-serif" w:hAnsi="Arial;sans-serif"/>
          <w:b w:val="false"/>
          <w:color w:val="000000"/>
          <w:sz w:val="20"/>
          <w:shd w:fill="FFFFFF" w:val="clear"/>
        </w:rPr>
        <w:t xml:space="preserve">As of </w:t>
      </w:r>
      <w:r>
        <w:rPr>
          <w:rFonts w:ascii="Arial;sans-serif" w:hAnsi="Arial;sans-serif"/>
          <w:b w:val="false"/>
          <w:color w:val="000000"/>
          <w:sz w:val="20"/>
        </w:rPr>
        <w:t>September 30, 2026</w:t>
      </w:r>
      <w:r>
        <w:rPr>
          <w:rFonts w:ascii="Arial;sans-serif" w:hAnsi="Arial;sans-serif"/>
          <w:b w:val="false"/>
          <w:color w:val="000000"/>
          <w:sz w:val="20"/>
          <w:shd w:fill="FFFFFF" w:val="clear"/>
        </w:rPr>
        <w:t xml:space="preserve">, the </w:t>
      </w:r>
      <w:r>
        <w:rPr>
          <w:rFonts w:ascii="Arial;sans-serif" w:hAnsi="Arial;sans-serif"/>
          <w:b w:val="false"/>
          <w:color w:val="000000"/>
          <w:sz w:val="20"/>
        </w:rPr>
        <w:t>unrecognized compensation expense related to unvested stock-based compensation arrangements for RSUs was $6.7 million.</w:t>
      </w:r>
      <w:r>
        <w:rPr>
          <w:color w:val="000000"/>
          <w:shd w:fill="FFFFFF" w:val="clear"/>
        </w:rPr>
        <w:t xml:space="preserve"> </w:t>
      </w:r>
      <w:r>
        <w:rPr>
          <w:rFonts w:ascii="Arial;sans-serif" w:hAnsi="Arial;sans-serif"/>
          <w:b w:val="false"/>
          <w:color w:val="000000"/>
          <w:sz w:val="20"/>
        </w:rPr>
        <w:t>As of September 30, 2026, the related weighted average period over which the expense is expected to be recognized is approximately 3.1 years.</w:t>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Performance Stock Units</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We grant PSUs to officers and key employees. The number of PSUs that will ultimately be earned is based on our performance relative to pre-established performance goals for the respective performance period. The expense is recorded on a straight-line basis over the requisite performance and service periods based on an estimate of the number of PSUs expected to vest. Management expectations related to the achievement of the performance goals associated with PSU grants are assessed each reporting period. The number of PSUs earned at the end of the performance period ranges from 0% to 200% of the number of PSUs granted. The PSUs cannot be transferred and the awards are subject to forfeiture if the holder’s service terminates prior to vesting other than for death, disability, or other qualifying terminations. </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If the performance conditions are not met or not expected to be met, any compensation expense recognized associated with the grant will be reversed.</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following is a summary of PSU activity:</w:t>
      </w:r>
    </w:p>
    <w:tbl>
      <w:tblPr>
        <w:tblW w:w="7648" w:type="dxa"/>
        <w:jc w:val="left"/>
        <w:tblInd w:w="0" w:type="dxa"/>
        <w:tblLayout w:type="fixed"/>
        <w:tblCellMar>
          <w:top w:w="28" w:type="dxa"/>
          <w:left w:w="28" w:type="dxa"/>
          <w:bottom w:w="28" w:type="dxa"/>
          <w:right w:w="28" w:type="dxa"/>
        </w:tblCellMar>
      </w:tblPr>
      <w:tblGrid>
        <w:gridCol w:w="1361"/>
        <w:gridCol w:w="1199"/>
        <w:gridCol w:w="1204"/>
        <w:gridCol w:w="413"/>
        <w:gridCol w:w="413"/>
        <w:gridCol w:w="246"/>
        <w:gridCol w:w="109"/>
        <w:gridCol w:w="109"/>
        <w:gridCol w:w="109"/>
        <w:gridCol w:w="243"/>
        <w:gridCol w:w="590"/>
        <w:gridCol w:w="126"/>
        <w:gridCol w:w="109"/>
        <w:gridCol w:w="109"/>
        <w:gridCol w:w="109"/>
        <w:gridCol w:w="303"/>
        <w:gridCol w:w="673"/>
        <w:gridCol w:w="223"/>
      </w:tblGrid>
      <w:tr>
        <w:tc>
          <w:tcPr>
            <w:tcW w:w="1361"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Number</w:t>
              <w:br/>
              <w:t>of</w:t>
              <w:br/>
              <w:t>PSUs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Aggregate</w:t>
              <w:br/>
              <w:t>Intrinsic</w:t>
              <w:br/>
              <w:t>Value</w:t>
            </w:r>
          </w:p>
        </w:tc>
      </w:tr>
      <w:t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(in thousands)</w:t>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Granted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602,000 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Vested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Cancelled / Forfeited</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(43,025)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Unvested Balance as of September 30, 2026</w:t>
            </w:r>
          </w:p>
        </w:tc>
        <w:tc>
          <w:tcPr>
            <w:tcW w:w="826" w:type="dxa"/>
            <w:gridSpan w:val="2"/>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558,975 </w:t>
            </w:r>
          </w:p>
        </w:tc>
        <w:tc>
          <w:tcPr>
            <w:tcW w:w="246"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978 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aggregate intrinsic value of unvested PSUs is based on our closing stock price on the last trading day of the period. As of September 30, 2026, there was $1.7 million of unrecognized stock-based compensation expense related to outstanding PSUs that is expected to be recognized over a weighted-average period of 1.7 years.</w:t>
      </w:r>
    </w:p>
    <w:p>
      <w:pPr>
        <w:pStyle w:val="TextBody"/>
        <w:bidi w:val="0"/>
        <w:spacing w:before="0" w:after="0"/>
        <w:jc w:val="left"/>
      </w:p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Employee Stock Purchase Plan</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Our Board of Directors and stockholders also established an Employee Stock Purchase Plan (the “ESPP”). The number of shares of common stock initially reserved for issuance under the ESPP was 278,170. The shares available for issuance under the ESPP automatically increase on the first day of each year, commencing January 1, 2022, and ending on (and including) January 1, 2031, in an amount equal to 1% of the total number of shares of our common stock outstanding on the last day of the calendar month before the date of each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8450"/>
                <wp:effectExtent l="0" t="0" r="0" b="0"/>
                <wp:wrapNone/>
                <wp:docPr id="16" name="Frame1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automatic increase, or such lesser number of shares as determined by the Board of Directors. No annual increase was made to the shares reserved for issuance under the ESPP as of January 1, 2026. The ESPP permits certain of our U.S. employees to purchase shares of our common stock at a price per share not less than 85% of the lower of (i) the closing market price per share of our common stock on the first day of the applicable purchase period or (ii) the closing market price per share of our common stock on the purchase date at the end of the applicable six-month purchase period. For the nine months ended September 30, 2026, 102,808 shares of common stock were purchased under the ESPP for $0.5 million of employee contributions. As of September 30, 2026, there were 634,588 shares available for issuance under the ESPP.</w:t>
      </w:r>
    </w:p>
    <w:p>
      <w:pPr>
        <w:pStyle w:val="TextBody"/>
        <w:bidi w:val="0"/>
        <w:spacing w:before="0" w:after="0"/>
        <w:jc w:val="left"/>
      </w:pPr>
      <w:r/>
    </w:p>
    <w:p>
      <w:pPr>
        <w:pStyle w:val="TextBody"/>
        <w:bidi w:val="0"/>
        <w:spacing w:lineRule="auto" w:line="288" w:before="0" w:after="240"/>
        <w:jc w:val="left"/>
        <w:rPr>
          <w:rFonts w:ascii="Arial;sans-serif" w:hAnsi="Arial;sans-serif"/>
          <w:b/>
          <w:color w:val="000000"/>
          <w:sz w:val="20"/>
        </w:rPr>
      </w:pPr>
      <w:r>
        <w:rPr>
          <w:rFonts w:ascii="Arial;sans-serif" w:hAnsi="Arial;sans-serif"/>
          <w:b/>
          <w:color w:val="000000"/>
          <w:sz w:val="20"/>
        </w:rPr>
        <w:t>Stock-based compensation expense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use the Black-Scholes option pricing model to determine the fair value of stock options and ESPP purchase rights on the grant date. The fair values of RSUs and PSUs are determined based on the closing stock price of our common stock on the grant date. We measure stock-based compensation expense based on the grant date fair value of the award and recognize compensation expense over the requisite service period, which is generally the vesting period for stock options, RSUs, and PSUs, and the offering period for ESPP purchase rights. The amount of stock-based compensation expense recognized for stock option, RSU, and PSU awards during a period is based on the portion of the awards that are ultimately expected to vest. The amount of stock-based compensation expense recognized for ESPP purchase rights during a period is based on the estimated purchase rights as of the grant date. We account for forfeitures as they occur.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The following table provides the weighted average fair value of options granted to employees and the related assumptions used in the Black-Scholes option pricing model for the nine months ended September 30, 2026 and 2025: </w:t>
      </w:r>
    </w:p>
    <w:tbl>
      <w:tblPr>
        <w:tblW w:w="8051" w:type="dxa"/>
        <w:jc w:val="left"/>
        <w:tblInd w:w="0" w:type="dxa"/>
        <w:tblLayout w:type="fixed"/>
        <w:tblCellMar>
          <w:top w:w="28" w:type="dxa"/>
          <w:left w:w="28" w:type="dxa"/>
          <w:bottom w:w="28" w:type="dxa"/>
          <w:right w:w="28" w:type="dxa"/>
        </w:tblCellMar>
      </w:tblPr>
      <w:tblGrid>
        <w:gridCol w:w="1618"/>
        <w:gridCol w:w="1421"/>
        <w:gridCol w:w="1431"/>
        <w:gridCol w:w="326"/>
        <w:gridCol w:w="837"/>
        <w:gridCol w:w="442"/>
        <w:gridCol w:w="109"/>
        <w:gridCol w:w="109"/>
        <w:gridCol w:w="109"/>
        <w:gridCol w:w="321"/>
        <w:gridCol w:w="824"/>
        <w:gridCol w:w="504"/>
      </w:tblGrid>
      <w:t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1"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r>
          </w:p>
        </w:tc>
      </w:tr>
      <w:tr>
        <w:tc>
          <w:tcPr>
            <w:tcW w:w="4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fair value of options granted</w:t>
            </w:r>
          </w:p>
        </w:tc>
        <w:tc>
          <w:tcPr>
            <w:tcW w:w="32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3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4.94 </w:t>
            </w:r>
          </w:p>
        </w:tc>
        <w:tc>
          <w:tcPr>
            <w:tcW w:w="442"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24"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9.21 </w:t>
            </w:r>
          </w:p>
        </w:tc>
        <w:tc>
          <w:tcPr>
            <w:tcW w:w="50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 — non-officer employees</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5.5 to 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5.5 to 6.1</w:t>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 — officer employees</w:t>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6.1</w:t>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97.9% to 106.4%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95.0% to 103.1%</w:t>
            </w:r>
          </w:p>
        </w:tc>
      </w:tr>
      <w:tr>
        <w:tc>
          <w:tcPr>
            <w:tcW w:w="44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0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44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605"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3.72% to 5.19%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3.92% to 4.47%</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provides the weighted average fair value of ESPP purchase rights and the related assumptions used in the Black-Scholes option pricing model for the nine months ended September 30, 2026 and 2025:</w:t>
      </w:r>
    </w:p>
    <w:tbl>
      <w:tblPr>
        <w:tblW w:w="8337" w:type="dxa"/>
        <w:jc w:val="left"/>
        <w:tblInd w:w="0" w:type="dxa"/>
        <w:tblLayout w:type="fixed"/>
        <w:tblCellMar>
          <w:top w:w="28" w:type="dxa"/>
          <w:left w:w="28" w:type="dxa"/>
          <w:bottom w:w="28" w:type="dxa"/>
          <w:right w:w="28" w:type="dxa"/>
        </w:tblCellMar>
      </w:tblPr>
      <w:tblGrid>
        <w:gridCol w:w="1721"/>
        <w:gridCol w:w="1512"/>
        <w:gridCol w:w="1522"/>
        <w:gridCol w:w="305"/>
        <w:gridCol w:w="782"/>
        <w:gridCol w:w="413"/>
        <w:gridCol w:w="109"/>
        <w:gridCol w:w="109"/>
        <w:gridCol w:w="109"/>
        <w:gridCol w:w="342"/>
        <w:gridCol w:w="877"/>
        <w:gridCol w:w="536"/>
      </w:tblGrid>
      <w:tr>
        <w:tc>
          <w:tcPr>
            <w:tcW w:w="1721"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r>
      <w:t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September 30,</w:t>
            </w:r>
          </w:p>
        </w:tc>
      </w:tr>
      <w:tr>
        <w:tc>
          <w:tcPr>
            <w:tcW w:w="4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fair value per ESPP purchase right</w:t>
            </w:r>
          </w:p>
        </w:tc>
        <w:tc>
          <w:tcPr>
            <w:tcW w:w="305"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2.69 </w:t>
            </w:r>
          </w:p>
        </w:tc>
        <w:tc>
          <w:tcPr>
            <w:tcW w:w="413"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77"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5.05 </w:t>
            </w:r>
          </w:p>
        </w:tc>
        <w:tc>
          <w:tcPr>
            <w:tcW w:w="53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term (in years) </w:t>
            </w:r>
          </w:p>
        </w:tc>
        <w:tc>
          <w:tcPr>
            <w:tcW w:w="15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w:t>
            </w:r>
          </w:p>
        </w:tc>
      </w:tr>
      <w:t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volatility</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61.1% to 94.4%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112.3% to 133.4%</w:t>
            </w:r>
          </w:p>
        </w:tc>
      </w:tr>
      <w:tr>
        <w:tc>
          <w:tcPr>
            <w:tcW w:w="475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Expected dividend yield</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1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5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475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3.58% to 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right"/>
              <w:rPr>
                <w:rFonts w:ascii="Arial;sans-serif" w:hAnsi="Arial;sans-serif"/>
                <w:b w:val="false"/>
                <w:color w:val="000000"/>
                <w:sz w:val="20"/>
              </w:rPr>
            </w:pPr>
            <w:r>
              <w:rPr>
                <w:rFonts w:ascii="Arial;sans-serif" w:hAnsi="Arial;sans-serif"/>
                <w:b w:val="false"/>
                <w:color w:val="000000"/>
                <w:sz w:val="20"/>
              </w:rPr>
              <w:t>4.25% to 4.29%</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review these assumptions on a periodic basis and adjust them, as necessary. We utilize the simplified method to develop the estimate of the expected term for stock option awards and ESPP purchase rights. The expected volatility is based upon our historical stock price. The expected dividend yield is assumed to be zero, as we have never paid dividends and have no current plans to do so. The risk-free interest rate is based on the yield on U.S. Treasury securities for a period approximating the expected term of the options being valued.</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8450"/>
                <wp:effectExtent l="0" t="0" r="0" b="0"/>
                <wp:wrapNone/>
                <wp:docPr id="17" name="Frame1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presents the components and classification of stock-based compensation expense for the periods indicated:</w:t>
      </w:r>
    </w:p>
    <w:tbl>
      <w:tblPr>
        <w:tblW w:w="8966" w:type="dxa"/>
        <w:jc w:val="left"/>
        <w:tblInd w:w="0" w:type="dxa"/>
        <w:tblLayout w:type="fixed"/>
        <w:tblCellMar>
          <w:top w:w="28" w:type="dxa"/>
          <w:left w:w="28" w:type="dxa"/>
          <w:bottom w:w="28" w:type="dxa"/>
          <w:right w:w="28" w:type="dxa"/>
        </w:tblCellMar>
      </w:tblPr>
      <w:tblGrid>
        <w:gridCol w:w="1359"/>
        <w:gridCol w:w="1192"/>
        <w:gridCol w:w="1198"/>
        <w:gridCol w:w="109"/>
        <w:gridCol w:w="109"/>
        <w:gridCol w:w="10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c>
          <w:tcPr>
            <w:tcW w:w="135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374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2,370 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2,459 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7,033 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7,269 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8,259 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2,871 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2,888 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9,452 </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8,259 </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8.  Income taxes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September 30, 2026 and December 31, 2025, a full valuation allowance was recorded against all deferred tax assets due to our cumulative net loss position. We recorded an income tax benefit of $1,000 and $3,000 for the three months ended September 30, 2026 and September 30, 2025, respectively. For the nine months ended September 30, 2026, we recorded an income tax provision of $3,000, and an income tax benefit of $11,000 for the nine months ended September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As of December 31, 2025, we had federal and state net operating loss carryforwards (“NOLs”) of approximately $483.7 million and $9.7 million, respectively. The federal NOLs began expiring in 2021 and the state NOLs began expiring in 2020. As of December 31, 2025, we had federal and state tax credit carryforwards of approximately $10.3 million and $1.9 million, respectively. The federal tax credit carryforwards began expiring in 2021 and the state tax credits will begin expiring in 2028.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Utilization of NOLs may be subject to an annual limitation due to the ownership change limitations provided by Section 382 of the Internal Revenue Code of 1986, as amended, and similar state provisions. We have not performed a detailed analysis to determine whether an ownership change has occurred. Such a change of ownership would limit our utilization of the NOLs and could be triggered by subsequent sales of securities by us or our stockholders.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July 4, 2025, the One Big Beautiful Bill Act (“OBBBA”) was enacted in the U.S. The OBBBA includes significant tax-related provisions, such as the permanent extension of certain expiring provisions of the Tax Cuts and Jobs Act, modifications to the international tax framework, and the restoration of favorable tax treatment for certain business provisions, including the capitalization of certain R&amp;D costs. The legislation has multiple effective dates, with certain provisions effective in 2026 and others implemented through 2028. The impacts of the OBBBA were taken into account in our provision for income taxes for fiscal year 2025. Because a valuation allowance has been recorded against all deferred tax assets, the impacts of the OBBBA were not material to our consolidated financial statements or related disclosures.</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8450"/>
                <wp:effectExtent l="0" t="0" r="0" b="0"/>
                <wp:wrapNone/>
                <wp:docPr id="18" name="Frame1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9. Loss Per Share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Basic and diluted net loss per share attributable to common stockholders was calculated for the periods indicated (in thousands, except share and per share data):</w:t>
      </w:r>
    </w:p>
    <w:tbl>
      <w:tblPr>
        <w:tblW w:w="10205" w:type="dxa"/>
        <w:jc w:val="left"/>
        <w:tblInd w:w="0" w:type="dxa"/>
        <w:tblLayout w:type="fixed"/>
        <w:tblCellMar>
          <w:top w:w="28" w:type="dxa"/>
          <w:left w:w="28" w:type="dxa"/>
          <w:bottom w:w="28" w:type="dxa"/>
          <w:right w:w="28" w:type="dxa"/>
        </w:tblCellMar>
      </w:tblPr>
      <w:tblGrid>
        <w:gridCol w:w="1714"/>
        <w:gridCol w:w="1508"/>
        <w:gridCol w:w="1518"/>
        <w:gridCol w:w="211"/>
        <w:gridCol w:w="789"/>
        <w:gridCol w:w="109"/>
        <w:gridCol w:w="109"/>
        <w:gridCol w:w="109"/>
        <w:gridCol w:w="109"/>
        <w:gridCol w:w="211"/>
        <w:gridCol w:w="789"/>
        <w:gridCol w:w="109"/>
        <w:gridCol w:w="109"/>
        <w:gridCol w:w="109"/>
        <w:gridCol w:w="109"/>
        <w:gridCol w:w="211"/>
        <w:gridCol w:w="789"/>
        <w:gridCol w:w="109"/>
        <w:gridCol w:w="109"/>
        <w:gridCol w:w="109"/>
        <w:gridCol w:w="109"/>
        <w:gridCol w:w="211"/>
        <w:gridCol w:w="789"/>
        <w:gridCol w:w="157"/>
      </w:tblGrid>
      <w:tr>
        <w:tc>
          <w:tcPr>
            <w:tcW w:w="1714"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4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Numerator:</w:t>
            </w:r>
          </w:p>
        </w:tc>
        <w:tc>
          <w:tcPr>
            <w:tcW w:w="11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(41,372)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Denominator:</w:t>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74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 and diluted</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27,246,765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26,168,562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26,708,952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26,039,718</w:t>
            </w:r>
          </w:p>
        </w:tc>
      </w:tr>
      <w:tr>
        <w:tc>
          <w:tcPr>
            <w:tcW w:w="474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 per share attributable to common stockholders — basic and diluted</w:t>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(0.52)</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(0.49)</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(1.55)</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8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(1.59)</w:t>
            </w:r>
          </w:p>
        </w:tc>
        <w:tc>
          <w:tcPr>
            <w:tcW w:w="157"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potentially dilutive securities, which include stock options, RSUs, PSUs, and warrants to purchase shares of common stock, have been excluded from the computation of diluted net loss per share attributable to common stockholders, as the effect would be to reduce the net loss per share attributable to common stockholders. Therefore, the weighted average number of common shares outstanding used to calculate both basic and diluted net loss per share attributable to common stockholders is the same. We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3426" w:type="dxa"/>
        <w:jc w:val="center"/>
        <w:tblInd w:w="0" w:type="dxa"/>
        <w:tblLayout w:type="fixed"/>
        <w:tblCellMar>
          <w:top w:w="28" w:type="dxa"/>
          <w:left w:w="28" w:type="dxa"/>
          <w:bottom w:w="28" w:type="dxa"/>
          <w:right w:w="28" w:type="dxa"/>
        </w:tblCellMar>
      </w:tblPr>
      <w:tblGrid>
        <w:gridCol w:w="325"/>
        <w:gridCol w:w="286"/>
        <w:gridCol w:w="290"/>
        <w:gridCol w:w="383"/>
        <w:gridCol w:w="352"/>
        <w:gridCol w:w="226"/>
        <w:gridCol w:w="186"/>
        <w:gridCol w:w="186"/>
        <w:gridCol w:w="186"/>
        <w:gridCol w:w="366"/>
        <w:gridCol w:w="336"/>
        <w:gridCol w:w="304"/>
      </w:tblGrid>
      <w:t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558"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Options</w:t>
            </w:r>
          </w:p>
        </w:tc>
        <w:tc>
          <w:tcPr>
            <w:tcW w:w="961"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7,107,223</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5,946,474</w:t>
            </w:r>
          </w:p>
        </w:tc>
      </w:tr>
      <w:tr>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RSUs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952,855</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351,638</w:t>
            </w:r>
          </w:p>
        </w:tc>
      </w:tr>
      <w:tr>
        <w:tc>
          <w:tcPr>
            <w:tcW w:w="9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PSUs</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558,975</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Warrants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47,408</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102,718</w:t>
            </w:r>
          </w:p>
        </w:tc>
      </w:tr>
      <w:tr>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8,666,461</w:t>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6,400,830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10. Commitments and contingencies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From time to time, we may have certain contingent liabilities that arise in the ordinary course of business. We accrue a liability for such matters when it is probable that future expenditures will be made, and such expenditures can be reasonably estimated. There have been no contingent liabilities requiring accrual as of September 30, 2026 or December 31, 2025.</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May 14, 2026, we received a civil investigative demand (“CID”) from the U.S. Department of Justice in connection with an investigation under the False Claims Act. The CID requested information and documents regarding an investigation into whether we caused the submission of false claims to government health insurance programs by improperly marketing our device, offering or paying kickbacks to healthcare providers or providing false information to government health insurance programs. We are cooperating with the investigation and are in the process of responding to the CID. We cannot predict the eventual scope, duration or outcome of this matter at this time and are unable to estimate the possibility of, or amount or range of, any possible financial loss related to this matter. </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8450"/>
                <wp:effectExtent l="0" t="0" r="0" b="0"/>
                <wp:wrapNone/>
                <wp:docPr id="19" name="Frame1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11. Employee benefit plans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sponsor a voluntary defined-contribution employee retirement plan (the “401(k) plan”) for our U.S. employees. The 401(k) plan provides that each participant may contribute pre-tax or post-tax compensation up to the statutory limit allowable. Under the 401(k) plan, each participant is fully vested in his or her deferred salary contributions when contributed. Beginning January 1, 2024, we adopted a policy to match a portion of employee contributions for all qualified employees participating in the 401(k) plan. We recorded an expense for matching contributions of $0.3 million for the three months ended September 30, 2026 and $0.3 million for the three months ended September 30, 2025. We recorded an expense for matching contributions of $1.1 million and $0.9 million for the nine months ended September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12. Segment, geographic information, and revenue disaggregation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have determined that we have a single reportable and operating segment structure. We have one business activity and there are no segment managers who are held accountable for operations, operating results, or plans for levels or components below the consolidated unit level. Our chief operating decision maker is our Chief Executive Officer. Our Chief Executive Officer evaluates performance based primarily on revenue in the geographic locations in which we operate and consolidated net loss. The Chief Executive Officer reviews financial information presented on a consolidated basis, including consolidated net loss, accompanied by information about revenue by geographic region, for purposes of allocating resources and evaluating financial performance. Further, the financial information on expenses provided to the Chief Executive Officer is presented on a consolidated basis, as reported in the condensed consolidated statements of operations and comprehensive loss in this Quarterly Report on Form 10-Q.</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derive all our revenues from sales to customers in Europe and the U.S. The following table provides revenue by country for each location accounting for more than 10% of the total revenue for the periods indicated (in thousands):</w:t>
      </w:r>
    </w:p>
    <w:tbl>
      <w:tblPr>
        <w:tblW w:w="6764" w:type="dxa"/>
        <w:jc w:val="left"/>
        <w:tblInd w:w="0" w:type="dxa"/>
        <w:tblLayout w:type="fixed"/>
        <w:tblCellMar>
          <w:top w:w="28" w:type="dxa"/>
          <w:left w:w="28" w:type="dxa"/>
          <w:bottom w:w="28" w:type="dxa"/>
          <w:right w:w="28" w:type="dxa"/>
        </w:tblCellMar>
      </w:tblPr>
      <w:tblGrid>
        <w:gridCol w:w="526"/>
        <w:gridCol w:w="460"/>
        <w:gridCol w:w="468"/>
        <w:gridCol w:w="211"/>
        <w:gridCol w:w="751"/>
        <w:gridCol w:w="109"/>
        <w:gridCol w:w="109"/>
        <w:gridCol w:w="109"/>
        <w:gridCol w:w="109"/>
        <w:gridCol w:w="211"/>
        <w:gridCol w:w="751"/>
        <w:gridCol w:w="109"/>
        <w:gridCol w:w="109"/>
        <w:gridCol w:w="109"/>
        <w:gridCol w:w="109"/>
        <w:gridCol w:w="211"/>
        <w:gridCol w:w="751"/>
        <w:gridCol w:w="109"/>
        <w:gridCol w:w="109"/>
        <w:gridCol w:w="109"/>
        <w:gridCol w:w="109"/>
        <w:gridCol w:w="211"/>
        <w:gridCol w:w="751"/>
        <w:gridCol w:w="154"/>
      </w:tblGrid>
      <w:tr>
        <w:tc>
          <w:tcPr>
            <w:tcW w:w="5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145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U.S.</w:t>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12,962 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41,387 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36,937 </w:t>
            </w:r>
          </w:p>
        </w:tc>
        <w:tc>
          <w:tcPr>
            <w:tcW w:w="154"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countries</w:t>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14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13,832 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14,690 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44,306 </w:t>
            </w:r>
          </w:p>
        </w:tc>
        <w:tc>
          <w:tcPr>
            <w:tcW w:w="109"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40,627 </w:t>
            </w:r>
          </w:p>
        </w:tc>
        <w:tc>
          <w:tcPr>
            <w:tcW w:w="154" w:type="dxa"/>
            <w:tcBorders>
              <w:top w:val="single" w:sz="6"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September 30, 2026 and December 31, 2025, substantially all our long-lived assets were located in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Overview</w:t>
      </w:r>
    </w:p>
    <w:p>
      <w:pPr>
        <w:pStyle w:val="TextBody"/>
        <w:bidi w:val="0"/>
        <w:spacing w:lineRule="auto" w:line="288" w:before="0" w:after="240"/>
        <w:jc w:val="left"/>
      </w:pPr>
      <w:r>
        <w:rPr>
          <w:rFonts w:ascii="Arial;sans-serif" w:hAnsi="Arial;sans-serif"/>
          <w:b w:val="false"/>
          <w:color w:val="000000"/>
          <w:sz w:val="20"/>
        </w:rPr>
        <w:t xml:space="preserve">We are a commercial-stage medical device company focused on developing, manufacturing, and commercializing innovative and minimally invasive neuromodulation solutions for patients with cardiovascular disease. Our proprietary platform technology, Barostim, is designed to leverage the power of the brain and nervous system to address the imbalance of the Autonomic Nervous System, which causes </w:t>
      </w:r>
      <w:r>
        <w:rPr>
          <w:rFonts w:ascii="Arial;sans-serif" w:hAnsi="Arial;sans-serif"/>
          <w:b w:val="false"/>
          <w:color w:val="000000"/>
          <w:sz w:val="20"/>
          <w:shd w:fill="FFFFFF" w:val="clear"/>
        </w:rPr>
        <w:t>HF with reduced Ejection Fraction (“</w:t>
      </w:r>
      <w:r>
        <w:rPr>
          <w:rFonts w:ascii="Arial;sans-serif" w:hAnsi="Arial;sans-serif"/>
          <w:b w:val="false"/>
          <w:color w:val="000000"/>
          <w:sz w:val="20"/>
        </w:rPr>
        <w:t>HFrEF”) and other cardiovascular diseases. Our second-generation product, Barostim, is the first and only commercially available neuromodulation device indicated to improve symptoms for patients with HFrEF. Barostim provides Baroreflex Activation Therapy by sending imperceptible and persistent electrical pulses to baroreceptors located in the wall of the carotid artery to signal the brain to modulate cardiovascular function. Barostim is currently indicated by the U.S. Food and Drug Administration (“FDA”) for patients who are NYHA Class III or II (who had a recent history of Class III) despite treatment with guideline-directed medical therapies (medications and devices), have a LVEF ≤ 35% and a NT-proBNP &lt; 1,600 pg/ml and is CE Marked for HFrEF and resistant hypertension.</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8450"/>
                <wp:effectExtent l="0" t="0" r="0" b="0"/>
                <wp:wrapNone/>
                <wp:docPr id="20" name="Frame2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Since our inception, our activities have consisted primarily of developing Barostim Therapy, conducting our BeAT-HF pre-market and post-market pivotal studies in the U.S., and filing for regulatory approvals. Our ability to generate significant revenue from product sales and become profitable will depend on our ability to continue to successfully commercialize Barostim and any product enhancements we may advance in the future. We expect to derive future revenue by continuing to both expand our own dedicated salesforce and increase awareness of Barostim among payers, physicians, and patients.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sales and marketing efforts are directed at electrophysiologists, HF specialists, interventional and general cardiologists, and vascular surgeons because they are the primary users of our technology. However, we consider hospitals, where the procedures are performed primarily in an outpatient setting, to be our customers, as they are the purchasing entities of Barostim in the U.S. We intend to continue making significant investments building our U.S. commercial infrastructure by expanding and training our U.S. sales force. We have dedicated significant resources to educate physicians and advanced practice providers who treat HFrEF about the advantages of Barostim and train them on the implant procedure.</w:t>
      </w:r>
    </w:p>
    <w:p>
      <w:pPr>
        <w:pStyle w:val="TextBody"/>
        <w:bidi w:val="0"/>
        <w:spacing w:lineRule="auto" w:line="288" w:before="0" w:after="240"/>
        <w:jc w:val="left"/>
      </w:pPr>
      <w:r>
        <w:rPr>
          <w:rFonts w:ascii="Arial;sans-serif" w:hAnsi="Arial;sans-serif"/>
          <w:b w:val="false"/>
          <w:color w:val="000000"/>
          <w:sz w:val="20"/>
        </w:rPr>
        <w:t>The costs for the device and implantation procedure are reimbursed through various third-party payers, such as government agencies and commercial payers. In the U.S., we estimate that 67% of our target patient population is Medicare-eligible based on the age demographic of the HFrEF patient population indicated for Barostim. As a result, we have prioritized coverage by the</w:t>
      </w:r>
      <w:r>
        <w:rPr>
          <w:color w:val="000000"/>
          <w:shd w:fill="FFFFFF" w:val="clear"/>
        </w:rPr>
        <w:t xml:space="preserve"> </w:t>
      </w:r>
      <w:r>
        <w:rPr>
          <w:rFonts w:ascii="Arial;sans-serif" w:hAnsi="Arial;sans-serif"/>
          <w:b w:val="false"/>
          <w:color w:val="000000"/>
          <w:sz w:val="20"/>
          <w:shd w:fill="FFFFFF" w:val="clear"/>
        </w:rPr>
        <w:t xml:space="preserve">Centers for Medicare and Medicaid Services </w:t>
      </w:r>
      <w:r>
        <w:rPr>
          <w:rFonts w:ascii="Arial;sans-serif" w:hAnsi="Arial;sans-serif"/>
          <w:b w:val="false"/>
          <w:color w:val="000000"/>
          <w:sz w:val="20"/>
        </w:rPr>
        <w:t>while simultaneously developing processes to engage commercial payers. All Medicare Administrative Contractors have retired their official automatic coverage denial policies for our Current Procedural Terminology ("CPT") codes, thereby allowing hospitals to submit payment requests for the Barostim procedure to be adjudicated on a claim-by-claim basis. Our reimbursement strategy involves continuing to broaden our current coverage and build our in-house market access team to obtain appropriate prior authorization approvals in advance of treatment on a case-by-case basis where positive coverage policies currently do not exist. Outside the U.S., reimbursement levels vary by country and within some countries by region. Barostim is eligible for reimbursement in certain countries in the European Economic Area, such as Germany, where annual healthcare budgets for the hospital generally determine the number of patients to be treated and the prices to be paid for the related devices that may be purchased.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manage all aspects of manufacturing operations and product supply of Barostim, which include final assembly, testing and packaging of our implantable pulse generator (“IPG”) and stimulation lead, at our headquarters in Minneapolis, Minnesota. We utilize components or various subassemblies manufactured by third-party suppliers, some of which have significant lead times. Many of these components are from a limited number of suppliers. We believe that our component manufacturers are recognized in their field for their competency to manufacture the respective portions of Barostim and have quality systems established that meet FDA requirements. We seek to maintain higher levels of inventory to protect ourselves from supply interruptions and continue to seek to broaden and strengthen our supply chain through additional sourcing channels.</w:t>
      </w:r>
    </w:p>
    <w:p>
      <w:pPr>
        <w:pStyle w:val="TextBody"/>
        <w:bidi w:val="0"/>
        <w:spacing w:lineRule="auto" w:line="288" w:before="0" w:after="0"/>
        <w:jc w:val="left"/>
      </w:pPr>
      <w:r>
        <w:rPr>
          <w:rFonts w:ascii="Arial;sans-serif" w:hAnsi="Arial;sans-serif"/>
          <w:b w:val="false"/>
          <w:color w:val="000000"/>
          <w:sz w:val="20"/>
        </w:rPr>
        <w:t>On October 31, 2022, we entered into the Loan Agreement allowing borrowing, subject to our achievement of certain milestones, up to a total of $50.0 million in a series of Term Loans described in Note 4 to our condensed consolidated financial statements included elsewhere in this Quarterly Report on Form 10-Q. On January 9, 2026, we entered into an Amendment to our existing Loan Agreement. Pursuant to the Amendment, the term loans available were increased by $50.0 million, to an aggregate principal amount of up to $100.0 million, subject to our achievement of certain milestones, and the maturity date was extended to 2031. In connection with the Amendment, we borrowed an additional $10.0 million under the Loan Agreement. W</w:t>
      </w:r>
      <w:r>
        <w:rPr>
          <w:rFonts w:ascii="Arial;sans-serif" w:hAnsi="Arial;sans-serif"/>
          <w:b w:val="false"/>
          <w:color w:val="000000"/>
          <w:sz w:val="20"/>
          <w:shd w:fill="FFFFFF" w:val="clear"/>
        </w:rPr>
        <w:t xml:space="preserve">e had $60.0 million in outstanding Term Loans under the Loan Agreement as of </w:t>
      </w:r>
      <w:r>
        <w:rPr>
          <w:rFonts w:ascii="Arial;sans-serif" w:hAnsi="Arial;sans-serif"/>
          <w:b w:val="false"/>
          <w:color w:val="000000"/>
          <w:sz w:val="20"/>
        </w:rPr>
        <w:t>September 30, 2026</w:t>
      </w:r>
      <w:r>
        <w:rPr>
          <w:rFonts w:ascii="Arial;sans-serif" w:hAnsi="Arial;sans-serif"/>
          <w:b w:val="false"/>
          <w:color w:val="000000"/>
          <w:sz w:val="20"/>
          <w:shd w:fill="FFFFFF" w:val="clear"/>
        </w:rPr>
        <w:t xml:space="preserve">. </w:t>
      </w:r>
    </w:p>
    <w:p>
      <w:pPr>
        <w:pStyle w:val="TextBody"/>
        <w:bidi w:val="0"/>
        <w:spacing w:before="0" w:after="0"/>
        <w:jc w:val="left"/>
      </w:pPr>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a result of the planned investments to fund our commercialization efforts, we expect to continue to incur net losses for the next several years, which may require additional funding and could include future equity and debt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Recent Developments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On July 17, 2026, Devoted Health issued a Medicare Advantage coverage policy for Barostim therapy. Devoted Health, a national health insurance company with the eighth largest Medicare Advantage enrollment in the U.S., provides coverage to approximately 466,000 Medicare Advantage members across 29 states. The new policy covers Barostim for patients meeting its current FDA-approved indication as well as patients enrolled in the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8450"/>
                <wp:effectExtent l="0" t="0" r="0" b="0"/>
                <wp:wrapNone/>
                <wp:docPr id="21" name="Frame2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BENEFIT-HF trial, the landmark heart failure study evaluating Barostim in a significantly expanded patient population initiated earlier this year.</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November 2026, the Centers for Medicare and Medicaid Services issued the final rule for the 2027 Outpatient Prospective Payment System, retaining the Barostim implant procedure under New Technology APC 1580 with an outpatient payment rate of approximately $45,000, effective January 1, 2027.</w:t>
      </w:r>
    </w:p>
    <w:p>
      <w:pPr>
        <w:pStyle w:val="TextBody"/>
        <w:bidi w:val="0"/>
        <w:spacing w:before="0" w:after="0"/>
        <w:jc w:val="left"/>
      </w:p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Consistent with our expectations, our revenue growth in the second half of fiscal 2026 has slowed compared to the first half of fiscal 2026 driven by lower sales force productivity and a prolonged challenge with one of the largest payers. During the third quarter, approval rates by one of our largest payers declined even further, which we continue to address through appeals and additional field-based reimbursement managers to address reimbursement headwinds. We have also experienced transitions among heart failure specialists in our active accounts, consistent with market trends affecting this specialty, which we are addressing by building sustainable programs and supporting physician transitions. We are also focused on execution by our sales organization, by strengthening leadership, onboarding and training. In response to our revenue expectations, we have implemented certain operating expense reductions while continuing to invest in our sales and reimbursement teams. Finally, we continue to see strong growth in our most stable regions and generate momentum through real world data and our BENEFIT-HF trial.</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Factors affecting our performance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there are several important factors that have impacted and that we expect will continue to impact our business and results of operations. These factors include:</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Growing and supporting our U.S. commercial organization;</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Promoting awareness among physicians, hospitals, and patients to accelerate adoption of Barostim;</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Continuing to develop and disseminate clinical evidence supporting the benefits of Barostim;</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Raising awareness among payers to build upon reimbursement for Barostim;</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Investing in research and development to foster innovation; and</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Leveraging our manufacturing capacity to further improve our gross margins.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Components of 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U.S. sales have steadily increased since the pre-market approval of Barostim by the FDA in August 2019, and the subsequent reimbursement changes. We expect to continue to drive increases in revenue through our efforts to increase awareness of Barostim among physicians, patients and payers, and by the expansion of our U.S. sales force, as well as by seeking expanded labeling for Barostim. As a result, we expect that U.S. sales will continue to account for the majority of our revenue going forward.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derive a portion of our revenue from the sale of Barostim to hospitals in Germany and other select countries in Europe. Revenue from sales of Barostim in Europe fluctuates based on the average selling price of Barostim as determined by location of sale and channel mix, each of which may vary significantly from country to country. Our revenue from international sales can also be significantly impacted by fluctuations in foreign currency exchange rates.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Cost of goods sold and gross margin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Cost of goods sold consists primarily of acquisition costs of the components and subassemblies of Barostim, allocated manufacturing overhead and scrap and inventory obsolescence, as well as distribution-related expenses such as logistics and shipping costs. We expect cost of goods sold to increase in absolute dollars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8450"/>
                <wp:effectExtent l="0" t="0" r="0" b="0"/>
                <wp:wrapNone/>
                <wp:docPr id="22" name="Frame2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primarily as, and to the extent, our revenue grows. Gross margin may also vary based on regional differences in rebates and incentives negotiated with certain customers.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calculate gross margin as revenue less cost of goods sold divided by revenue. Our gross margin has been and will continue to be affected by a variety of factors, but is primarily driven by the average sale price of our product, the percentage of products sold that include a full system (i.e., an IPG and a stimulation lead), as compared to individual IPG sales, and the allocated manufacturing overhead. Although we sell the majority of our devices directly to hospitals, the impact of the average selling price on gross margin is driven by the percentage of products we sold to distributors as compared to those sold directly to hospitals, as our average selling price is typically higher on products we sell directly. The full system sales typically have a lower gross margin as they include the cost of an IPG and a stimulation lead whereas individual IPG sales only include the cost of an IPG. The manufacturing overhead costs of Barostim are directly aligned to our production volume and therefore the cost per product is reduced if production levels increase. While we expect our gross margin to be positively affected over time to the extent we are successful in selling more product through our direct sales force and by increasing our production volumes, it will likely fluctuate from period to period as we continue to introduce new or modified products and adopt new manufacturing processes and technologies.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Research and development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Research and development (“R&amp;D”) expenses consist primarily of personnel costs, including salaries, bonuses, employee benefits and stock-based compensation expenses for our R&amp;D employees. R&amp;D expenses also include costs associated with product design efforts, development prototypes, testing, clinical trial programs and regulatory activities, contractors, consultants, equipment and software to support our development, facilities, and information technology. We expense R&amp;D costs as they are incurred. We expect R&amp;D expenses to increase in absolute dollars as we continue to develop enhancements to Barostim. Our R&amp;D expenses may fluctuate from period to period due to the timing and extent of our product development and clinical trial expenses.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Selling, general and administrative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Selling, general and administrative (“SG&amp;A”) expenses consist primarily of personnel costs, including base salaries, bonuses, employee benefits and stock-based compensation expense for our sales and marketing personnel, including sales commissions, and for administrative personnel that support our general operations such as executive management, financial accounting, information technology and human resources personnel. SG&amp;A expenses also include costs attributable to marketing, as well as travel, legal fees, financial audit fees, insurance, fees for other consulting services, depreciation, and facilities. We expense commissions at the time of the sale.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expect SG&amp;A expenses to increase in absolute dollars as we continue to expand our direct sales force and commercial organization in the U.S. In addition, we will continue to increase our international presence and to develop and assist our channel partners. However, we expect our SG&amp;A expenses to decrease as a percentage of revenue as our revenue grows.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expense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Interest expense consists of interest on our debt and amortization of associated financing costs.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Other income, net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Other income, net consists primarily of interest income on our interest-bearing accounts, partially offset by the effect of exchange rates on our foreign currency-denominated asset and liability balances. </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Benefit (provision) for income taxes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Benefit (provision) for income taxes consists primarily of income taxes in foreign jurisdictions in which we conduct business. We maintain a full valuation allowance for deferred tax assets including NOL carryforwards, R&amp;D credits, and other tax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8450"/>
                <wp:effectExtent l="0" t="0" r="0" b="0"/>
                <wp:wrapNone/>
                <wp:docPr id="23" name="Frame23"/>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Results of operations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Consolidated results of operations for the three months ended September 30, 2026, compared to the three months ended September 30, 2025</w:t>
      </w:r>
    </w:p>
    <w:tbl>
      <w:tblPr>
        <w:tblW w:w="8925"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811"/>
        <w:gridCol w:w="286"/>
        <w:gridCol w:w="109"/>
        <w:gridCol w:w="109"/>
        <w:gridCol w:w="109"/>
        <w:gridCol w:w="211"/>
        <w:gridCol w:w="811"/>
        <w:gridCol w:w="286"/>
        <w:gridCol w:w="109"/>
        <w:gridCol w:w="109"/>
        <w:gridCol w:w="109"/>
        <w:gridCol w:w="211"/>
        <w:gridCol w:w="706"/>
        <w:gridCol w:w="109"/>
        <w:gridCol w:w="109"/>
        <w:gridCol w:w="109"/>
        <w:gridCol w:w="109"/>
        <w:gridCol w:w="216"/>
        <w:gridCol w:w="219"/>
        <w:gridCol w:w="331"/>
      </w:tblGrid>
      <w:t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13,832 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14,690 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(858)</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1,834 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1,937 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11,998 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12,753 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(755)</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2,655 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3,146 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21,875 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25,043 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25,021 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(13,045)</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(12,268)</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(777)</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(1,607)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(1,480)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(14,164)</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(12,873)</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(1,291)</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(14,163)</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(12,870)</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0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(1,293)</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3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following table provides revenue by geography:</w:t>
      </w:r>
    </w:p>
    <w:tbl>
      <w:tblPr>
        <w:tblW w:w="7312" w:type="dxa"/>
        <w:jc w:val="left"/>
        <w:tblInd w:w="0" w:type="dxa"/>
        <w:tblLayout w:type="fixed"/>
        <w:tblCellMar>
          <w:top w:w="28" w:type="dxa"/>
          <w:left w:w="28" w:type="dxa"/>
          <w:bottom w:w="28" w:type="dxa"/>
          <w:right w:w="28" w:type="dxa"/>
        </w:tblCellMar>
      </w:tblPr>
      <w:tblGrid>
        <w:gridCol w:w="810"/>
        <w:gridCol w:w="711"/>
        <w:gridCol w:w="714"/>
        <w:gridCol w:w="109"/>
        <w:gridCol w:w="109"/>
        <w:gridCol w:w="109"/>
        <w:gridCol w:w="211"/>
        <w:gridCol w:w="751"/>
        <w:gridCol w:w="109"/>
        <w:gridCol w:w="109"/>
        <w:gridCol w:w="109"/>
        <w:gridCol w:w="109"/>
        <w:gridCol w:w="211"/>
        <w:gridCol w:w="751"/>
        <w:gridCol w:w="109"/>
        <w:gridCol w:w="109"/>
        <w:gridCol w:w="109"/>
        <w:gridCol w:w="109"/>
        <w:gridCol w:w="211"/>
        <w:gridCol w:w="541"/>
        <w:gridCol w:w="109"/>
        <w:gridCol w:w="109"/>
        <w:gridCol w:w="109"/>
        <w:gridCol w:w="109"/>
        <w:gridCol w:w="216"/>
        <w:gridCol w:w="219"/>
        <w:gridCol w:w="331"/>
      </w:tblGrid>
      <w:t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c>
          <w:tcPr>
            <w:tcW w:w="223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12,962 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13,493 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(531)</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13,832 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14,690 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(858)</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w:t>
            </w:r>
          </w:p>
        </w:tc>
        <w:tc>
          <w:tcPr>
            <w:tcW w:w="33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Revenue was $13.8 million for the three months ended September 30, 2026, a decrease of $0.9 million, or 6%, over the three months ended September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Revenue generated in the U.S. was $13.0 million for the three months ended September 30, 2026, a decrease of $0.5 million, or 4%, compared to the three months ended September 30, 2025. Revenue units in the U.S. totaled 412 and 420 for the three months ended September 30, 2026 and 2025, respectively. The decreases were primarily driven by lower sales force productivity and a prolonged challenge with one of our largest payers. Revenue also reflected higher-than-usual implants by centers that already had existing units to implant, which was more than offset by a larger annual purchase that occurred in the third quarter that we otherwise would have expected to occur in the fourth quarter.</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September 30, 2026, we had a total of 262 active implanting centers in the U.S., compared to 250 as of September 30, 2025. Active implanting centers are customers that have completed at least one commercial HF implant in the last 12 months. As of September 30, 2026, the number of sales territories in the U.S. was 56, compared to 50 sales territories as of September 30, 2025.</w:t>
      </w:r>
    </w:p>
    <w:p>
      <w:pPr>
        <w:pStyle w:val="TextBody"/>
        <w:bidi w:val="0"/>
        <w:spacing w:lineRule="auto" w:line="288" w:before="0" w:after="240"/>
        <w:jc w:val="left"/>
      </w:pPr>
      <w:r>
        <w:rPr>
          <w:rFonts w:ascii="Arial;sans-serif" w:hAnsi="Arial;sans-serif"/>
          <w:b w:val="false"/>
          <w:color w:val="000000"/>
          <w:sz w:val="20"/>
        </w:rPr>
        <w:t>Revenue generated in Europe was $0.9 million for the three months ended September 30, 2026, a decrease of $0.3 million, or 27%, compared to the three months ended September 30, 2025. Total revenue units in Europe decreased to 38 for the three months ended September 30, 2026, compared to 50 in the prior year period. The number of</w:t>
      </w:r>
      <w:r>
        <w:rPr>
          <w:color w:val="000000"/>
          <w:shd w:fill="FFFFFF" w:val="clear"/>
        </w:rPr>
        <w:t xml:space="preserve"> </w:t>
      </w:r>
      <w:r>
        <w:rPr>
          <w:rFonts w:ascii="Arial;sans-serif" w:hAnsi="Arial;sans-serif"/>
          <w:b w:val="false"/>
          <w:color w:val="000000"/>
          <w:sz w:val="20"/>
          <w:shd w:fill="FFFFFF" w:val="clear"/>
        </w:rPr>
        <w:t xml:space="preserve">sales territories in Europe remained unchanged at five as of </w:t>
      </w:r>
      <w:r>
        <w:rPr>
          <w:rFonts w:ascii="Arial;sans-serif" w:hAnsi="Arial;sans-serif"/>
          <w:b w:val="false"/>
          <w:color w:val="000000"/>
          <w:sz w:val="20"/>
        </w:rPr>
        <w:t>September 30, 2026 and</w:t>
      </w:r>
      <w:r>
        <w:rPr>
          <w:color w:val="000000"/>
          <w:shd w:fill="FFFFFF" w:val="clear"/>
        </w:rPr>
        <w:t xml:space="preserve"> </w:t>
      </w:r>
      <w:r>
        <w:rPr>
          <w:rFonts w:ascii="Arial;sans-serif" w:hAnsi="Arial;sans-serif"/>
          <w:b w:val="false"/>
          <w:color w:val="000000"/>
          <w:sz w:val="20"/>
        </w:rPr>
        <w:t>September 30,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8450"/>
                <wp:effectExtent l="0" t="0" r="0" b="0"/>
                <wp:wrapNone/>
                <wp:docPr id="24" name="Frame2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Cost of goods sold and gross margin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Cost of goods sold decreased $0.1 million, or 5%, to $1.8 million for the three months ended September 30, 2026, compared to the three months ended September 30, 2025. This decrease was driven by a lower cost per unit, primarily due to an increase in manufacturing efficiencies.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Gross profit was $12.0 million for the three months ended September 30, 2026, a decrease of $0.8 million, or 6%, over the three months ended September 30, 2025. Gross margin was 87% for both the three months ended September 30, 2026 and September 30, 2025.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R&amp;D expenses decreased $0.5 million, or 16%, to $2.7 million for the three months ended September 30, 2026, compared to the three months ended September 30, 2025. This change was driven by a $0.4 million decrease in headcount expenses, and a $0.2 million decrease in consulting expenses, partially offset by a $0.1 million increase in clinical trial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SG&amp;A expenses increased $0.5 million, or 2%, to $22.4 million for the three months ended September 30, 2026, compared to the three months ended September 30, 2025. This change was primarily driven by a $0.7 million increase in legal expenses, a $0.4 million increase in travel expenses, and a $0.4 million increase in consulting and contract labor expenses, partially offset by a $0.8 million decrease in advertising expenses and a $0.1 million decrease in insurance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Interest expense increased $0.1 million for the three months ended September 30, 2026, compared to the three months ended September 30, 2025. This increase was driven by higher interest expense resulting from increased borrowings under the Loan Agreement.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Other income, net decreased $0.4 million for the three months ended September 30, 2026, compared to the three months ended September 30, 2025. This decrease was driven by lower interest income from lower balances in our interest-bearing accounts.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Benefit (provision) for income taxes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Benefit (provision) for income taxes was nominal for each of the three months ended September 30, 2026 and 2025.</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8450"/>
                <wp:effectExtent l="0" t="0" r="0" b="0"/>
                <wp:wrapNone/>
                <wp:docPr id="25" name="Frame25"/>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Consolidated results of operations for the nine months ended September 30, 2026, compared to the nine months ended September 30, 2025</w:t>
      </w:r>
    </w:p>
    <w:tbl>
      <w:tblPr>
        <w:tblW w:w="8970" w:type="dxa"/>
        <w:jc w:val="left"/>
        <w:tblInd w:w="0" w:type="dxa"/>
        <w:tblLayout w:type="fixed"/>
        <w:tblCellMar>
          <w:top w:w="28" w:type="dxa"/>
          <w:left w:w="28" w:type="dxa"/>
          <w:bottom w:w="28" w:type="dxa"/>
          <w:right w:w="28" w:type="dxa"/>
        </w:tblCellMar>
      </w:tblPr>
      <w:tblGrid>
        <w:gridCol w:w="1163"/>
        <w:gridCol w:w="1021"/>
        <w:gridCol w:w="1025"/>
        <w:gridCol w:w="109"/>
        <w:gridCol w:w="109"/>
        <w:gridCol w:w="109"/>
        <w:gridCol w:w="211"/>
        <w:gridCol w:w="811"/>
        <w:gridCol w:w="286"/>
        <w:gridCol w:w="109"/>
        <w:gridCol w:w="109"/>
        <w:gridCol w:w="109"/>
        <w:gridCol w:w="211"/>
        <w:gridCol w:w="811"/>
        <w:gridCol w:w="286"/>
        <w:gridCol w:w="109"/>
        <w:gridCol w:w="109"/>
        <w:gridCol w:w="109"/>
        <w:gridCol w:w="211"/>
        <w:gridCol w:w="646"/>
        <w:gridCol w:w="109"/>
        <w:gridCol w:w="109"/>
        <w:gridCol w:w="109"/>
        <w:gridCol w:w="109"/>
        <w:gridCol w:w="286"/>
        <w:gridCol w:w="254"/>
        <w:gridCol w:w="331"/>
      </w:tblGrid>
      <w:tr>
        <w:tc>
          <w:tcPr>
            <w:tcW w:w="1163"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c>
          <w:tcPr>
            <w:tcW w:w="3209"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44,306 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40,627 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3,679 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5,703 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6,112 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38,603 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34,515 </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4,088 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8,869 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8,132 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67,963 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66,464 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76,832 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74,596 </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2,236 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(38,229)</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(40,081)</w:t>
            </w:r>
          </w:p>
        </w:tc>
        <w:tc>
          <w:tcPr>
            <w:tcW w:w="286"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1,852 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(4,736)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1,641 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3,108 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(47)</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(41,324)</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(41,383)</w:t>
            </w:r>
          </w:p>
        </w:tc>
        <w:tc>
          <w:tcPr>
            <w:tcW w:w="286"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09" w:type="dxa"/>
            <w:tcBorders>
              <w:top w:val="single" w:sz="6"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Benefit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(127)</w:t>
            </w:r>
          </w:p>
        </w:tc>
        <w:tc>
          <w:tcPr>
            <w:tcW w:w="3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(41,327)</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(41,372)</w:t>
            </w:r>
          </w:p>
        </w:tc>
        <w:tc>
          <w:tcPr>
            <w:tcW w:w="28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09"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331" w:type="dxa"/>
            <w:tcBorders>
              <w:top w:val="single" w:sz="6" w:space="0" w:color="000000"/>
              <w:bottom w:val="single" w:sz="6"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The following table provides revenue by geography:</w:t>
      </w:r>
    </w:p>
    <w:tbl>
      <w:tblPr>
        <w:tblW w:w="7418" w:type="dxa"/>
        <w:jc w:val="left"/>
        <w:tblInd w:w="0" w:type="dxa"/>
        <w:tblLayout w:type="fixed"/>
        <w:tblCellMar>
          <w:top w:w="28" w:type="dxa"/>
          <w:left w:w="28" w:type="dxa"/>
          <w:bottom w:w="28" w:type="dxa"/>
          <w:right w:w="28" w:type="dxa"/>
        </w:tblCellMar>
      </w:tblPr>
      <w:tblGrid>
        <w:gridCol w:w="810"/>
        <w:gridCol w:w="711"/>
        <w:gridCol w:w="714"/>
        <w:gridCol w:w="109"/>
        <w:gridCol w:w="109"/>
        <w:gridCol w:w="109"/>
        <w:gridCol w:w="211"/>
        <w:gridCol w:w="751"/>
        <w:gridCol w:w="109"/>
        <w:gridCol w:w="109"/>
        <w:gridCol w:w="109"/>
        <w:gridCol w:w="109"/>
        <w:gridCol w:w="211"/>
        <w:gridCol w:w="751"/>
        <w:gridCol w:w="109"/>
        <w:gridCol w:w="109"/>
        <w:gridCol w:w="109"/>
        <w:gridCol w:w="109"/>
        <w:gridCol w:w="211"/>
        <w:gridCol w:w="646"/>
        <w:gridCol w:w="109"/>
        <w:gridCol w:w="109"/>
        <w:gridCol w:w="109"/>
        <w:gridCol w:w="109"/>
        <w:gridCol w:w="218"/>
        <w:gridCol w:w="218"/>
        <w:gridCol w:w="331"/>
      </w:tblGrid>
      <w:tr>
        <w:tc>
          <w:tcPr>
            <w:tcW w:w="81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Change</w:t>
            </w:r>
          </w:p>
        </w:tc>
      </w:tr>
      <w:tr>
        <w:tc>
          <w:tcPr>
            <w:tcW w:w="22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(unaudited and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w:t>
            </w:r>
          </w:p>
        </w:tc>
      </w:tr>
      <w:tr>
        <w:tc>
          <w:tcPr>
            <w:tcW w:w="2235"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41,387 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36,937 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4,450 </w:t>
            </w:r>
          </w:p>
        </w:tc>
        <w:tc>
          <w:tcPr>
            <w:tcW w:w="109" w:type="dxa"/>
            <w:tcBorders>
              <w:top w:val="single" w:sz="6"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331" w:type="dxa"/>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22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r>
        <w:tc>
          <w:tcPr>
            <w:tcW w:w="22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44,306 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75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40,627 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3,679 </w:t>
            </w:r>
          </w:p>
        </w:tc>
        <w:tc>
          <w:tcPr>
            <w:tcW w:w="109"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31" w:type="dxa"/>
            <w:tcBorders>
              <w:top w:val="single" w:sz="6" w:space="0" w:color="000000"/>
              <w:bottom w:val="single" w:sz="6"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Revenue was $44.3 million for the nine months ended September 30, 2026, an increase of $3.7 million, or 9%, over the nine months ended September 30, 2025.</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Revenue generated in the U.S. was $41.4 million for the nine months ended September 30, 2026, an increase of $4.5 million, or 12%, compared to the nine months ended September 30, 2025. Revenue units in the U.S. totaled 1,307 and 1,170 for the nine months ended September 30, 2026 and 2025, respectively. The increases were primarily driven by continued growth in the U.S. HF business as a result of the expansion into new sales territories, new accounts, and increased physician and patient awareness of Barostim.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Revenue generated in Europe was $2.9 million for the nine months ended September 30, 2026, a $0.8 million decrease, or 21%, compared to the nine months ended September 30, 2025. Total revenue units in Europe decreased to 134 for the nine months ended September 30, 2026, compared to 170 in the prior year period. </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Cost of goods sold and gross margin</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Cost of goods sold decreased $0.4 million, or 7%, to $5.7 million for the nine months ended September 30, 2026, compared to the nine months ended September 30, 2025. This decrease was driven by a lower cost per unit, primarily due to an increase in manufacturing efficiencies.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Gross profit was $38.6 million for the nine months ended September 30, 2026, an increase of $4.1 million, or 12%, over the nine months ended September 30, 2025. Gross margin increased to 87% for the nine months ended September 30, 2026, compared to 85% for the nine months ended September 30, 2025. Gross margin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8450"/>
                <wp:effectExtent l="0" t="0" r="0" b="0"/>
                <wp:wrapNone/>
                <wp:docPr id="26" name="Frame26"/>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the nine months ended September 30, 2026 was higher due to an increase in the average selling price and a decrease in the cost per unit, primarily due to an increase in manufacturing efficiencies.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Research and development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R&amp;D expenses increased $0.7 million, or 9%, to $8.9 million for the nine months ended September 30, 2026, compared to the nine months ended September 30, 2025. This change was driven by a $0.4 million increase in headcount expenses and a $0.3 million increase in non-cash stock-based compensation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Selling, general and administrative expenses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SG&amp;A expenses increased $1.5 million, or 2%, to $68.0 million for the nine months ended September 30, 2026, compared to the nine months ended September 30, 2025. This change was primarily driven by a $1.3 million increase in legal expenses, a $1.0 million increase in headcount expenses, a $1.0 million increase in non-cash stock-based compensation expense, and a $0.3 million increase in consulting expenses, partially offset by a $1.7 million decrease in advertising expenses, a $0.2 million decrease in insurance expense, and a $0.1 million decrease in bad debt expenses.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Interest expense</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Interest expense increased $0.3 million for the nine months ended September 30, 2026, compared to the nine months ended September 30, 2025. This increase was driven by higher interest expense resulting from increased borrowings under the Loan Agreement.</w:t>
      </w:r>
    </w:p>
    <w:p>
      <w:pPr>
        <w:pStyle w:val="TextBody"/>
        <w:bidi w:val="0"/>
        <w:spacing w:before="0" w:after="0"/>
        <w:jc w:val="left"/>
      </w:p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Other income, net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Other income, net decreased $1.5 million for the nine months ended September 30, 2026, compared to the nine months ended September 30, 2025. This decrease was primarily driven by decreased interest income on our interest-bearing accounts.</w:t>
      </w:r>
    </w:p>
    <w:p>
      <w:pPr>
        <w:pStyle w:val="TextBody"/>
        <w:bidi w:val="0"/>
        <w:spacing w:before="0" w:after="0"/>
        <w:jc w:val="left"/>
      </w:pPr>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Benefit (provision) for income taxes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Benefit (provision) for income taxes was nominal for each of the nine months ended September 30, 2026 and 2025.</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Liquidity, capital resources and plan of operations</w:t>
      </w:r>
    </w:p>
    <w:p>
      <w:pPr>
        <w:pStyle w:val="TextBody"/>
        <w:bidi w:val="0"/>
        <w:spacing w:lineRule="auto" w:line="288" w:before="0" w:after="240"/>
        <w:jc w:val="left"/>
      </w:pPr>
      <w:r>
        <w:rPr>
          <w:rFonts w:ascii="Arial;sans-serif" w:hAnsi="Arial;sans-serif"/>
          <w:b w:val="false"/>
          <w:color w:val="000000"/>
          <w:sz w:val="20"/>
        </w:rPr>
        <w:t xml:space="preserve">We have incurred significant operating losses and negative cash flows from operations since our inception, and we anticipate that we will incur significant losses for at least the next several years. As of September 30, 2026 and December 31, 2025, we had cash and cash equivalents of $58.7 million and $75.7 million, respectively. </w:t>
      </w:r>
      <w:r>
        <w:rPr>
          <w:rFonts w:ascii="Arial;sans-serif" w:hAnsi="Arial;sans-serif"/>
          <w:b w:val="false"/>
          <w:color w:val="212529"/>
          <w:sz w:val="20"/>
          <w:shd w:fill="FFFFFF" w:val="clear"/>
        </w:rPr>
        <w:t>F</w:t>
      </w:r>
      <w:r>
        <w:rPr>
          <w:rFonts w:ascii="Arial;sans-serif" w:hAnsi="Arial;sans-serif"/>
          <w:b w:val="false"/>
          <w:color w:val="000000"/>
          <w:sz w:val="20"/>
        </w:rPr>
        <w:t xml:space="preserve">or the three months ended September 30, 2026 and 2025, our net losses were $14.2 million and $12.9 million, respectively. For the nine months ended September 30, 2026 and 2025, our net losses were $41.3 million and $41.4 million, respectively. Our net cash used in operating activities for the nine months ended September 30, 2026 and 2025 was $31.9 million and $30.4 million, respectively. </w:t>
      </w:r>
    </w:p>
    <w:p>
      <w:pPr>
        <w:pStyle w:val="TextBody"/>
        <w:bidi w:val="0"/>
        <w:spacing w:lineRule="auto" w:line="288" w:before="0" w:after="240"/>
        <w:jc w:val="left"/>
      </w:pPr>
      <w:r>
        <w:rPr>
          <w:rFonts w:ascii="Arial;sans-serif" w:hAnsi="Arial;sans-serif"/>
          <w:b w:val="false"/>
          <w:color w:val="000000"/>
          <w:sz w:val="20"/>
        </w:rPr>
        <w:t xml:space="preserve">On October 31, 2022, we entered into the Loan Agreement under which we were allowed to borrow, subject to our achievement of certain milestones, up to a total of $50.0 million in a series of Term Loans described in Note 4 to our condensed consolidated financial statements included elsewhere in this Quarterly Report on Form 10-Q. On January 9, 2026, we entered into an Amendment to our existing Loan Agreement. Pursuant to the Amendment, the term loans available were increased by $50.0 million, to an aggregate principal amount of up to $100.0 million, subject to our achievement of certain milestones, and the maturity date was extended to 2031. In connection with the Amendment, we borrowed an additional $10.0 million under the Loan Agreement. We had </w:t>
      </w:r>
      <w:r>
        <w:rPr>
          <w:rFonts w:ascii="Arial;sans-serif" w:hAnsi="Arial;sans-serif"/>
          <w:b w:val="false"/>
          <w:color w:val="000000"/>
          <w:sz w:val="20"/>
          <w:shd w:fill="FFFFFF" w:val="clear"/>
        </w:rPr>
        <w:t xml:space="preserve">$60.0 million in outstanding Term Loans under the Loan Agreement as of </w:t>
      </w:r>
      <w:r>
        <w:rPr>
          <w:rFonts w:ascii="Arial;sans-serif" w:hAnsi="Arial;sans-serif"/>
          <w:b w:val="false"/>
          <w:color w:val="000000"/>
          <w:sz w:val="20"/>
        </w:rPr>
        <w:t>September 30, 2026</w:t>
      </w:r>
      <w:r>
        <w:rPr>
          <w:rFonts w:ascii="Arial;sans-serif" w:hAnsi="Arial;sans-serif"/>
          <w:b w:val="false"/>
          <w:color w:val="000000"/>
          <w:sz w:val="20"/>
          <w:shd w:fill="FFFFFF" w:val="clear"/>
        </w:rPr>
        <w:t xml:space="preserve">. </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 xml:space="preserve">On November 4, 2022, we entered into an Equity Distribution Agreement with Piper Sandler &amp; Co., as agent, under which we may offer and sell, from time to time at our sole discretion, shares of our common stock having an aggregate offering price of up to $50.0 million in an ATM offering, to or through the agent. We issued 543,462 shares of common stock for gross proceeds of $9.5 million during the year ended December 31, 2025. On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8450"/>
                <wp:effectExtent l="0" t="0" r="0" b="0"/>
                <wp:wrapNone/>
                <wp:docPr id="27" name="Frame27"/>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November 4, 2025, we and the agent mutually agreed to terminate the Equity Distribution Agreement for the ATM, effective on November 6, 2025. On January 12, 2026, we entered into a Sale Agreement with Jefferies LLC, as agent. Pursuant to the terms of the Sale Agreement, we may offer and sell, from time to time at our sole discretion, shares of common stock having an aggregate offering price up to $50.0 million in an ATM offering, to or through the agent. We issued 1,940,668 shares of common stock for gross proceeds of $6.3 million during the nine months ended September 30, 2026. We have remaining capacity to issue and sell up to approximately $43.7 million of additional shares of common stock under this ATM offering.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Our future liquidity and capital funding requirements will depend on numerous factors, including:</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our investment in our U.S. commercial infrastructure and sales forces;</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the degree and rate of market acceptance of Barostim and the ability for our customers to obtain appropriate levels of reimbursement;</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the costs of commercialization activities, including product sales, marketing, manufacturing, and distribution;</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our R&amp;D activities for product enhancements and to expand our indications;</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the costs of filing, prosecuting, defending, and enforcing any patent claims and other intellectual property rights;</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our need to implement additional infrastructure and internal systems;</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our ability to hire additional personnel to support our operations as a public company; and</w:t>
      </w:r>
    </w:p>
    <w:p>
      <w:pPr>
        <w:pStyle w:val="TextBody"/>
        <w:bidi w:val="0"/>
        <w:spacing w:lineRule="auto" w:line="288" w:before="0" w:after="240"/>
        <w:ind w:left="0" w:right="0" w:hanging="360"/>
        <w:jc w:val="left"/>
      </w:pPr>
      <w:r>
        <w:rPr>
          <w:color w:val="000000"/>
        </w:rPr>
        <w:t>•</w:t>
      </w:r>
      <w:r>
        <w:rPr>
          <w:rFonts w:ascii="Arial;sans-serif" w:hAnsi="Arial;sans-serif"/>
          <w:b w:val="false"/>
          <w:color w:val="000000"/>
          <w:sz w:val="20"/>
        </w:rPr>
        <w:t>the emergence of competing technologies or other adverse market developments.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We believe that our existing cash resources together with cash from operations will be sufficient to meet our forecasted requirements for operating liquidity, capital expenditures and debt services for more than eighteen months. If these sources are insufficient to meet our liquidity requirements, or to fund the execution or acceleration of our growth strategies, we may seek additional equity financing or enter into an additional loan agreement. If we raise additional funds by issuing equity securities, our stockholders would experience dilution. Additional debt financing, if available, may involve covenants further restricting our operations or our ability to incur additional debt. Any such debt financing or additional equity that we raise may contain terms that are not favorable to us or our stockholders.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Additional financing may not be available at all or may only be available in amounts or on terms that we do not deem to be favorable. If we are unable to obtain additional financing when needed to satisfy our liquidity requirements, we may be required to delay the commercialization and marketing of Barostim.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8450"/>
                <wp:effectExtent l="0" t="0" r="0" b="0"/>
                <wp:wrapNone/>
                <wp:docPr id="28" name="Frame28"/>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Cash flows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following table sets forth the primary sources and uses of cash for each of the periods presented below:</w:t>
      </w:r>
    </w:p>
    <w:tbl>
      <w:tblPr>
        <w:tblW w:w="8195" w:type="dxa"/>
        <w:jc w:val="center"/>
        <w:tblInd w:w="0" w:type="dxa"/>
        <w:tblLayout w:type="fixed"/>
        <w:tblCellMar>
          <w:top w:w="28" w:type="dxa"/>
          <w:left w:w="28" w:type="dxa"/>
          <w:bottom w:w="28" w:type="dxa"/>
          <w:right w:w="28" w:type="dxa"/>
        </w:tblCellMar>
      </w:tblPr>
      <w:tblGrid>
        <w:gridCol w:w="1897"/>
        <w:gridCol w:w="1664"/>
        <w:gridCol w:w="1673"/>
        <w:gridCol w:w="109"/>
        <w:gridCol w:w="109"/>
        <w:gridCol w:w="109"/>
        <w:gridCol w:w="211"/>
        <w:gridCol w:w="811"/>
        <w:gridCol w:w="109"/>
        <w:gridCol w:w="109"/>
        <w:gridCol w:w="109"/>
        <w:gridCol w:w="109"/>
        <w:gridCol w:w="211"/>
        <w:gridCol w:w="811"/>
        <w:gridCol w:w="154"/>
      </w:tblGrid>
      <w:tr>
        <w:tc>
          <w:tcPr>
            <w:tcW w:w="1897"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 xml:space="preserve">Nine months ended </w:t>
              <w:br/>
              <w:t>September 30,</w:t>
            </w:r>
          </w:p>
        </w:tc>
      </w:tr>
      <w:tr>
        <w:tc>
          <w:tcPr>
            <w:tcW w:w="5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val="false"/>
                <w:i/>
                <w:color w:val="000000"/>
                <w:sz w:val="16"/>
              </w:rPr>
            </w:pPr>
            <w:r>
              <w:rPr>
                <w:rFonts w:ascii="Arial;sans-serif" w:hAnsi="Arial;sans-serif"/>
                <w:b w:val="false"/>
                <w:i/>
                <w:color w:val="000000"/>
                <w:sz w:val="16"/>
              </w:rPr>
              <w:t>(unaudited)</w:t>
            </w:r>
          </w:p>
        </w:tc>
      </w:tr>
      <w:t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i/>
                <w:color w:val="000000"/>
                <w:sz w:val="16"/>
              </w:rPr>
            </w:pPr>
            <w:r>
              <w:rPr>
                <w:rFonts w:ascii="Arial;sans-serif" w:hAnsi="Arial;sans-serif"/>
                <w:b w:val="false"/>
                <w:i/>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2026</w:t>
            </w:r>
          </w:p>
        </w:tc>
        <w:tc>
          <w:tcPr>
            <w:tcW w:w="327" w:type="dxa"/>
            <w:gridSpan w:val="3"/>
            <w:tcBorders>
              <w:top w:val="sing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16"/>
              </w:rPr>
            </w:pPr>
            <w:r>
              <w:rPr>
                <w:rFonts w:ascii="Arial;sans-serif" w:hAnsi="Arial;sans-serif"/>
                <w:b/>
                <w:color w:val="000000"/>
                <w:sz w:val="16"/>
              </w:rPr>
              <w:t>2025</w:t>
            </w:r>
          </w:p>
        </w:tc>
      </w:tr>
      <w:tr>
        <w:tc>
          <w:tcPr>
            <w:tcW w:w="5234" w:type="dxa"/>
            <w:gridSpan w:val="3"/>
            <w:tcBorders>
              <w:top w:val="single" w:sz="6"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cash (used in) provided by: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(31,887)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(30,412)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10,110 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Effect of currency exchange on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52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Net change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(16,962)</w:t>
            </w:r>
          </w:p>
        </w:tc>
        <w:tc>
          <w:tcPr>
            <w:tcW w:w="109"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c>
          <w:tcPr>
            <w:tcW w:w="811"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(20,809)</w:t>
            </w:r>
          </w:p>
        </w:tc>
        <w:tc>
          <w:tcPr>
            <w:tcW w:w="154" w:type="dxa"/>
            <w:tcBorders>
              <w:top w:val="single" w:sz="6"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Cash used in operating activities</w:t>
      </w:r>
    </w:p>
    <w:p>
      <w:pPr>
        <w:pStyle w:val="TextBody"/>
        <w:bidi w:val="0"/>
        <w:spacing w:lineRule="auto" w:line="288" w:before="0" w:after="240"/>
        <w:jc w:val="left"/>
      </w:pPr>
      <w:r>
        <w:rPr>
          <w:rFonts w:ascii="Arial;sans-serif" w:hAnsi="Arial;sans-serif"/>
          <w:b w:val="false"/>
          <w:color w:val="000000"/>
          <w:sz w:val="20"/>
        </w:rPr>
        <w:t xml:space="preserve">Net cash used in operating activities for the nine months ended September 30, 2026 was $31.9 million and consisted primarily of a net loss of $41.3 million, partially offset by a non-cash charge of $9.5 million related to stock-based compensation expense, and a change in net operating assets of $0.9 million. </w:t>
      </w:r>
      <w:r>
        <w:rPr>
          <w:rFonts w:ascii="Arial;sans-serif" w:hAnsi="Arial;sans-serif"/>
          <w:b w:val="false"/>
          <w:color w:val="000000"/>
          <w:sz w:val="20"/>
          <w:shd w:fill="FFFFFF" w:val="clear"/>
        </w:rPr>
        <w:t>Net operating assets consisted primarily of inventory, accounts receivable, accrued expenses, accounts payable, and prepaid expenses and other current assets to support the growth of our operations.</w:t>
      </w:r>
    </w:p>
    <w:p>
      <w:pPr>
        <w:pStyle w:val="TextBody"/>
        <w:bidi w:val="0"/>
        <w:spacing w:lineRule="auto" w:line="288" w:before="0" w:after="240"/>
        <w:jc w:val="left"/>
      </w:pPr>
      <w:r>
        <w:rPr>
          <w:rFonts w:ascii="Arial;sans-serif" w:hAnsi="Arial;sans-serif"/>
          <w:b w:val="false"/>
          <w:color w:val="000000"/>
          <w:sz w:val="20"/>
          <w:shd w:fill="FFFFFF" w:val="clear"/>
        </w:rPr>
        <w:t xml:space="preserve">Net cash used in operating activities for the </w:t>
      </w:r>
      <w:r>
        <w:rPr>
          <w:rFonts w:ascii="Arial;sans-serif" w:hAnsi="Arial;sans-serif"/>
          <w:b w:val="false"/>
          <w:color w:val="000000"/>
          <w:sz w:val="20"/>
        </w:rPr>
        <w:t>nine</w:t>
      </w:r>
      <w:r>
        <w:rPr>
          <w:color w:val="000000"/>
          <w:shd w:fill="FFFFFF" w:val="clear"/>
        </w:rPr>
        <w:t xml:space="preserv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2025</w:t>
      </w:r>
      <w:r>
        <w:rPr>
          <w:color w:val="000000"/>
          <w:shd w:fill="FFFFFF" w:val="clear"/>
        </w:rPr>
        <w:t xml:space="preserve"> </w:t>
      </w:r>
      <w:r>
        <w:rPr>
          <w:rFonts w:ascii="Arial;sans-serif" w:hAnsi="Arial;sans-serif"/>
          <w:b w:val="false"/>
          <w:color w:val="000000"/>
          <w:sz w:val="20"/>
          <w:shd w:fill="FFFFFF" w:val="clear"/>
        </w:rPr>
        <w:t>was $30.4 million and consisted primarily of a net loss of $41.4 million, partially offset by a non-cash charge of $8.3 million related to stock-based compensation expense, and a change in net operating assets of $2.0 million. Net operating assets consisted primarily of accounts receivable, accounts payable, inventory, prepaid expenses and other current assets, and accrued expenses to support the growth of our operations.</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Cash used in investing activities: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Cash used in investing activities was $0.3 million and $0.5 million for the nine months ended September 30, 2026 and 2025, respectively, and consisted of purchases of property and equipment.</w:t>
      </w:r>
    </w:p>
    <w:p>
      <w:pPr>
        <w:pStyle w:val="TextBody"/>
        <w:bidi w:val="0"/>
        <w:spacing w:lineRule="auto" w:line="288" w:before="0" w:after="240"/>
        <w:jc w:val="left"/>
        <w:rPr>
          <w:rFonts w:ascii="Arial;sans-serif" w:hAnsi="Arial;sans-serif"/>
          <w:b w:val="false"/>
          <w:i/>
          <w:color w:val="000000"/>
          <w:sz w:val="20"/>
        </w:rPr>
      </w:pPr>
      <w:r>
        <w:rPr>
          <w:rFonts w:ascii="Arial;sans-serif" w:hAnsi="Arial;sans-serif"/>
          <w:b w:val="false"/>
          <w:i/>
          <w:color w:val="000000"/>
          <w:sz w:val="20"/>
        </w:rPr>
        <w:t>Cash provided by financing activities: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2026 was $15.3 million and consisted of $8.9 million related to net proceeds from the debt financing, $5.9 million related to proceeds from the issuance of common stock, $0.4 million related to proceeds from the ESPP, and $0.1 million related to proceeds from the exercise of common stock options.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Net cash provided by financing activities for the nine months ended September 30, 2025 was $10.1 million and consisted of $9.2 million related to net proceeds from the issuance of common stock through the ATM offering, $0.6 million related to proceeds from the exercise of common stock options and $0.4 million related to proceeds from the ESPP.</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Contractual obligations and commitments</w:t>
      </w:r>
    </w:p>
    <w:p>
      <w:pPr>
        <w:pStyle w:val="TextBody"/>
        <w:bidi w:val="0"/>
        <w:spacing w:lineRule="auto" w:line="288" w:before="0" w:after="240"/>
        <w:jc w:val="left"/>
      </w:pPr>
      <w:r>
        <w:rPr>
          <w:rFonts w:ascii="Arial;sans-serif" w:hAnsi="Arial;sans-serif"/>
          <w:b w:val="false"/>
          <w:color w:val="000000"/>
          <w:sz w:val="20"/>
          <w:shd w:fill="FFFFFF" w:val="clear"/>
        </w:rPr>
        <w:t xml:space="preserve">There have been no material changes to our contractual obligations as of </w:t>
      </w:r>
      <w:r>
        <w:rPr>
          <w:rFonts w:ascii="Arial;sans-serif" w:hAnsi="Arial;sans-serif"/>
          <w:b w:val="false"/>
          <w:color w:val="000000"/>
          <w:sz w:val="20"/>
        </w:rPr>
        <w:t>September 30, 2026</w:t>
      </w:r>
      <w:r>
        <w:rPr>
          <w:rFonts w:ascii="Arial;sans-serif" w:hAnsi="Arial;sans-serif"/>
          <w:b w:val="false"/>
          <w:color w:val="000000"/>
          <w:sz w:val="20"/>
          <w:shd w:fill="FFFFFF" w:val="clear"/>
        </w:rPr>
        <w:t xml:space="preserve">, compared to those disclosed in our Annual Report on Form 10-K for the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Critical accounting policies and estimates</w:t>
      </w:r>
    </w:p>
    <w:p>
      <w:pPr>
        <w:pStyle w:val="TextBody"/>
        <w:bidi w:val="0"/>
        <w:spacing w:lineRule="auto" w:line="288" w:before="0" w:after="240"/>
        <w:jc w:val="left"/>
      </w:pPr>
      <w:r>
        <w:rPr>
          <w:rFonts w:ascii="Arial;sans-serif" w:hAnsi="Arial;sans-serif"/>
          <w:b w:val="false"/>
          <w:color w:val="000000"/>
          <w:sz w:val="20"/>
        </w:rPr>
        <w:t>For a discussion of our potential risks and uncertainties, see the information in</w:t>
      </w:r>
      <w:r>
        <w:rPr>
          <w:color w:val="000000"/>
          <w:shd w:fill="FFFFFF" w:val="clear"/>
        </w:rPr>
        <w:t xml:space="preserve"> </w:t>
      </w:r>
      <w:r>
        <w:rPr>
          <w:rFonts w:ascii="Arial;sans-serif" w:hAnsi="Arial;sans-serif"/>
          <w:b w:val="false"/>
          <w:color w:val="000000"/>
          <w:sz w:val="20"/>
          <w:shd w:fill="FFFFFF" w:val="clear"/>
        </w:rPr>
        <w:t xml:space="preserve">Part II, Item 7. “Management's Discussion and Analysis of Financial Condition and Results of Operations—Critical accounting policies and estimates" in our Annual Report on Form 10-K for the fiscal year ended </w:t>
      </w:r>
      <w:r>
        <w:rPr>
          <w:rFonts w:ascii="Arial;sans-serif" w:hAnsi="Arial;sans-serif"/>
          <w:b w:val="false"/>
          <w:color w:val="000000"/>
          <w:sz w:val="20"/>
        </w:rPr>
        <w:t>December 31, 2025</w:t>
      </w:r>
      <w:r>
        <w:rPr>
          <w:rFonts w:ascii="Arial;sans-serif" w:hAnsi="Arial;sans-serif"/>
          <w:b w:val="false"/>
          <w:color w:val="000000"/>
          <w:sz w:val="20"/>
          <w:shd w:fill="FFFFFF" w:val="clear"/>
        </w:rPr>
        <w:t xml:space="preserve">. We have reviewed </w:t>
      </w: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8450"/>
                <wp:effectExtent l="0" t="0" r="0" b="0"/>
                <wp:wrapNone/>
                <wp:docPr id="29" name="Frame29"/>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pPr>
      <w:r>
        <w:rPr>
          <w:rFonts w:ascii="Arial;sans-serif" w:hAnsi="Arial;sans-serif"/>
          <w:b w:val="false"/>
          <w:color w:val="000000"/>
          <w:sz w:val="20"/>
          <w:shd w:fill="FFFFFF" w:val="clear"/>
        </w:rPr>
        <w:t xml:space="preserve">and determined that those critical accounting policies and estimates remain our critical accounting policies and estimates as of and for the </w:t>
      </w:r>
      <w:r>
        <w:rPr>
          <w:rFonts w:ascii="Arial;sans-serif" w:hAnsi="Arial;sans-serif"/>
          <w:b w:val="false"/>
          <w:color w:val="000000"/>
          <w:sz w:val="20"/>
        </w:rPr>
        <w:t xml:space="preserve">nine </w:t>
      </w:r>
      <w:r>
        <w:rPr>
          <w:rFonts w:ascii="Arial;sans-serif" w:hAnsi="Arial;sans-serif"/>
          <w:b w:val="false"/>
          <w:color w:val="000000"/>
          <w:sz w:val="20"/>
          <w:shd w:fill="FFFFFF" w:val="clear"/>
        </w:rPr>
        <w:t xml:space="preserve">months ended </w:t>
      </w:r>
      <w:r>
        <w:rPr>
          <w:rFonts w:ascii="Arial;sans-serif" w:hAnsi="Arial;sans-serif"/>
          <w:b w:val="false"/>
          <w:color w:val="000000"/>
          <w:sz w:val="20"/>
        </w:rPr>
        <w:t>September 30, 2026</w:t>
      </w:r>
      <w:r>
        <w:rPr>
          <w:rFonts w:ascii="Arial;sans-serif" w:hAnsi="Arial;sans-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JOBS Act accounting election</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Recent accounting pronouncements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 discussion of recent accounting pronouncements is included in Note 2 to our condensed consolidated financial statements included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3. Quantitative and Qualitative Disclosures About Market Risk</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Interest rate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 risk associated with fluctuating interest rates is primarily limited to our cash equivalents and debt issued under the Loan Agreement, which are carried at quoted market prices and the prime rate, respectively. We do not currently use or plan to use financial derivatives in our investment portfolio.</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Foreign currency exchange rate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Portions of our revenue and operating expenses that are incurred outside the U.S. are denominated in foreign currencies and subject to fluctuations due to changes in foreign currency exchange rates, particularly changes in the Euro. Additionally, fluctuations in foreign currency exchange rates may cause us to recognize transaction gains and losses in our condensed consolidated statements of operations and comprehensive loss. To date, realized gains and losses from foreign currency transactions have not been material to our condensed consolidated financial statements, and we have not engaged in any foreign currency hedging transactions. As our international operations grow, we will continue to reassess our approach to managing the risks relating to fluctuations in currency rates.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Inflation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Inflationary factors, such as increases in our cost of goods sold and operating expenses, may adversely affect our operating results. Although we do not believe that inflation has had a material impact on our financial position or results of operations to date, a high rate of inflation in the future may have an adverse effect on our ability to maintain and increase our gross margin and selling and marketing and operating expenses as a percentage of our revenue if the selling prices of our products do not increase as much as or more than these increased costs.</w:t>
      </w:r>
    </w:p>
    <w:p>
      <w:pPr>
        <w:pStyle w:val="TextBody"/>
        <w:bidi w:val="0"/>
        <w:spacing w:lineRule="auto" w:line="288" w:before="0" w:after="240"/>
        <w:jc w:val="left"/>
        <w:rPr>
          <w:rFonts w:ascii="Arial;sans-serif" w:hAnsi="Arial;sans-serif"/>
          <w:b/>
          <w:i/>
          <w:color w:val="000000"/>
          <w:sz w:val="20"/>
        </w:rPr>
      </w:pPr>
      <w:r>
        <w:rPr>
          <w:rFonts w:ascii="Arial;sans-serif" w:hAnsi="Arial;sans-serif"/>
          <w:b/>
          <w:i/>
          <w:color w:val="000000"/>
          <w:sz w:val="20"/>
        </w:rPr>
        <w:t>Credit risk</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As of September 30, 2026 and December 31, 2025, our cash and cash equivalents were maintained with financial institutions which we believe have sufficient assets and liquidity to conduct their operations in the ordinary course of business with little or no credit risk to us; however, our cash balances were in excess of insured limits.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8450"/>
                <wp:effectExtent l="0" t="0" r="0" b="0"/>
                <wp:wrapNone/>
                <wp:docPr id="30" name="Frame30"/>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4"/>
          <w:shd w:fill="FFFFFF" w:val="clear"/>
        </w:rPr>
      </w:pPr>
      <w:r>
        <w:rPr>
          <w:rFonts w:ascii="Arial;sans-serif" w:hAnsi="Arial;sans-serif"/>
          <w:b/>
          <w:color w:val="000000"/>
          <w:sz w:val="24"/>
          <w:shd w:fill="FFFFFF" w:val="clear"/>
        </w:rPr>
        <w:t>Item 4. Controls and Procedures</w:t>
      </w:r>
    </w:p>
    <w:p>
      <w:pPr>
        <w:pStyle w:val="TextBody"/>
        <w:bidi w:val="0"/>
        <w:spacing w:lineRule="auto" w:line="288" w:before="0" w:after="240"/>
        <w:jc w:val="left"/>
        <w:rPr>
          <w:rFonts w:ascii="Arial;sans-serif" w:hAnsi="Arial;sans-serif"/>
          <w:b/>
          <w:i/>
          <w:color w:val="000000"/>
          <w:sz w:val="20"/>
          <w:shd w:fill="FFFFFF" w:val="clear"/>
        </w:rPr>
      </w:pPr>
      <w:r>
        <w:rPr>
          <w:rFonts w:ascii="Arial;sans-serif" w:hAnsi="Arial;sans-serif"/>
          <w:b/>
          <w:i/>
          <w:color w:val="000000"/>
          <w:sz w:val="20"/>
          <w:shd w:fill="FFFFFF" w:val="clear"/>
        </w:rPr>
        <w:t>Evaluation of disclosure controls and procedures</w:t>
      </w:r>
    </w:p>
    <w:p>
      <w:pPr>
        <w:pStyle w:val="TextBody"/>
        <w:bidi w:val="0"/>
        <w:spacing w:lineRule="auto" w:line="288" w:before="0" w:after="24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term “disclosure controls and procedures,” as defined in Rules 13a-15(e) and 15d-15(e) under the Exchange Act, refers to controls and other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management, with the participation of our chief executive officer and our chief financial officer, evaluated the effectiveness of our disclosure controls and procedures as of the end of the period covered by this Quarterly Report on Form 10-Q. Based on that evaluation, our chief executive officer and our chief financial officer concluded that our disclosure controls and procedures were effective, at the reasonable assurance level, as of the end of the period covered by this Quarterly Report on Form 10-Q.</w:t>
      </w:r>
    </w:p>
    <w:p>
      <w:pPr>
        <w:pStyle w:val="TextBody"/>
        <w:bidi w:val="0"/>
        <w:spacing w:lineRule="auto" w:line="288" w:before="0" w:after="240"/>
        <w:jc w:val="left"/>
        <w:rPr>
          <w:rFonts w:ascii="Arial;sans-serif" w:hAnsi="Arial;sans-serif"/>
          <w:b/>
          <w:i/>
          <w:color w:val="000000"/>
          <w:sz w:val="20"/>
          <w:shd w:fill="FFFFFF" w:val="clear"/>
        </w:rPr>
      </w:pPr>
      <w:r>
        <w:rPr>
          <w:rFonts w:ascii="Arial;sans-serif" w:hAnsi="Arial;sans-serif"/>
          <w:b/>
          <w:i/>
          <w:color w:val="000000"/>
          <w:sz w:val="20"/>
          <w:shd w:fill="FFFFFF" w:val="clear"/>
        </w:rPr>
        <w:t>Changes in internal control over financial reporting</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There were no changes in our internal control over financial reporting (as defined in Rules 13a-15(f) and 15d-15(f) under the Exchange Act) that occurred during the quarter ended September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1. Legal Proceedings</w: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From time to time, we may become involved in legal proceedings or be subject to claims arising in the ordinary course of our business. The information included in Note 10 to our condensed consolidated financial statements included elsewhere in this Quarterly Report on Form 10-Q is incorporated by reference into this Item 1.</w:t>
      </w:r>
    </w:p>
    <w:p>
      <w:pPr>
        <w:pStyle w:val="TextBody"/>
        <w:bidi w:val="0"/>
        <w:spacing w:before="0" w:after="0"/>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1A. Risk Factors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For a discussion of our potential risks and uncertainties, see the information in Part I, Item 1A. “Risk Factors” in our Annual Report on Form 10-K for the year ended December 31, 2025. There have been no material changes to the risk factors disclosed in our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2. Unregistered Sales of Equity Securities and Use of Proceeds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3. Defaults Upon Senior Securities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4. Mine Safety Disclosures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8450"/>
                <wp:effectExtent l="0" t="0" r="0" b="0"/>
                <wp:wrapNone/>
                <wp:docPr id="31" name="Frame31"/>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lineRule="auto" w:line="276" w:before="0" w:after="60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ind w:left="0" w:right="0" w:hanging="360"/>
        <w:jc w:val="left"/>
        <w:rPr>
          <w:rFonts w:ascii="Arial;sans-serif" w:hAnsi="Arial;sans-serif"/>
          <w:b/>
          <w:color w:val="000000"/>
          <w:sz w:val="24"/>
        </w:rPr>
      </w:pPr>
      <w:r>
        <w:rPr>
          <w:rFonts w:ascii="Arial;sans-serif" w:hAnsi="Arial;sans-serif"/>
          <w:b/>
          <w:color w:val="000000"/>
          <w:sz w:val="24"/>
        </w:rPr>
        <w:t>Item 5. Other Information</w:t>
      </w:r>
    </w:p>
    <w:p>
      <w:pPr>
        <w:pStyle w:val="TextBody"/>
        <w:bidi w:val="0"/>
        <w:spacing w:lineRule="auto" w:line="288" w:before="0" w:after="240"/>
        <w:jc w:val="left"/>
        <w:rPr>
          <w:rFonts w:ascii="Arial;sans-serif" w:hAnsi="Arial;sans-serif"/>
          <w:b/>
          <w:color w:val="000000"/>
          <w:sz w:val="20"/>
          <w:shd w:fill="FFFFFF" w:val="clear"/>
        </w:rPr>
      </w:pPr>
      <w:r>
        <w:rPr>
          <w:rFonts w:ascii="Arial;sans-serif" w:hAnsi="Arial;sans-serif"/>
          <w:b/>
          <w:color w:val="000000"/>
          <w:sz w:val="20"/>
          <w:shd w:fill="FFFFFF" w:val="clear"/>
        </w:rPr>
        <w:t>Adoption, Modification or Termination of Rule 10b5-1 Plans and Certain Other Trading Arrangements</w:t>
      </w:r>
    </w:p>
    <w:p>
      <w:pPr>
        <w:pStyle w:val="TextBody"/>
        <w:bidi w:val="0"/>
        <w:spacing w:lineRule="auto" w:line="288" w:before="0" w:after="240"/>
        <w:jc w:val="left"/>
      </w:pPr>
      <w:r>
        <w:rPr>
          <w:rFonts w:ascii="Arial;sans-serif" w:hAnsi="Arial;sans-serif"/>
          <w:b w:val="false"/>
          <w:color w:val="000000"/>
          <w:sz w:val="20"/>
          <w:shd w:fill="FFFFFF" w:val="clear"/>
        </w:rPr>
        <w:t xml:space="preserve">During the three months ended </w:t>
      </w:r>
      <w:r>
        <w:rPr>
          <w:rFonts w:ascii="Arial;sans-serif" w:hAnsi="Arial;sans-serif"/>
          <w:b w:val="false"/>
          <w:color w:val="000000"/>
          <w:sz w:val="20"/>
        </w:rPr>
        <w:t>September 30, 2026</w:t>
      </w:r>
      <w:r>
        <w:rPr>
          <w:rFonts w:ascii="Arial;sans-serif" w:hAnsi="Arial;sans-serif"/>
          <w:b w:val="false"/>
          <w:color w:val="000000"/>
          <w:sz w:val="20"/>
          <w:shd w:fill="FFFFFF" w:val="clear"/>
        </w:rPr>
        <w:t>, none of our directors or officers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8450"/>
                <wp:effectExtent l="0" t="0" r="0" b="0"/>
                <wp:wrapNone/>
                <wp:docPr id="32" name="Frame32"/>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lineRule="auto" w:line="276" w:before="0" w:after="60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left"/>
        <w:rPr>
          <w:rFonts w:ascii="Arial;sans-serif" w:hAnsi="Arial;sans-serif"/>
          <w:b/>
          <w:color w:val="000000"/>
          <w:sz w:val="24"/>
        </w:rPr>
      </w:pPr>
      <w:r>
        <w:rPr>
          <w:rFonts w:ascii="Arial;sans-serif" w:hAnsi="Arial;sans-serif"/>
          <w:b/>
          <w:color w:val="000000"/>
          <w:sz w:val="24"/>
        </w:rPr>
        <w:t>Item 6. Exhibits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EXHIBIT INDEX</w:t>
      </w:r>
    </w:p>
    <w:tbl>
      <w:tblPr>
        <w:tblW w:w="10205" w:type="dxa"/>
        <w:jc w:val="left"/>
        <w:tblInd w:w="0" w:type="dxa"/>
        <w:tblLayout w:type="fixed"/>
        <w:tblCellMar>
          <w:top w:w="28" w:type="dxa"/>
          <w:left w:w="28" w:type="dxa"/>
          <w:bottom w:w="28" w:type="dxa"/>
          <w:right w:w="28" w:type="dxa"/>
        </w:tblCellMar>
      </w:tblPr>
      <w:tblGrid>
        <w:gridCol w:w="312"/>
        <w:gridCol w:w="274"/>
        <w:gridCol w:w="276"/>
        <w:gridCol w:w="109"/>
        <w:gridCol w:w="109"/>
        <w:gridCol w:w="109"/>
        <w:gridCol w:w="2721"/>
        <w:gridCol w:w="2599"/>
        <w:gridCol w:w="3696"/>
      </w:tblGrid>
      <w:tr>
        <w:tc>
          <w:tcPr>
            <w:tcW w:w="31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sz w:val="4"/>
                <w:szCs w:val="4"/>
              </w:rPr>
            </w:pPr>
            <w:r>
              <w:rPr>
                <w:sz w:val="4"/>
                <w:szCs w:val="4"/>
              </w:rPr>
            </w:r>
          </w:p>
        </w:tc>
        <w:tc>
          <w:tcPr>
            <w:tcW w:w="3696" w:type="dxa"/>
            <w:tcBorders/>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76" w:before="0" w:after="0"/>
              <w:jc w:val="left"/>
              <w:rPr>
                <w:rFonts w:ascii="Arial;sans-serif" w:hAnsi="Arial;sans-serif"/>
                <w:b/>
                <w:color w:val="000000"/>
                <w:sz w:val="16"/>
              </w:rPr>
            </w:pPr>
            <w:r>
              <w:rPr>
                <w:rFonts w:ascii="Arial;sans-serif" w:hAnsi="Arial;sans-serif"/>
                <w:b/>
                <w:color w:val="000000"/>
                <w:sz w:val="16"/>
              </w:rP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16"/>
              </w:rPr>
            </w:pPr>
            <w:r>
              <w:rPr>
                <w:rFonts w:ascii="Arial;sans-serif" w:hAnsi="Arial;sans-serif"/>
                <w:b/>
                <w:color w:val="000000"/>
                <w:sz w:val="16"/>
              </w:rPr>
              <w:t>Description</w:t>
            </w:r>
          </w:p>
        </w:tc>
      </w:tr>
      <w:tr>
        <w:tc>
          <w:tcPr>
            <w:tcW w:w="862"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2">
              <w:r>
                <w:rPr>
                  <w:rStyle w:val="InternetLink"/>
                  <w:rFonts w:ascii="Arial;sans-serif" w:hAnsi="Arial;sans-serif"/>
                  <w:b w:val="false"/>
                  <w:color w:val="0000FF"/>
                  <w:sz w:val="20"/>
                  <w:u w:val="single"/>
                </w:rPr>
                <w:t>Restated Certificate of Incorporation of CVRx, Inc. (incorporated by reference to Exhibit 3.1 to the Company’s Current Report on Form 8-K filed on June 7, 2024)</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3">
              <w:r>
                <w:rPr>
                  <w:rStyle w:val="InternetLink"/>
                  <w:rFonts w:ascii="Arial;sans-serif" w:hAnsi="Arial;sans-serif"/>
                  <w:b w:val="false"/>
                  <w:color w:val="0000FF"/>
                  <w:sz w:val="20"/>
                  <w:u w:val="single"/>
                </w:rPr>
                <w:t>Amended and Restated By-Laws of CVRx, Inc. (incorporated by reference to Exhibit 3.2 to the Company’s Current Report on Form 8-K filed on July 7, 2021)</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r:id="rId4">
              <w:r>
                <w:rPr>
                  <w:rStyle w:val="InternetLink"/>
                  <w:rFonts w:ascii="Arial;sans-serif" w:hAnsi="Arial;sans-serif"/>
                  <w:b w:val="false"/>
                  <w:color w:val="0000FF"/>
                  <w:sz w:val="20"/>
                  <w:u w:val="single"/>
                </w:rPr>
                <w:t>Offer letter for John Landry, dated September 16, 2026 (incorporated by reference to Exhibit 10.1 to the Company's Current Report on Form 8-K filed on September 21, 2026)</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31.1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vrx-20260930xex311.htm">
              <w:r>
                <w:rPr>
                  <w:rStyle w:val="InternetLink"/>
                  <w:rFonts w:ascii="Arial;sans-serif" w:hAnsi="Arial;sans-serif"/>
                  <w:b w:val="false"/>
                  <w:color w:val="000080"/>
                  <w:sz w:val="20"/>
                  <w:u w:val="single"/>
                </w:rPr>
                <w:t>Certification of Chief Executive Officer Pursuant to Section</w:t>
              </w:r>
            </w:hyperlink>
            <w:hyperlink w:anchor="cvrx-20260930xex311.htm">
              <w:r>
                <w:rPr>
                  <w:rStyle w:val="InternetLink"/>
                  <w:rFonts w:ascii="Arial;sans-serif" w:hAnsi="Arial;sans-serif"/>
                  <w:b w:val="false"/>
                  <w:color w:val="000080"/>
                  <w:sz w:val="20"/>
                  <w:u w:val="single"/>
                </w:rPr>
                <w:t xml:space="preserve"> </w:t>
              </w:r>
            </w:hyperlink>
            <w:hyperlink w:anchor="cvrx-20260930xex311.htm">
              <w:r>
                <w:rPr>
                  <w:rStyle w:val="InternetLink"/>
                  <w:rFonts w:ascii="Arial;sans-serif" w:hAnsi="Arial;sans-serif"/>
                  <w:b w:val="false"/>
                  <w:color w:val="000080"/>
                  <w:sz w:val="20"/>
                  <w:u w:val="single"/>
                </w:rPr>
                <w:t>302 of the Sarbanes-Oxley Act of 2002</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31.2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vrx-20260930xex312.htm">
              <w:r>
                <w:rPr>
                  <w:rStyle w:val="InternetLink"/>
                  <w:rFonts w:ascii="Arial;sans-serif" w:hAnsi="Arial;sans-serif"/>
                  <w:b w:val="false"/>
                  <w:color w:val="000080"/>
                  <w:sz w:val="20"/>
                  <w:u w:val="single"/>
                </w:rPr>
                <w:t>Certification of Chief Financial Officer Pursuant to Section</w:t>
              </w:r>
            </w:hyperlink>
            <w:hyperlink w:anchor="cvrx-20260930xex312.htm">
              <w:r>
                <w:rPr>
                  <w:rStyle w:val="InternetLink"/>
                  <w:rFonts w:ascii="Arial;sans-serif" w:hAnsi="Arial;sans-serif"/>
                  <w:b w:val="false"/>
                  <w:color w:val="000080"/>
                  <w:sz w:val="20"/>
                  <w:u w:val="single"/>
                </w:rPr>
                <w:t xml:space="preserve"> </w:t>
              </w:r>
            </w:hyperlink>
            <w:hyperlink w:anchor="cvrx-20260930xex312.htm">
              <w:r>
                <w:rPr>
                  <w:rStyle w:val="InternetLink"/>
                  <w:rFonts w:ascii="Arial;sans-serif" w:hAnsi="Arial;sans-serif"/>
                  <w:b w:val="false"/>
                  <w:color w:val="000080"/>
                  <w:sz w:val="20"/>
                  <w:u w:val="single"/>
                </w:rPr>
                <w:t>302 of the Sarbanes-Oxley Act of 2002</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vrx-20260930xex321.htm">
              <w:r>
                <w:rPr>
                  <w:rStyle w:val="InternetLink"/>
                  <w:rFonts w:ascii="Arial;sans-serif" w:hAnsi="Arial;sans-serif"/>
                  <w:b w:val="false"/>
                  <w:color w:val="000080"/>
                  <w:sz w:val="20"/>
                  <w:u w:val="single"/>
                </w:rPr>
                <w:t>Certification of Chief Executive Officer Pursuant to 18 U.S.C. Section</w:t>
              </w:r>
            </w:hyperlink>
            <w:hyperlink w:anchor="cvrx-20260930xex321.htm">
              <w:r>
                <w:rPr>
                  <w:rStyle w:val="InternetLink"/>
                  <w:rFonts w:ascii="Arial;sans-serif" w:hAnsi="Arial;sans-serif"/>
                  <w:b w:val="false"/>
                  <w:color w:val="000080"/>
                  <w:sz w:val="20"/>
                  <w:u w:val="single"/>
                </w:rPr>
                <w:t xml:space="preserve"> </w:t>
              </w:r>
            </w:hyperlink>
            <w:hyperlink w:anchor="cvrx-20260930xex321.htm">
              <w:r>
                <w:rPr>
                  <w:rStyle w:val="InternetLink"/>
                  <w:rFonts w:ascii="Arial;sans-serif" w:hAnsi="Arial;sans-serif"/>
                  <w:b w:val="false"/>
                  <w:color w:val="000080"/>
                  <w:sz w:val="20"/>
                  <w:u w:val="single"/>
                </w:rPr>
                <w:t>1350, as adopted pursuant to Section</w:t>
              </w:r>
            </w:hyperlink>
            <w:hyperlink w:anchor="cvrx-20260930xex321.htm">
              <w:r>
                <w:rPr>
                  <w:rStyle w:val="InternetLink"/>
                  <w:rFonts w:ascii="Arial;sans-serif" w:hAnsi="Arial;sans-serif"/>
                  <w:b w:val="false"/>
                  <w:color w:val="000080"/>
                  <w:sz w:val="20"/>
                  <w:u w:val="single"/>
                </w:rPr>
                <w:t xml:space="preserve"> </w:t>
              </w:r>
            </w:hyperlink>
            <w:hyperlink w:anchor="cvrx-20260930xex321.htm">
              <w:r>
                <w:rPr>
                  <w:rStyle w:val="InternetLink"/>
                  <w:rFonts w:ascii="Arial;sans-serif" w:hAnsi="Arial;sans-serif"/>
                  <w:b w:val="false"/>
                  <w:color w:val="000080"/>
                  <w:sz w:val="20"/>
                  <w:u w:val="single"/>
                </w:rPr>
                <w:t>906 of the Sarbanes-Oxley Act of 2002</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cvrx-20260930xex322.htm">
              <w:r>
                <w:rPr>
                  <w:rStyle w:val="InternetLink"/>
                  <w:rFonts w:ascii="Arial;sans-serif" w:hAnsi="Arial;sans-serif"/>
                  <w:b w:val="false"/>
                  <w:color w:val="000080"/>
                  <w:sz w:val="20"/>
                  <w:u w:val="single"/>
                </w:rPr>
                <w:t>Certification of Chief Financial Officer Pursuant to 18 U.S.C. Section</w:t>
              </w:r>
            </w:hyperlink>
            <w:hyperlink w:anchor="cvrx-20260930xex322.htm">
              <w:r>
                <w:rPr>
                  <w:rStyle w:val="InternetLink"/>
                  <w:rFonts w:ascii="Arial;sans-serif" w:hAnsi="Arial;sans-serif"/>
                  <w:b w:val="false"/>
                  <w:color w:val="000080"/>
                  <w:sz w:val="20"/>
                  <w:u w:val="single"/>
                </w:rPr>
                <w:t xml:space="preserve"> </w:t>
              </w:r>
            </w:hyperlink>
            <w:hyperlink w:anchor="cvrx-20260930xex322.htm">
              <w:r>
                <w:rPr>
                  <w:rStyle w:val="InternetLink"/>
                  <w:rFonts w:ascii="Arial;sans-serif" w:hAnsi="Arial;sans-serif"/>
                  <w:b w:val="false"/>
                  <w:color w:val="000080"/>
                  <w:sz w:val="20"/>
                  <w:u w:val="single"/>
                </w:rPr>
                <w:t>1350, as adopted pursuant to Section</w:t>
              </w:r>
            </w:hyperlink>
            <w:hyperlink w:anchor="cvrx-20260930xex322.htm">
              <w:r>
                <w:rPr>
                  <w:rStyle w:val="InternetLink"/>
                  <w:rFonts w:ascii="Arial;sans-serif" w:hAnsi="Arial;sans-serif"/>
                  <w:b w:val="false"/>
                  <w:color w:val="000080"/>
                  <w:sz w:val="20"/>
                  <w:u w:val="single"/>
                </w:rPr>
                <w:t xml:space="preserve"> </w:t>
              </w:r>
            </w:hyperlink>
            <w:hyperlink w:anchor="cvrx-20260930xex322.htm">
              <w:r>
                <w:rPr>
                  <w:rStyle w:val="InternetLink"/>
                  <w:rFonts w:ascii="Arial;sans-serif" w:hAnsi="Arial;sans-serif"/>
                  <w:b w:val="false"/>
                  <w:color w:val="000080"/>
                  <w:sz w:val="20"/>
                  <w:u w:val="single"/>
                </w:rPr>
                <w:t>906 of the Sarbanes-Oxley Act of 2002</w:t>
              </w:r>
            </w:hyperlink>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101.INS</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Inline XBRL Instance Document</w:t>
            </w:r>
            <w:r>
              <w:rPr>
                <w:color w:val="000000"/>
              </w:rPr>
              <w:t xml:space="preserve"> – </w:t>
            </w:r>
            <w:r>
              <w:rPr>
                <w:rFonts w:ascii="Arial;sans-serif" w:hAnsi="Arial;sans-serif"/>
                <w:b w:val="false"/>
                <w:color w:val="000000"/>
                <w:sz w:val="20"/>
              </w:rPr>
              <w:t>the instance document does not appear in the Interactive Data File because its XBRL tags are embedded within the Inline XBRL document</w:t>
            </w:r>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101.SCH</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Schema Document</w:t>
            </w:r>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101.CAL</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Calculation Linkbase Document</w:t>
            </w:r>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101.DEF</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Definition Linkbase Document</w:t>
            </w:r>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101.LAB</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Label Linkbase Document</w:t>
            </w:r>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101.PRE</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Inline XBRL Taxonomy Extension Presentation Linkbase Document</w:t>
            </w:r>
          </w:p>
        </w:tc>
      </w:tr>
      <w:tr>
        <w:tc>
          <w:tcPr>
            <w:tcW w:w="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862"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104</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6" w:type="dxa"/>
            <w:gridSpan w:val="3"/>
            <w:tcBorders/>
            <w:tcMar>
              <w:top w:w="0" w:type="dxa"/>
              <w:left w:w="0" w:type="dxa"/>
              <w:bottom w:w="0" w:type="dxa"/>
              <w:right w:w="0" w:type="dxa"/>
            </w:tcMar>
            <w:vAlign w:val="center"/>
          </w:tcPr>
          <w:p>
            <w:pPr>
              <w:pStyle w:val="TableContents"/>
              <w:bidi w:val="0"/>
              <w:spacing w:lineRule="auto" w:line="276" w:before="0" w:after="0"/>
              <w:jc w:val="left"/>
            </w:pPr>
            <w:r>
              <w:rPr>
                <w:rFonts w:ascii="Arial;sans-serif" w:hAnsi="Arial;sans-serif"/>
                <w:b w:val="false"/>
                <w:color w:val="000000"/>
                <w:sz w:val="20"/>
              </w:rPr>
              <w:t>Cover Page</w:t>
            </w:r>
            <w:r>
              <w:rPr>
                <w:color w:val="000000"/>
              </w:rPr>
              <w:t xml:space="preserve"> </w:t>
            </w:r>
            <w:r>
              <w:rPr>
                <w:rFonts w:ascii="Arial;sans-serif" w:hAnsi="Arial;sans-serif"/>
                <w:b w:val="false"/>
                <w:color w:val="000000"/>
                <w:sz w:val="20"/>
              </w:rPr>
              <w:t>Interactive Data File (formatted in Inline XBRL and contained in Exhibit</w:t>
            </w:r>
            <w:r>
              <w:rPr>
                <w:color w:val="000000"/>
              </w:rPr>
              <w:t xml:space="preserve"> </w:t>
            </w:r>
            <w:r>
              <w:rPr>
                <w:rFonts w:ascii="Arial;sans-serif" w:hAnsi="Arial;sans-serif"/>
                <w:b w:val="false"/>
                <w:color w:val="000000"/>
                <w:sz w:val="20"/>
              </w:rPr>
              <w:t>101)</w:t>
            </w:r>
          </w:p>
        </w:tc>
      </w:tr>
    </w:tbl>
    <w:p>
      <w:pPr>
        <w:pStyle w:val="TextBody"/>
        <w:bidi w:val="0"/>
        <w:spacing w:lineRule="auto" w:line="288" w:before="0" w:after="120"/>
        <w:ind w:left="0" w:right="0" w:hanging="418"/>
        <w:jc w:val="left"/>
        <w:rPr>
          <w:rFonts w:ascii="Arial;sans-serif" w:hAnsi="Arial;sans-serif"/>
          <w:b w:val="false"/>
          <w:color w:val="231F20"/>
          <w:sz w:val="20"/>
        </w:rPr>
      </w:pPr>
      <w:r>
        <w:rPr>
          <w:rFonts w:ascii="Arial;sans-serif" w:hAnsi="Arial;sans-serif"/>
          <w:b w:val="false"/>
          <w:color w:val="231F20"/>
          <w:sz w:val="20"/>
        </w:rPr>
        <w:t>________________________________________________</w:t>
      </w:r>
    </w:p>
    <w:p>
      <w:pPr>
        <w:pStyle w:val="TextBody"/>
        <w:bidi w:val="0"/>
        <w:spacing w:lineRule="auto" w:line="288" w:before="0" w:after="120"/>
        <w:ind w:left="0" w:right="0" w:hanging="418"/>
        <w:jc w:val="left"/>
      </w:pPr>
      <w:r>
        <w:rPr>
          <w:color w:val="231F20"/>
        </w:rPr>
        <w:t>†</w:t>
      </w:r>
      <w:r>
        <w:rPr>
          <w:rFonts w:ascii="Arial;sans-serif" w:hAnsi="Arial;sans-serif"/>
          <w:b w:val="false"/>
          <w:color w:val="231F2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lineRule="auto" w:line="288" w:before="0" w:after="0"/>
        <w:jc w:val="left"/>
      </w:pPr>
      <w:hyperlink w:anchor="ifdc1cbac2efd4600a604d68a7e09a462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240"/>
        <w:jc w:val="center"/>
        <w:rPr>
          <w:rFonts w:ascii="Arial;sans-serif" w:hAnsi="Arial;sans-serif"/>
          <w:b/>
          <w:color w:val="000000"/>
          <w:sz w:val="24"/>
        </w:rPr>
      </w:pPr>
      <w:r>
        <w:rPr>
          <w:rFonts w:ascii="Arial;sans-serif" w:hAnsi="Arial;sans-serif"/>
          <w:b/>
          <w:color w:val="000000"/>
          <w:sz w:val="24"/>
        </w:rPr>
        <w:t>SIGNATURES</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240"/>
        <w:jc w:val="left"/>
        <w:rPr>
          <w:rFonts w:ascii="Arial;sans-serif" w:hAnsi="Arial;sans-serif"/>
          <w:b w:val="false"/>
          <w:color w:val="000000"/>
          <w:sz w:val="20"/>
        </w:rPr>
      </w:pPr>
      <w:r>
        <w:rPr>
          <w:rFonts w:ascii="Arial;sans-serif" w:hAnsi="Arial;sans-serif"/>
          <w:b w:val="false"/>
          <w:color w:val="000000"/>
          <w:sz w:val="20"/>
        </w:rPr>
        <w:t>Date: November 5, 2026</w:t>
      </w:r>
    </w:p>
    <w:tbl>
      <w:tblPr>
        <w:tblW w:w="4931" w:type="dxa"/>
        <w:jc w:val="left"/>
        <w:tblInd w:w="0" w:type="dxa"/>
        <w:tblLayout w:type="fixed"/>
        <w:tblCellMar>
          <w:top w:w="28" w:type="dxa"/>
          <w:left w:w="28" w:type="dxa"/>
          <w:bottom w:w="28" w:type="dxa"/>
          <w:right w:w="28" w:type="dxa"/>
        </w:tblCellMar>
      </w:tblPr>
      <w:tblGrid>
        <w:gridCol w:w="124"/>
        <w:gridCol w:w="109"/>
        <w:gridCol w:w="109"/>
        <w:gridCol w:w="224"/>
        <w:gridCol w:w="224"/>
        <w:gridCol w:w="226"/>
        <w:gridCol w:w="1143"/>
        <w:gridCol w:w="1143"/>
        <w:gridCol w:w="162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9"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CVRX, INC.</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Kevin Hykes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Kevin Hykes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Executive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/s/ Jared Oasheim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915"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Jared Oasheim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Chief Financial Officer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(Principal Financial and Accounting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8450"/>
                <wp:effectExtent l="0" t="0" r="0" b="0"/>
                <wp:wrapNone/>
                <wp:docPr id="34" name="Frame34"/>
                <a:graphic xmlns:a="http://schemas.openxmlformats.org/drawingml/2006/main">
                  <a:graphicData uri="http://schemas.microsoft.com/office/word/2010/wordprocessingShape">
                    <wps:wsp>
                      <wps:cNvSpPr txBox="1"/>
                      <wps:spPr>
                        <a:xfrm>
                          <a:off x="0" y="0"/>
                          <a:ext cx="6480175" cy="298450"/>
                        </a:xfrm>
                        <a:prstGeom prst="rect"/>
                        <a:solidFill>
                          <a:srgbClr val="FFFFFF"/>
                        </a:solidFill>
                      </wps:spPr>
                      <wps:txb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76" w:before="240" w:after="283"/>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Kevin Hykes,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CVRx, Inc.;</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bl>
      <w:tblPr>
        <w:tblW w:w="41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37"/>
        <w:gridCol w:w="937"/>
        <w:gridCol w:w="133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r>
              <w:rPr>
                <w:rFonts w:ascii="Times New Roman;serif" w:hAnsi="Times New Roman;serif"/>
                <w:b w:val="false"/>
                <w:color w:val="000000"/>
                <w:sz w:val="20"/>
              </w:rPr>
              <w:t>/s/ Kevin Hykes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Kevin Hykes </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Jared Oasheim, certify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CVRx, Inc.;</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bl>
      <w:tblPr>
        <w:tblW w:w="29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586"/>
        <w:gridCol w:w="586"/>
        <w:gridCol w:w="83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Jared Oasheim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Jared Oasheim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CEO Pursuant to 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CVRx, Inc. (the “Company”) on Form 10-Q for the period ended September 30, 2026 (the “Report”), as filed with the Securities and Exchange Commission on the date hereof, I, the undersigned, certify, pursuant to 18 U.S.C. Section 1350, as adopted pursuant to Section 906 of the Sarbanes-Oxley Act of 2002, to the best of my knowledge,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56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bl>
      <w:tblPr>
        <w:tblW w:w="4181"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937"/>
        <w:gridCol w:w="937"/>
        <w:gridCol w:w="133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Kevin Hykes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10"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Kevin Hykes</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right"/>
      </w:p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Certification of CFO Pursuant to 18 U.S.C. Section 1350,</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Adopted Pursuant to Section 906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CVRx, Inc. (the “Company”) on Form 10-Q for the period ended September 30, 2026 (the “Report”), as filed with the Securities and Exchange Commission on the date hereof, I, the undersigned, certify, pursuant to 18 U.S.C. Section 1350, as adopted pursuant to Section 906 of the Sarbanes-Oxley Act of 2002, to the best of my knowledge, that:</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Section 15(d) of the Securities Exchange Act of 1934; and</w:t>
      </w:r>
    </w:p>
    <w:p>
      <w:pPr>
        <w:pStyle w:val="TextBody"/>
        <w:bidi w:val="0"/>
        <w:spacing w:lineRule="auto" w:line="288" w:before="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560"/>
        <w:jc w:val="left"/>
        <w:rPr>
          <w:rFonts w:ascii="Times New Roman;serif" w:hAnsi="Times New Roman;serif"/>
          <w:b w:val="false"/>
          <w:color w:val="000000"/>
          <w:sz w:val="20"/>
        </w:rPr>
      </w:pPr>
      <w:r>
        <w:rPr>
          <w:rFonts w:ascii="Times New Roman;serif" w:hAnsi="Times New Roman;serif"/>
          <w:b w:val="false"/>
          <w:color w:val="000000"/>
          <w:sz w:val="20"/>
        </w:rPr>
        <w:t>Date: November 5, 2026</w:t>
      </w:r>
    </w:p>
    <w:tbl>
      <w:tblPr>
        <w:tblW w:w="2980" w:type="dxa"/>
        <w:jc w:val="left"/>
        <w:tblInd w:w="0" w:type="dxa"/>
        <w:tblLayout w:type="fixed"/>
        <w:tblCellMar>
          <w:top w:w="28" w:type="dxa"/>
          <w:left w:w="28" w:type="dxa"/>
          <w:bottom w:w="28" w:type="dxa"/>
          <w:right w:w="28" w:type="dxa"/>
        </w:tblCellMar>
      </w:tblPr>
      <w:tblGrid>
        <w:gridCol w:w="124"/>
        <w:gridCol w:w="109"/>
        <w:gridCol w:w="109"/>
        <w:gridCol w:w="208"/>
        <w:gridCol w:w="208"/>
        <w:gridCol w:w="213"/>
        <w:gridCol w:w="586"/>
        <w:gridCol w:w="586"/>
        <w:gridCol w:w="83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Jared Oasheim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6"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Jared Oasheim</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p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235912/000110465924069657/tm2416672d1_ex3-1.htm" TargetMode="External"/><Relationship Id="rId3" Type="http://schemas.openxmlformats.org/officeDocument/2006/relationships/hyperlink" Target="https://www.sec.gov/Archives/edgar/data/1235912/000110465921089779/tm2121505d1_ex3-2.htm" TargetMode="External"/><Relationship Id="rId4" Type="http://schemas.openxmlformats.org/officeDocument/2006/relationships/hyperlink" Target="https://www.sec.gov/Archives/edgar/data/1235912/000110465926109304/tm2625806d1_ex10-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15960</Words>
  <Characters>87184</Characters>
  <CharactersWithSpaces>102007</CharactersWithSpaces>
  <Paragraphs>1816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