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vrx-20240331x10q.htm"/>
        <w:bookmarkStart w:id="1" w:name="kscvrx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18"/>
        </w:rPr>
      </w:pPr>
      <w:bookmarkStart w:id="2" w:name="_302006c4_8269_40a8_830d_f023279d51f7"/>
      <w:bookmarkEnd w:id="2"/>
      <w:r>
        <w:rPr>
          <w:rFonts w:ascii="Arial;Helvetica;sans-serif" w:hAnsi="Arial;Helvetica;sans-serif"/>
          <w:b/>
          <w:sz w:val="18"/>
        </w:rPr>
        <w:t>UNITED STATES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SECURITIES AND EXCHANGE COMMISSION</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60"/>
        <w:ind w:left="0" w:right="0" w:hanging="0"/>
        <w:jc w:val="center"/>
        <w:rPr>
          <w:rFonts w:ascii="Arial;Helvetica;sans-serif" w:hAnsi="Arial;Helvetica;sans-serif"/>
          <w:b/>
          <w:sz w:val="18"/>
        </w:rPr>
      </w:pPr>
      <w:r>
        <w:rPr>
          <w:rFonts w:ascii="Arial;Helvetica;sans-serif" w:hAnsi="Arial;Helvetica;sans-serif"/>
          <w:b/>
          <w:sz w:val="18"/>
        </w:rPr>
        <w:t>FORM 10-Q</w:t>
      </w:r>
    </w:p>
    <w:p>
      <w:pPr>
        <w:pStyle w:val="TextBody"/>
        <w:bidi w:val="0"/>
        <w:spacing w:before="0" w:after="0"/>
        <w:ind w:left="720" w:right="0" w:hanging="0"/>
        <w:jc w:val="left"/>
        <w:rPr>
          <w:rFonts w:ascii="Arial;Helvetica;sans-serif" w:hAnsi="Arial;Helvetica;sans-serif"/>
          <w:b/>
          <w:sz w:val="18"/>
        </w:rPr>
      </w:pPr>
      <w:r>
        <w:rPr>
          <w:rFonts w:ascii="Arial;Helvetica;sans-serif" w:hAnsi="Arial;Helvetica;sans-serif"/>
          <w:b/>
          <w:sz w:val="18"/>
        </w:rPr>
        <w:t>(Mark One)</w:t>
      </w:r>
    </w:p>
    <w:tbl>
      <w:tblPr>
        <w:tblW w:w="9816" w:type="dxa"/>
        <w:jc w:val="left"/>
        <w:tblInd w:w="0" w:type="dxa"/>
        <w:tblLayout w:type="fixed"/>
        <w:tblCellMar>
          <w:top w:w="0" w:type="dxa"/>
          <w:left w:w="0" w:type="dxa"/>
          <w:bottom w:w="0" w:type="dxa"/>
          <w:right w:w="0" w:type="dxa"/>
        </w:tblCellMar>
      </w:tblPr>
      <w:tblGrid>
        <w:gridCol w:w="124"/>
        <w:gridCol w:w="31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376" w:type="dxa"/>
            <w:tcBorders/>
            <w:vAlign w:val="center"/>
          </w:tcPr>
          <w:p>
            <w:pPr>
              <w:pStyle w:val="TableContents"/>
              <w:bidi w:val="0"/>
              <w:spacing w:before="0" w:after="0"/>
              <w:jc w:val="left"/>
              <w:rPr>
                <w:rFonts w:ascii="Arial;Helvetica;sans-serif" w:hAnsi="Arial;Helvetica;sans-serif"/>
                <w:b/>
                <w:sz w:val="18"/>
              </w:rPr>
            </w:pPr>
            <w:r>
              <w:rPr>
                <w:rFonts w:ascii="Arial;Helvetica;sans-serif" w:hAnsi="Arial;Helvetica;sans-serif"/>
                <w:b/>
                <w:sz w:val="18"/>
              </w:rPr>
              <w:t>QUARTERLY REPORT PURSUANT TO SECTION 13 OR 15(d) OF THE SECURITIES EXCHANGE ACT OF 1934</w:t>
            </w:r>
          </w:p>
        </w:tc>
      </w:tr>
    </w:tbl>
    <w:p>
      <w:pPr>
        <w:pStyle w:val="TextBody"/>
        <w:bidi w:val="0"/>
        <w:spacing w:before="0" w:after="60"/>
        <w:ind w:left="0" w:right="0" w:hanging="0"/>
        <w:jc w:val="center"/>
        <w:rPr>
          <w:rFonts w:ascii="Arial;Helvetica;sans-serif" w:hAnsi="Arial;Helvetica;sans-serif"/>
          <w:sz w:val="20"/>
        </w:rPr>
      </w:pPr>
      <w:r>
        <w:rPr>
          <w:rFonts w:ascii="Arial;Helvetica;sans-serif" w:hAnsi="Arial;Helvetica;sans-serif"/>
          <w:b/>
          <w:sz w:val="16"/>
        </w:rPr>
        <w:t>For the quarterly period ended March 31, 2024</w:t>
      </w:r>
      <w:r>
        <w:rPr>
          <w:rFonts w:ascii="Arial;Helvetica;sans-serif" w:hAnsi="Arial;Helvetica;sans-serif"/>
          <w:sz w:val="20"/>
        </w:rPr>
        <w:t xml:space="preserve"> </w:t>
      </w:r>
    </w:p>
    <w:p>
      <w:pPr>
        <w:pStyle w:val="TextBody"/>
        <w:bidi w:val="0"/>
        <w:spacing w:before="0" w:after="60"/>
        <w:ind w:left="0" w:right="0" w:hanging="0"/>
        <w:jc w:val="center"/>
        <w:rPr>
          <w:rFonts w:ascii="Arial;Helvetica;sans-serif" w:hAnsi="Arial;Helvetica;sans-serif"/>
          <w:b/>
          <w:sz w:val="16"/>
        </w:rPr>
      </w:pPr>
      <w:r>
        <w:rPr>
          <w:rFonts w:ascii="Arial;Helvetica;sans-serif" w:hAnsi="Arial;Helvetica;sans-serif"/>
          <w:b/>
          <w:sz w:val="16"/>
        </w:rPr>
        <w:t>or</w:t>
      </w:r>
    </w:p>
    <w:tbl>
      <w:tblPr>
        <w:tblW w:w="9786" w:type="dxa"/>
        <w:jc w:val="left"/>
        <w:tblInd w:w="0" w:type="dxa"/>
        <w:tblLayout w:type="fixed"/>
        <w:tblCellMar>
          <w:top w:w="0" w:type="dxa"/>
          <w:left w:w="0" w:type="dxa"/>
          <w:bottom w:w="0" w:type="dxa"/>
          <w:right w:w="0" w:type="dxa"/>
        </w:tblCellMar>
      </w:tblPr>
      <w:tblGrid>
        <w:gridCol w:w="124"/>
        <w:gridCol w:w="31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346" w:type="dxa"/>
            <w:tcBorders/>
            <w:vAlign w:val="center"/>
          </w:tcPr>
          <w:p>
            <w:pPr>
              <w:pStyle w:val="TableContents"/>
              <w:bidi w:val="0"/>
              <w:spacing w:before="0" w:after="0"/>
              <w:jc w:val="left"/>
              <w:rPr>
                <w:rFonts w:ascii="Arial;Helvetica;sans-serif" w:hAnsi="Arial;Helvetica;sans-serif"/>
                <w:b/>
                <w:sz w:val="18"/>
              </w:rPr>
            </w:pPr>
            <w:r>
              <w:rPr>
                <w:rFonts w:ascii="Arial;Helvetica;sans-serif" w:hAnsi="Arial;Helvetica;sans-serif"/>
                <w:b/>
                <w:sz w:val="18"/>
              </w:rPr>
              <w:t>TRANSITION REPORT PURSUANT TO SECTION 13 OR 15(d) OF THE SECURITIES EXCHANGE ACT OF 1934</w:t>
            </w:r>
          </w:p>
        </w:tc>
      </w:tr>
    </w:tbl>
    <w:p>
      <w:pPr>
        <w:pStyle w:val="TextBody"/>
        <w:bidi w:val="0"/>
        <w:spacing w:before="0" w:after="120"/>
        <w:ind w:left="0" w:right="0" w:hanging="0"/>
        <w:jc w:val="center"/>
        <w:rPr>
          <w:rFonts w:ascii="Arial;Helvetica;sans-serif" w:hAnsi="Arial;Helvetica;sans-serif"/>
          <w:sz w:val="16"/>
        </w:rPr>
      </w:pPr>
      <w:r>
        <w:rPr>
          <w:rFonts w:ascii="Arial;Helvetica;sans-serif" w:hAnsi="Arial;Helvetica;sans-serif"/>
          <w:b/>
          <w:sz w:val="16"/>
        </w:rPr>
        <w:t xml:space="preserve">For the transition period from </w:t>
      </w:r>
      <w:r>
        <w:rPr>
          <w:rFonts w:ascii="Arial;Helvetica;sans-serif" w:hAnsi="Arial;Helvetica;sans-serif"/>
          <w:sz w:val="16"/>
        </w:rPr>
        <w:t xml:space="preserve">                     </w:t>
      </w:r>
      <w:r>
        <w:rPr>
          <w:rFonts w:ascii="Arial;Helvetica;sans-serif" w:hAnsi="Arial;Helvetica;sans-serif"/>
          <w:b/>
          <w:sz w:val="16"/>
        </w:rPr>
        <w:t xml:space="preserve">to </w:t>
      </w:r>
      <w:r>
        <w:rPr>
          <w:rFonts w:ascii="Arial;Helvetica;sans-serif" w:hAnsi="Arial;Helvetica;sans-serif"/>
          <w:sz w:val="16"/>
        </w:rPr>
        <w:t>                    </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Commission File Number: 001-40545</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CVRx, Inc.</w:t>
      </w:r>
    </w:p>
    <w:p>
      <w:pPr>
        <w:pStyle w:val="TextBody"/>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JHRxpFaEE02cUDZVd5n9Mw_2_1"/>
      <w:bookmarkStart w:id="4" w:name="Tc_zQ2Gvozbtk2nEPIPG3AmPg_2_0"/>
      <w:bookmarkStart w:id="5" w:name="_819b9bde_8cd4_4de4_9076_e2d9865fa0d4"/>
      <w:bookmarkStart w:id="6" w:name="Tc_JHRxpFaEE02cUDZVd5n9Mw_2_1"/>
      <w:bookmarkStart w:id="7" w:name="Tc_zQ2Gvozbtk2nEPIPG3AmPg_2_0"/>
      <w:bookmarkStart w:id="8" w:name="_819b9bde_8cd4_4de4_9076_e2d9865fa0d4"/>
      <w:bookmarkEnd w:id="6"/>
      <w:bookmarkEnd w:id="7"/>
      <w:bookmarkEnd w:id="8"/>
    </w:p>
    <w:tbl>
      <w:tblPr>
        <w:tblW w:w="4097" w:type="dxa"/>
        <w:jc w:val="left"/>
        <w:tblInd w:w="0" w:type="dxa"/>
        <w:tblLayout w:type="fixed"/>
        <w:tblCellMar>
          <w:top w:w="0" w:type="dxa"/>
          <w:left w:w="0" w:type="dxa"/>
          <w:bottom w:w="0" w:type="dxa"/>
          <w:right w:w="0" w:type="dxa"/>
        </w:tblCellMar>
      </w:tblPr>
      <w:tblGrid>
        <w:gridCol w:w="2521"/>
        <w:gridCol w:w="1576"/>
      </w:tblGrid>
      <w:tr>
        <w:trPr/>
        <w:tc>
          <w:tcPr>
            <w:tcW w:w="2521" w:type="dxa"/>
            <w:tcBorders/>
            <w:vAlign w:val="center"/>
          </w:tcPr>
          <w:p>
            <w:pPr>
              <w:pStyle w:val="TableContents"/>
              <w:bidi w:val="0"/>
              <w:spacing w:before="0" w:after="240"/>
              <w:ind w:left="0" w:right="0" w:hanging="0"/>
              <w:jc w:val="left"/>
              <w:rPr/>
            </w:pPr>
            <w:r>
              <w:rPr/>
              <w:t>​</w:t>
            </w:r>
          </w:p>
        </w:tc>
        <w:tc>
          <w:tcPr>
            <w:tcW w:w="1576" w:type="dxa"/>
            <w:tcBorders/>
            <w:vAlign w:val="center"/>
          </w:tcPr>
          <w:p>
            <w:pPr>
              <w:pStyle w:val="TableContents"/>
              <w:bidi w:val="0"/>
              <w:spacing w:before="0" w:after="240"/>
              <w:ind w:left="0" w:right="0" w:hanging="0"/>
              <w:jc w:val="left"/>
              <w:rPr/>
            </w:pPr>
            <w:r>
              <w:rPr/>
              <w:t>​</w:t>
            </w:r>
          </w:p>
        </w:tc>
      </w:tr>
      <w:tr>
        <w:trPr/>
        <w:tc>
          <w:tcPr>
            <w:tcW w:w="252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Delaware</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41-1983744</w:t>
            </w:r>
          </w:p>
        </w:tc>
      </w:tr>
      <w:tr>
        <w:trPr/>
        <w:tc>
          <w:tcPr>
            <w:tcW w:w="25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(State or other jurisdiction of</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incorporation or organization)</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(I.R.S. Employer</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Identification No.)</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9201 West Broadway Avenue</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Suite 650</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18"/>
        </w:rPr>
        <w:t>Minneapolis, MN</w:t>
      </w:r>
      <w:r>
        <w:rPr>
          <w:rFonts w:ascii="Arial;Helvetica;sans-serif" w:hAnsi="Arial;Helvetica;sans-serif"/>
          <w:sz w:val="20"/>
        </w:rPr>
        <w:t xml:space="preserve"> </w:t>
      </w:r>
      <w:r>
        <w:rPr>
          <w:rFonts w:ascii="Arial;Helvetica;sans-serif" w:hAnsi="Arial;Helvetica;sans-serif"/>
          <w:b/>
          <w:sz w:val="18"/>
        </w:rPr>
        <w:t>55445</w:t>
      </w:r>
      <w:r>
        <w:rPr>
          <w:rFonts w:ascii="Arial;Helvetica;sans-serif" w:hAnsi="Arial;Helvetica;sans-serif"/>
          <w:sz w:val="20"/>
        </w:rPr>
        <w:t xml:space="preserve"> </w:t>
      </w:r>
    </w:p>
    <w:p>
      <w:pPr>
        <w:pStyle w:val="TextBody"/>
        <w:bidi w:val="0"/>
        <w:spacing w:before="0" w:after="120"/>
        <w:ind w:left="0" w:right="0" w:hanging="0"/>
        <w:jc w:val="center"/>
        <w:rPr>
          <w:rFonts w:ascii="Arial;Helvetica;sans-serif" w:hAnsi="Arial;Helvetica;sans-serif"/>
          <w:b/>
          <w:sz w:val="16"/>
        </w:rPr>
      </w:pPr>
      <w:r>
        <w:rPr>
          <w:rFonts w:ascii="Arial;Helvetica;sans-serif" w:hAnsi="Arial;Helvetica;sans-serif"/>
          <w:b/>
          <w:sz w:val="16"/>
        </w:rPr>
        <w:t>(Address of Principal Executive Offices)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(763) 416-2840</w:t>
      </w:r>
    </w:p>
    <w:p>
      <w:pPr>
        <w:pStyle w:val="TextBody"/>
        <w:bidi w:val="0"/>
        <w:spacing w:before="0" w:after="120"/>
        <w:ind w:left="0" w:right="0" w:hanging="0"/>
        <w:jc w:val="center"/>
        <w:rPr>
          <w:rFonts w:ascii="Arial;Helvetica;sans-serif" w:hAnsi="Arial;Helvetica;sans-serif"/>
          <w:b/>
          <w:sz w:val="16"/>
        </w:rPr>
      </w:pPr>
      <w:r>
        <w:rPr>
          <w:rFonts w:ascii="Arial;Helvetica;sans-serif" w:hAnsi="Arial;Helvetica;sans-serif"/>
          <w:b/>
          <w:sz w:val="16"/>
        </w:rPr>
        <w:t>(Registrant’s telephone number)</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Normal"/>
        <w:bidi w:val="0"/>
        <w:spacing w:before="0" w:after="0"/>
        <w:ind w:left="0" w:right="0" w:hanging="0"/>
        <w:jc w:val="left"/>
        <w:rPr>
          <w:sz w:val="4"/>
          <w:szCs w:val="4"/>
        </w:rPr>
      </w:pPr>
      <w:r>
        <w:rPr>
          <w:sz w:val="4"/>
          <w:szCs w:val="4"/>
        </w:rPr>
      </w:r>
      <w:bookmarkStart w:id="9" w:name="Tc_VMquwDUsXEO35jGiD9v79A_2_0"/>
      <w:bookmarkStart w:id="10" w:name="Tc_Lsg_slq8ikOn5MfTfzhVRw_1_4"/>
      <w:bookmarkStart w:id="11" w:name="Tc_DqtbDGHTjUKLOLgbNBBnxw_1_2"/>
      <w:bookmarkStart w:id="12" w:name="Tc_um4brRg7_0mcQV0xYWaAug_1_0"/>
      <w:bookmarkStart w:id="13" w:name="_3cc5f012_3bc5_4340_8a8f_6338e861fa29"/>
      <w:bookmarkStart w:id="14" w:name="Tc_VMquwDUsXEO35jGiD9v79A_2_0"/>
      <w:bookmarkStart w:id="15" w:name="Tc_Lsg_slq8ikOn5MfTfzhVRw_1_4"/>
      <w:bookmarkStart w:id="16" w:name="Tc_DqtbDGHTjUKLOLgbNBBnxw_1_2"/>
      <w:bookmarkStart w:id="17" w:name="Tc_um4brRg7_0mcQV0xYWaAug_1_0"/>
      <w:bookmarkStart w:id="18" w:name="_3cc5f012_3bc5_4340_8a8f_6338e861fa29"/>
      <w:bookmarkEnd w:id="14"/>
      <w:bookmarkEnd w:id="15"/>
      <w:bookmarkEnd w:id="16"/>
      <w:bookmarkEnd w:id="17"/>
      <w:bookmarkEnd w:id="18"/>
    </w:p>
    <w:tbl>
      <w:tblPr>
        <w:tblW w:w="7106" w:type="dxa"/>
        <w:jc w:val="left"/>
        <w:tblInd w:w="0" w:type="dxa"/>
        <w:tblLayout w:type="fixed"/>
        <w:tblCellMar>
          <w:top w:w="0" w:type="dxa"/>
          <w:left w:w="0" w:type="dxa"/>
          <w:bottom w:w="0" w:type="dxa"/>
          <w:right w:w="0" w:type="dxa"/>
        </w:tblCellMar>
      </w:tblPr>
      <w:tblGrid>
        <w:gridCol w:w="2296"/>
        <w:gridCol w:w="109"/>
        <w:gridCol w:w="1606"/>
        <w:gridCol w:w="109"/>
        <w:gridCol w:w="298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229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Title of each class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Trading Symbol(s)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Name of each exchange</w:t>
            </w:r>
          </w:p>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on which registered</w:t>
            </w:r>
          </w:p>
        </w:tc>
      </w:tr>
      <w:tr>
        <w:trPr/>
        <w:tc>
          <w:tcPr>
            <w:tcW w:w="229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Common stock,</w:t>
            </w:r>
          </w:p>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par value $0.01 per share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CVRX</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98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The Nasdaq Global Select Market</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    </w:t>
      </w:r>
      <w:r>
        <w:rPr>
          <w:rFonts w:ascii="Arial;Helvetica;sans-serif" w:hAnsi="Arial;Helvetica;sans-serif"/>
          <w:sz w:val="16"/>
        </w:rPr>
        <w:t>No  </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20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9" w:name="Tc_LcbngymroUGedWm54r13_w_3_5"/>
      <w:bookmarkStart w:id="20" w:name="Tc__2Q2i9s0t0aqGTQ0tDd3cg_3_4"/>
      <w:bookmarkStart w:id="21" w:name="Tc_pXL-6HSucE-G7Jtb2ZQasA_3_2"/>
      <w:bookmarkStart w:id="22" w:name="Tc_oAmUObf6DUqFhMbQf0ua1A_3_1"/>
      <w:bookmarkStart w:id="23" w:name="Tc_5YzmqnPJqECqleRE_IEwPQ_1_3"/>
      <w:bookmarkStart w:id="24" w:name="Tc_njQkLTN1m0KdmsqiVKxUgA_1_2"/>
      <w:bookmarkStart w:id="25" w:name="Tc_8S7aAp54AUGFWUH7Z-ru4w_1_1"/>
      <w:bookmarkStart w:id="26" w:name="Tc_PWmIEzUUskiL2wCi3UzQNQ_1_0"/>
      <w:bookmarkStart w:id="27" w:name="_23356ced_cb12_41e3_af93_822ee7640bf8"/>
      <w:bookmarkStart w:id="28" w:name="Tc_LcbngymroUGedWm54r13_w_3_5"/>
      <w:bookmarkStart w:id="29" w:name="Tc__2Q2i9s0t0aqGTQ0tDd3cg_3_4"/>
      <w:bookmarkStart w:id="30" w:name="Tc_pXL-6HSucE-G7Jtb2ZQasA_3_2"/>
      <w:bookmarkStart w:id="31" w:name="Tc_oAmUObf6DUqFhMbQf0ua1A_3_1"/>
      <w:bookmarkStart w:id="32" w:name="Tc_5YzmqnPJqECqleRE_IEwPQ_1_3"/>
      <w:bookmarkStart w:id="33" w:name="Tc_njQkLTN1m0KdmsqiVKxUgA_1_2"/>
      <w:bookmarkStart w:id="34" w:name="Tc_8S7aAp54AUGFWUH7Z-ru4w_1_1"/>
      <w:bookmarkStart w:id="35" w:name="Tc_PWmIEzUUskiL2wCi3UzQNQ_1_0"/>
      <w:bookmarkStart w:id="36" w:name="_23356ced_cb12_41e3_af93_822ee7640bf8"/>
      <w:bookmarkEnd w:id="28"/>
      <w:bookmarkEnd w:id="29"/>
      <w:bookmarkEnd w:id="30"/>
      <w:bookmarkEnd w:id="31"/>
      <w:bookmarkEnd w:id="32"/>
      <w:bookmarkEnd w:id="33"/>
      <w:bookmarkEnd w:id="34"/>
      <w:bookmarkEnd w:id="35"/>
      <w:bookmarkEnd w:id="36"/>
    </w:p>
    <w:tbl>
      <w:tblPr>
        <w:tblW w:w="7026" w:type="dxa"/>
        <w:jc w:val="left"/>
        <w:tblInd w:w="0" w:type="dxa"/>
        <w:tblLayout w:type="fixed"/>
        <w:tblCellMar>
          <w:top w:w="0" w:type="dxa"/>
          <w:left w:w="0" w:type="dxa"/>
          <w:bottom w:w="0" w:type="dxa"/>
          <w:right w:w="0" w:type="dxa"/>
        </w:tblCellMar>
      </w:tblPr>
      <w:tblGrid>
        <w:gridCol w:w="1741"/>
        <w:gridCol w:w="436"/>
        <w:gridCol w:w="2056"/>
        <w:gridCol w:w="316"/>
        <w:gridCol w:w="2056"/>
        <w:gridCol w:w="421"/>
      </w:tblGrid>
      <w:tr>
        <w:trPr/>
        <w:tc>
          <w:tcPr>
            <w:tcW w:w="174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w:t>
            </w:r>
          </w:p>
        </w:tc>
        <w:tc>
          <w:tcPr>
            <w:tcW w:w="43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56" w:type="dxa"/>
            <w:tcBorders/>
            <w:vAlign w:val="center"/>
          </w:tcPr>
          <w:p>
            <w:pPr>
              <w:pStyle w:val="TableContents"/>
              <w:bidi w:val="0"/>
              <w:spacing w:before="0" w:after="240"/>
              <w:ind w:left="0" w:right="0" w:hanging="0"/>
              <w:jc w:val="left"/>
              <w:rPr/>
            </w:pPr>
            <w:r>
              <w:rPr/>
              <w:t>​</w:t>
            </w:r>
          </w:p>
        </w:tc>
        <w:tc>
          <w:tcPr>
            <w:tcW w:w="421" w:type="dxa"/>
            <w:tcBorders/>
            <w:vAlign w:val="center"/>
          </w:tcPr>
          <w:p>
            <w:pPr>
              <w:pStyle w:val="TableContents"/>
              <w:bidi w:val="0"/>
              <w:spacing w:before="0" w:after="24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w:t>
            </w:r>
          </w:p>
        </w:tc>
        <w:tc>
          <w:tcPr>
            <w:tcW w:w="43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w:t>
            </w:r>
          </w:p>
        </w:tc>
        <w:tc>
          <w:tcPr>
            <w:tcW w:w="421" w:type="dxa"/>
            <w:tcBorders/>
            <w:vAlign w:val="center"/>
          </w:tcPr>
          <w:p>
            <w:pPr>
              <w:pStyle w:val="TableContents"/>
              <w:bidi w:val="0"/>
              <w:spacing w:before="0" w:after="0"/>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6"/>
        </w:rPr>
        <w:t>Indicate by check mark whether the registrant is a shell company (as defined in Rule 12b-2 of the Exchange Act).   Yes  </w:t>
      </w:r>
      <w:r>
        <w:rPr>
          <w:rFonts w:ascii="Arial;Helvetica;sans-serif" w:hAnsi="Arial;Helvetica;sans-serif"/>
          <w:sz w:val="20"/>
        </w:rPr>
        <w:t>☐    </w:t>
      </w:r>
      <w:r>
        <w:rPr>
          <w:rFonts w:ascii="Arial;Helvetica;sans-serif" w:hAnsi="Arial;Helvetica;sans-serif"/>
          <w:sz w:val="16"/>
        </w:rPr>
        <w:t>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As of May 3, 2024, there were 21,595,576 shares of the registrant’s common stock, par value $0.01 per share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24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7" w:name="TOC"/>
      <w:bookmarkStart w:id="38" w:name="_18634b04_9bb7_493d_ade7_3a18b2f8ba20"/>
      <w:bookmarkEnd w:id="37"/>
      <w:bookmarkEnd w:id="38"/>
      <w:r>
        <w:rPr>
          <w:rFonts w:ascii="Arial;Helvetica;sans-serif" w:hAnsi="Arial;Helvetica;san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71"/>
        <w:gridCol w:w="326"/>
        <w:gridCol w:w="7995"/>
        <w:gridCol w:w="326"/>
        <w:gridCol w:w="496"/>
        <w:gridCol w:w="191"/>
      </w:tblGrid>
      <w:tr>
        <w:trPr/>
        <w:tc>
          <w:tcPr>
            <w:tcW w:w="8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6225" cy="175260"/>
                      <wp:effectExtent l="0" t="0" r="0" b="0"/>
                      <wp:wrapNone/>
                      <wp:docPr id="1" name="Frame1"/>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03505" cy="175260"/>
                      <wp:effectExtent l="0" t="0" r="0" b="0"/>
                      <wp:wrapNone/>
                      <wp:docPr id="2" name="Frame2"/>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799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538095" cy="175260"/>
                      <wp:effectExtent l="0" t="0" r="0" b="0"/>
                      <wp:wrapNone/>
                      <wp:docPr id="3" name="Frame3"/>
                      <a:graphic xmlns:a="http://schemas.openxmlformats.org/drawingml/2006/main">
                        <a:graphicData uri="http://schemas.microsoft.com/office/word/2010/wordprocessingShape">
                          <wps:wsp>
                            <wps:cNvSpPr txBox="1"/>
                            <wps:spPr>
                              <a:xfrm>
                                <a:off x="0" y="0"/>
                                <a:ext cx="253809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3505" cy="175260"/>
                      <wp:effectExtent l="0" t="0" r="0" b="0"/>
                      <wp:wrapNone/>
                      <wp:docPr id="4" name="Frame4"/>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9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57480" cy="175260"/>
                      <wp:effectExtent l="0" t="0" r="0" b="0"/>
                      <wp:wrapNone/>
                      <wp:docPr id="5" name="Frame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9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325" cy="175260"/>
                      <wp:effectExtent l="0" t="0" r="0" b="0"/>
                      <wp:wrapNone/>
                      <wp:docPr id="6" name="Frame6"/>
                      <a:graphic xmlns:a="http://schemas.openxmlformats.org/drawingml/2006/main">
                        <a:graphicData uri="http://schemas.microsoft.com/office/word/2010/wordprocessingShape">
                          <wps:wsp>
                            <wps:cNvSpPr txBox="1"/>
                            <wps:spPr>
                              <a:xfrm>
                                <a:off x="0" y="0"/>
                                <a:ext cx="603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71" w:type="dxa"/>
            <w:tcBorders/>
            <w:vAlign w:val="center"/>
          </w:tcPr>
          <w:p>
            <w:pPr>
              <w:pStyle w:val="TableHeading"/>
              <w:bidi w:val="0"/>
              <w:spacing w:before="0" w:after="0"/>
              <w:ind w:left="0" w:right="0" w:hanging="0"/>
              <w:jc w:val="left"/>
              <w:rPr>
                <w:rFonts w:ascii="Arial;Helvetica;sans-serif" w:hAnsi="Arial;Helvetica;sans-serif"/>
                <w:b w:val="false"/>
                <w:sz w:val="2"/>
              </w:rPr>
            </w:pPr>
            <w:r>
              <w:rPr>
                <w:rFonts w:ascii="Arial;Helvetica;sans-serif" w:hAnsi="Arial;Helvetica;sans-serif"/>
                <w:b w:val="false"/>
                <w:sz w:val="2"/>
              </w:rPr>
              <w:t>`</w:t>
            </w:r>
          </w:p>
        </w:tc>
        <w:tc>
          <w:tcPr>
            <w:tcW w:w="326" w:type="dxa"/>
            <w:tcBorders/>
            <w:vAlign w:val="center"/>
          </w:tcPr>
          <w:p>
            <w:pPr>
              <w:pStyle w:val="TableHeading"/>
              <w:bidi w:val="0"/>
              <w:spacing w:before="0" w:after="0"/>
              <w:ind w:left="0" w:right="0" w:hanging="0"/>
              <w:jc w:val="left"/>
              <w:rPr/>
            </w:pPr>
            <w:r>
              <w:rPr/>
              <w:t>    </w:t>
            </w:r>
          </w:p>
        </w:tc>
        <w:tc>
          <w:tcPr>
            <w:tcW w:w="7995"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    </w:t>
            </w:r>
          </w:p>
        </w:tc>
        <w:tc>
          <w:tcPr>
            <w:tcW w:w="496" w:type="dxa"/>
            <w:tcBorders/>
            <w:vAlign w:val="center"/>
          </w:tcPr>
          <w:p>
            <w:pPr>
              <w:pStyle w:val="TableHeading"/>
              <w:bidi w:val="0"/>
              <w:spacing w:before="0" w:after="0"/>
              <w:ind w:left="0" w:right="0" w:hanging="0"/>
              <w:jc w:val="left"/>
              <w:rPr/>
            </w:pPr>
            <w:r>
              <w:rPr/>
              <w:t>    </w:t>
            </w:r>
          </w:p>
        </w:tc>
        <w:tc>
          <w:tcPr>
            <w:tcW w:w="191" w:type="dxa"/>
            <w:tcBorders/>
            <w:vAlign w:val="center"/>
          </w:tcPr>
          <w:p>
            <w:pPr>
              <w:pStyle w:val="TableHeading"/>
              <w:bidi w:val="0"/>
              <w:spacing w:before="0" w:after="0"/>
              <w:ind w:left="0" w:right="0" w:hanging="0"/>
              <w:jc w:val="left"/>
              <w:rPr/>
            </w:pPr>
            <w:r>
              <w:rPr/>
              <w:t> </w:t>
            </w:r>
          </w:p>
        </w:tc>
      </w:tr>
      <w:tr>
        <w:trPr/>
        <w:tc>
          <w:tcPr>
            <w:tcW w:w="871" w:type="dxa"/>
            <w:tcBorders/>
            <w:vAlign w:val="center"/>
          </w:tcPr>
          <w:p>
            <w:pPr>
              <w:pStyle w:val="TableHeading"/>
              <w:pBdr/>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7995"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496" w:type="dxa"/>
            <w:tcBorders>
              <w:bottom w:val="single" w:sz="8"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Page</w:t>
            </w:r>
          </w:p>
        </w:tc>
        <w:tc>
          <w:tcPr>
            <w:tcW w:w="191" w:type="dxa"/>
            <w:tcBorders>
              <w:bottom w:val="single" w:sz="8" w:space="0" w:color="000000"/>
            </w:tcBorders>
            <w:tcMar>
              <w:bottom w:w="28" w:type="dxa"/>
            </w:tcMar>
            <w:vAlign w:val="center"/>
          </w:tcPr>
          <w:p>
            <w:pPr>
              <w:pStyle w:val="TableHeading"/>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PARTIFINANCIALINFORMATION_851848">
              <w:r>
                <w:rPr>
                  <w:rStyle w:val="InternetLink"/>
                  <w:rFonts w:ascii="Arial;Helvetica;sans-serif" w:hAnsi="Arial;Helvetica;sans-serif"/>
                  <w:b/>
                  <w:i w:val="false"/>
                  <w:caps w:val="false"/>
                  <w:smallCaps w:val="false"/>
                  <w:sz w:val="20"/>
                </w:rPr>
                <w:t>Part</w:t>
              </w:r>
            </w:hyperlink>
            <w:hyperlink w:anchor="PARTIFINANCIALINFORMATION_851848">
              <w:r>
                <w:rPr>
                  <w:rStyle w:val="InternetLink"/>
                  <w:rFonts w:ascii="Arial;Helvetica;sans-serif" w:hAnsi="Arial;Helvetica;sans-serif"/>
                  <w:caps w:val="false"/>
                  <w:smallCaps w:val="false"/>
                  <w:sz w:val="20"/>
                </w:rPr>
                <w:t> </w:t>
              </w:r>
            </w:hyperlink>
            <w:hyperlink w:anchor="PARTIFINANCIALINFORMATION_851848">
              <w:r>
                <w:rPr>
                  <w:rStyle w:val="InternetLink"/>
                  <w:rFonts w:ascii="Arial;Helvetica;sans-serif" w:hAnsi="Arial;Helvetica;sans-serif"/>
                  <w:b/>
                  <w:i w:val="false"/>
                  <w:caps w:val="false"/>
                  <w:smallCaps w:val="false"/>
                  <w:sz w:val="20"/>
                </w:rPr>
                <w:t>I</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PARTIFINANCIALINFORMATION_851848">
              <w:r>
                <w:rPr>
                  <w:rStyle w:val="InternetLink"/>
                  <w:rFonts w:ascii="Arial;Helvetica;sans-serif" w:hAnsi="Arial;Helvetica;san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FinancialStatements_407004">
              <w:r>
                <w:rPr>
                  <w:rStyle w:val="InternetLink"/>
                  <w:rFonts w:ascii="Arial;Helvetica;sans-serif" w:hAnsi="Arial;Helvetica;sans-serif"/>
                  <w:b w:val="false"/>
                  <w:i w:val="false"/>
                  <w:caps w:val="false"/>
                  <w:smallCaps w:val="false"/>
                  <w:sz w:val="20"/>
                </w:rPr>
                <w:t>Item</w:t>
              </w:r>
            </w:hyperlink>
            <w:hyperlink w:anchor="Item1FinancialStatements_407004">
              <w:r>
                <w:rPr>
                  <w:rStyle w:val="InternetLink"/>
                  <w:rFonts w:ascii="Arial;Helvetica;sans-serif" w:hAnsi="Arial;Helvetica;sans-serif"/>
                  <w:caps w:val="false"/>
                  <w:smallCaps w:val="false"/>
                  <w:sz w:val="20"/>
                </w:rPr>
                <w:t> </w:t>
              </w:r>
            </w:hyperlink>
            <w:hyperlink w:anchor="Item1FinancialStatements_407004">
              <w:r>
                <w:rPr>
                  <w:rStyle w:val="InternetLink"/>
                  <w:rFonts w:ascii="Arial;Helvetica;sans-serif" w:hAnsi="Arial;Helvetica;sans-serif"/>
                  <w:b w:val="false"/>
                  <w:i w:val="false"/>
                  <w:caps w:val="false"/>
                  <w:smallCaps w:val="false"/>
                  <w:sz w:val="20"/>
                </w:rPr>
                <w:t>1.</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FinancialStatements_407004">
              <w:r>
                <w:rPr>
                  <w:rStyle w:val="InternetLink"/>
                  <w:rFonts w:ascii="Arial;Helvetica;sans-serif" w:hAnsi="Arial;Helvetica;sans-serif"/>
                  <w:b w:val="false"/>
                  <w:i w:val="false"/>
                  <w:caps w:val="false"/>
                  <w:smallCaps w:val="false"/>
                  <w:sz w:val="20"/>
                </w:rPr>
                <w:t>Financial Statements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BalanceSheets_40430">
              <w:r>
                <w:rPr>
                  <w:rStyle w:val="InternetLink"/>
                  <w:rFonts w:ascii="Arial;Helvetica;sans-serif" w:hAnsi="Arial;Helvetica;sans-serif"/>
                  <w:b w:val="false"/>
                  <w:i w:val="false"/>
                  <w:caps w:val="false"/>
                  <w:smallCaps w:val="false"/>
                  <w:sz w:val="20"/>
                </w:rPr>
                <w:t>Condensed Consolidated Balance Sheets as of March 31, 2024 and December 31, 2023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and Comprehensive Loss for the three months ended March 31, 2024 and 2023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Convert">
              <w:r>
                <w:rPr>
                  <w:rStyle w:val="InternetLink"/>
                  <w:rFonts w:ascii="Arial;Helvetica;sans-serif" w:hAnsi="Arial;Helvetica;sans-serif"/>
                  <w:b w:val="false"/>
                  <w:i w:val="false"/>
                  <w:caps w:val="false"/>
                  <w:smallCaps w:val="false"/>
                  <w:sz w:val="20"/>
                </w:rPr>
                <w:t>Condensed Consolidated Statements of Stockholders</w:t>
              </w:r>
            </w:hyperlink>
            <w:hyperlink w:anchor="CondensedConsolidatedStatementsofConvert">
              <w:r>
                <w:rPr>
                  <w:rStyle w:val="InternetLink"/>
                  <w:rFonts w:ascii="Arial;Helvetica;sans-serif" w:hAnsi="Arial;Helvetica;sans-serif"/>
                  <w:caps w:val="false"/>
                  <w:smallCaps w:val="false"/>
                  <w:sz w:val="20"/>
                </w:rPr>
                <w:t xml:space="preserve">’ </w:t>
              </w:r>
            </w:hyperlink>
            <w:hyperlink w:anchor="CondensedConsolidatedStatementsofConvert">
              <w:r>
                <w:rPr>
                  <w:rStyle w:val="InternetLink"/>
                  <w:rFonts w:ascii="Arial;Helvetica;sans-serif" w:hAnsi="Arial;Helvetica;sans-serif"/>
                  <w:b w:val="false"/>
                  <w:i w:val="false"/>
                  <w:caps w:val="false"/>
                  <w:smallCaps w:val="false"/>
                  <w:sz w:val="20"/>
                </w:rPr>
                <w:t>Equity for the three months ended March 31, 2024 and 2023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 for the three months ended March 31, 2024 and 2023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NotestoCondensedConsolidatedFinancialSta">
              <w:r>
                <w:rPr>
                  <w:rStyle w:val="InternetLink"/>
                  <w:rFonts w:ascii="Arial;Helvetica;sans-serif" w:hAnsi="Arial;Helvetica;sans-serif"/>
                  <w:b w:val="false"/>
                  <w:i w:val="false"/>
                  <w:caps w:val="false"/>
                  <w:smallCaps w:val="false"/>
                  <w:sz w:val="20"/>
                </w:rPr>
                <w:t>Notes</w:t>
              </w:r>
            </w:hyperlink>
            <w:hyperlink w:anchor="NotestoCondensedConsolidatedFinancialSta">
              <w:r>
                <w:rPr>
                  <w:rStyle w:val="InternetLink"/>
                  <w:rFonts w:ascii="Arial;Helvetica;sans-serif" w:hAnsi="Arial;Helvetica;sans-serif"/>
                  <w:caps w:val="false"/>
                  <w:smallCaps w:val="false"/>
                  <w:sz w:val="20"/>
                </w:rPr>
                <w:t> </w:t>
              </w:r>
            </w:hyperlink>
            <w:hyperlink w:anchor="NotestoCondensedConsolidatedFinancialSta">
              <w:r>
                <w:rPr>
                  <w:rStyle w:val="InternetLink"/>
                  <w:rFonts w:ascii="Arial;Helvetica;sans-serif" w:hAnsi="Arial;Helvetica;sans-serif"/>
                  <w:b w:val="false"/>
                  <w:i w:val="false"/>
                  <w:caps w:val="false"/>
                  <w:smallCaps w:val="false"/>
                  <w:sz w:val="20"/>
                </w:rPr>
                <w:t>to Condensed Consolidated 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w:t>
              </w:r>
            </w:hyperlink>
            <w:hyperlink w:anchor="Item2ManagementsDiscussionandAnalysisofF">
              <w:r>
                <w:rPr>
                  <w:rStyle w:val="InternetLink"/>
                  <w:rFonts w:ascii="Arial;Helvetica;sans-serif" w:hAnsi="Arial;Helvetica;sans-serif"/>
                  <w:caps w:val="false"/>
                  <w:smallCaps w:val="false"/>
                  <w:sz w:val="20"/>
                </w:rPr>
                <w:t> </w:t>
              </w:r>
            </w:hyperlink>
            <w:hyperlink w:anchor="Item2ManagementsDiscussionandAnalysisofF">
              <w:r>
                <w:rPr>
                  <w:rStyle w:val="InternetLink"/>
                  <w:rFonts w:ascii="Arial;Helvetica;sans-serif" w:hAnsi="Arial;Helvetica;sans-serif"/>
                  <w:b w:val="false"/>
                  <w:i w:val="false"/>
                  <w:caps w:val="false"/>
                  <w:smallCaps w:val="false"/>
                  <w:sz w:val="20"/>
                </w:rPr>
                <w:t>2.</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w:t>
              </w:r>
            </w:hyperlink>
            <w:hyperlink w:anchor="Item2ManagementsDiscussionandAnalysisofF">
              <w:r>
                <w:rPr>
                  <w:rStyle w:val="InternetLink"/>
                  <w:rFonts w:ascii="Arial;Helvetica;sans-serif" w:hAnsi="Arial;Helvetica;sans-serif"/>
                  <w:caps w:val="false"/>
                  <w:smallCaps w:val="false"/>
                  <w:sz w:val="20"/>
                </w:rPr>
                <w:t>’</w:t>
              </w:r>
            </w:hyperlink>
            <w:hyperlink w:anchor="Item2ManagementsDiscussionandAnalysisofF">
              <w:r>
                <w:rPr>
                  <w:rStyle w:val="InternetLink"/>
                  <w:rFonts w:ascii="Arial;Helvetica;sans-serif" w:hAnsi="Arial;Helvetica;sans-serif"/>
                  <w:b w:val="false"/>
                  <w:i w:val="false"/>
                  <w:caps w:val="false"/>
                  <w:smallCaps w:val="false"/>
                  <w:sz w:val="20"/>
                </w:rPr>
                <w: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w:t>
              </w:r>
            </w:hyperlink>
            <w:hyperlink w:anchor="Item3QuantitativeandQualitativeDisclosur">
              <w:r>
                <w:rPr>
                  <w:rStyle w:val="InternetLink"/>
                  <w:rFonts w:ascii="Arial;Helvetica;sans-serif" w:hAnsi="Arial;Helvetica;sans-serif"/>
                  <w:caps w:val="false"/>
                  <w:smallCaps w:val="false"/>
                  <w:sz w:val="20"/>
                </w:rPr>
                <w:t> </w:t>
              </w:r>
            </w:hyperlink>
            <w:hyperlink w:anchor="Item3QuantitativeandQualitativeDisclosur">
              <w:r>
                <w:rPr>
                  <w:rStyle w:val="InternetLink"/>
                  <w:rFonts w:ascii="Arial;Helvetica;sans-serif" w:hAnsi="Arial;Helvetica;sans-serif"/>
                  <w:b w:val="false"/>
                  <w:i w:val="false"/>
                  <w:caps w:val="false"/>
                  <w:smallCaps w:val="false"/>
                  <w:sz w:val="20"/>
                </w:rPr>
                <w:t>3.</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4ControlsandProcedures_977453">
              <w:r>
                <w:rPr>
                  <w:rStyle w:val="InternetLink"/>
                  <w:rFonts w:ascii="Arial;Helvetica;sans-serif" w:hAnsi="Arial;Helvetica;sans-serif"/>
                  <w:b w:val="false"/>
                  <w:i w:val="false"/>
                  <w:caps w:val="false"/>
                  <w:smallCaps w:val="false"/>
                  <w:sz w:val="20"/>
                </w:rPr>
                <w:t>Item</w:t>
              </w:r>
            </w:hyperlink>
            <w:hyperlink w:anchor="Item4ControlsandProcedures_977453">
              <w:r>
                <w:rPr>
                  <w:rStyle w:val="InternetLink"/>
                  <w:rFonts w:ascii="Arial;Helvetica;sans-serif" w:hAnsi="Arial;Helvetica;sans-serif"/>
                  <w:caps w:val="false"/>
                  <w:smallCaps w:val="false"/>
                  <w:sz w:val="20"/>
                </w:rPr>
                <w:t> </w:t>
              </w:r>
            </w:hyperlink>
            <w:hyperlink w:anchor="Item4ControlsandProcedures_977453">
              <w:r>
                <w:rPr>
                  <w:rStyle w:val="InternetLink"/>
                  <w:rFonts w:ascii="Arial;Helvetica;sans-serif" w:hAnsi="Arial;Helvetica;sans-serif"/>
                  <w:b w:val="false"/>
                  <w:i w:val="false"/>
                  <w:caps w:val="false"/>
                  <w:smallCaps w:val="false"/>
                  <w:sz w:val="20"/>
                </w:rPr>
                <w:t>4.</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4ControlsandProcedures_977453">
              <w:r>
                <w:rPr>
                  <w:rStyle w:val="InternetLink"/>
                  <w:rFonts w:ascii="Arial;Helvetica;sans-serif" w:hAnsi="Arial;Helvetica;san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PARTIIOTHERINFORMATION">
              <w:r>
                <w:rPr>
                  <w:rStyle w:val="InternetLink"/>
                  <w:rFonts w:ascii="Arial;Helvetica;sans-serif" w:hAnsi="Arial;Helvetica;sans-serif"/>
                  <w:b/>
                  <w:i w:val="false"/>
                  <w:caps w:val="false"/>
                  <w:smallCaps w:val="false"/>
                  <w:sz w:val="20"/>
                </w:rPr>
                <w:t>Part</w:t>
              </w:r>
            </w:hyperlink>
            <w:hyperlink w:anchor="PARTIIOTHERINFORMATION">
              <w:r>
                <w:rPr>
                  <w:rStyle w:val="InternetLink"/>
                  <w:rFonts w:ascii="Arial;Helvetica;sans-serif" w:hAnsi="Arial;Helvetica;sans-serif"/>
                  <w:caps w:val="false"/>
                  <w:smallCaps w:val="false"/>
                  <w:sz w:val="20"/>
                </w:rPr>
                <w:t> </w:t>
              </w:r>
            </w:hyperlink>
            <w:hyperlink w:anchor="PARTIIOTHERINFORMATION">
              <w:r>
                <w:rPr>
                  <w:rStyle w:val="InternetLink"/>
                  <w:rFonts w:ascii="Arial;Helvetica;sans-serif" w:hAnsi="Arial;Helvetica;sans-serif"/>
                  <w:b/>
                  <w:i w:val="false"/>
                  <w:caps w:val="false"/>
                  <w:smallCaps w:val="false"/>
                  <w:sz w:val="20"/>
                </w:rPr>
                <w:t>II</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PARTIIOTHERINFORMATION">
              <w:r>
                <w:rPr>
                  <w:rStyle w:val="InternetLink"/>
                  <w:rFonts w:ascii="Arial;Helvetica;sans-serif" w:hAnsi="Arial;Helvetica;san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LegalProceedings_54821">
              <w:r>
                <w:rPr>
                  <w:rStyle w:val="InternetLink"/>
                  <w:rFonts w:ascii="Arial;Helvetica;sans-serif" w:hAnsi="Arial;Helvetica;sans-serif"/>
                  <w:b w:val="false"/>
                  <w:i w:val="false"/>
                  <w:caps w:val="false"/>
                  <w:smallCaps w:val="false"/>
                  <w:sz w:val="20"/>
                </w:rPr>
                <w:t>Item</w:t>
              </w:r>
            </w:hyperlink>
            <w:hyperlink w:anchor="Item1LegalProceedings_54821">
              <w:r>
                <w:rPr>
                  <w:rStyle w:val="InternetLink"/>
                  <w:rFonts w:ascii="Arial;Helvetica;sans-serif" w:hAnsi="Arial;Helvetica;sans-serif"/>
                  <w:caps w:val="false"/>
                  <w:smallCaps w:val="false"/>
                  <w:sz w:val="20"/>
                </w:rPr>
                <w:t> </w:t>
              </w:r>
            </w:hyperlink>
            <w:hyperlink w:anchor="Item1LegalProceedings_54821">
              <w:r>
                <w:rPr>
                  <w:rStyle w:val="InternetLink"/>
                  <w:rFonts w:ascii="Arial;Helvetica;sans-serif" w:hAnsi="Arial;Helvetica;sans-serif"/>
                  <w:b w:val="false"/>
                  <w:i w:val="false"/>
                  <w:caps w:val="false"/>
                  <w:smallCaps w:val="false"/>
                  <w:sz w:val="20"/>
                </w:rPr>
                <w:t>1.</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LegalProceedings_54821">
              <w:r>
                <w:rPr>
                  <w:rStyle w:val="InternetLink"/>
                  <w:rFonts w:ascii="Arial;Helvetica;sans-serif" w:hAnsi="Arial;Helvetica;san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1ARiskFactors_131460">
              <w:r>
                <w:rPr>
                  <w:rStyle w:val="InternetLink"/>
                  <w:rFonts w:ascii="Arial;Helvetica;sans-serif" w:hAnsi="Arial;Helvetica;sans-serif"/>
                  <w:b w:val="false"/>
                  <w:i w:val="false"/>
                  <w:caps w:val="false"/>
                  <w:smallCaps w:val="false"/>
                  <w:sz w:val="20"/>
                </w:rPr>
                <w:t>Item</w:t>
              </w:r>
            </w:hyperlink>
            <w:hyperlink w:anchor="Item1ARiskFactors_131460">
              <w:r>
                <w:rPr>
                  <w:rStyle w:val="InternetLink"/>
                  <w:rFonts w:ascii="Arial;Helvetica;sans-serif" w:hAnsi="Arial;Helvetica;sans-serif"/>
                  <w:caps w:val="false"/>
                  <w:smallCaps w:val="false"/>
                  <w:sz w:val="20"/>
                </w:rPr>
                <w:t> </w:t>
              </w:r>
            </w:hyperlink>
            <w:hyperlink w:anchor="Item1ARiskFactors_131460">
              <w:r>
                <w:rPr>
                  <w:rStyle w:val="InternetLink"/>
                  <w:rFonts w:ascii="Arial;Helvetica;sans-serif" w:hAnsi="Arial;Helvetica;sans-serif"/>
                  <w:b w:val="false"/>
                  <w:i w:val="false"/>
                  <w:caps w:val="false"/>
                  <w:smallCaps w:val="false"/>
                  <w:sz w:val="20"/>
                </w:rPr>
                <w:t>1A.</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1ARiskFactors_131460">
              <w:r>
                <w:rPr>
                  <w:rStyle w:val="InternetLink"/>
                  <w:rFonts w:ascii="Arial;Helvetica;sans-serif" w:hAnsi="Arial;Helvetica;san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w:t>
              </w:r>
            </w:hyperlink>
            <w:hyperlink w:anchor="Item2UnregisteredSalesofEquitySecurities">
              <w:r>
                <w:rPr>
                  <w:rStyle w:val="InternetLink"/>
                  <w:rFonts w:ascii="Arial;Helvetica;sans-serif" w:hAnsi="Arial;Helvetica;sans-serif"/>
                  <w:caps w:val="false"/>
                  <w:smallCaps w:val="false"/>
                  <w:sz w:val="20"/>
                </w:rPr>
                <w:t> </w:t>
              </w:r>
            </w:hyperlink>
            <w:hyperlink w:anchor="Item2UnregisteredSalesofEquitySecurities">
              <w:r>
                <w:rPr>
                  <w:rStyle w:val="InternetLink"/>
                  <w:rFonts w:ascii="Arial;Helvetica;sans-serif" w:hAnsi="Arial;Helvetica;sans-serif"/>
                  <w:b w:val="false"/>
                  <w:i w:val="false"/>
                  <w:caps w:val="false"/>
                  <w:smallCaps w:val="false"/>
                  <w:sz w:val="20"/>
                </w:rPr>
                <w:t>2.</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3DefaultsUponSeniorSecurities_596530">
              <w:r>
                <w:rPr>
                  <w:rStyle w:val="InternetLink"/>
                  <w:rFonts w:ascii="Arial;Helvetica;sans-serif" w:hAnsi="Arial;Helvetica;sans-serif"/>
                  <w:b w:val="false"/>
                  <w:i w:val="false"/>
                  <w:caps w:val="false"/>
                  <w:smallCaps w:val="false"/>
                  <w:sz w:val="20"/>
                </w:rPr>
                <w:t>Item</w:t>
              </w:r>
            </w:hyperlink>
            <w:hyperlink w:anchor="Item3DefaultsUponSeniorSecurities_596530">
              <w:r>
                <w:rPr>
                  <w:rStyle w:val="InternetLink"/>
                  <w:rFonts w:ascii="Arial;Helvetica;sans-serif" w:hAnsi="Arial;Helvetica;sans-serif"/>
                  <w:caps w:val="false"/>
                  <w:smallCaps w:val="false"/>
                  <w:sz w:val="20"/>
                </w:rPr>
                <w:t> </w:t>
              </w:r>
            </w:hyperlink>
            <w:hyperlink w:anchor="Item3DefaultsUponSeniorSecurities_596530">
              <w:r>
                <w:rPr>
                  <w:rStyle w:val="InternetLink"/>
                  <w:rFonts w:ascii="Arial;Helvetica;sans-serif" w:hAnsi="Arial;Helvetica;sans-serif"/>
                  <w:b w:val="false"/>
                  <w:i w:val="false"/>
                  <w:caps w:val="false"/>
                  <w:smallCaps w:val="false"/>
                  <w:sz w:val="20"/>
                </w:rPr>
                <w:t>3.</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3DefaultsUponSeniorSecurities_596530">
              <w:r>
                <w:rPr>
                  <w:rStyle w:val="InternetLink"/>
                  <w:rFonts w:ascii="Arial;Helvetica;sans-serif" w:hAnsi="Arial;Helvetica;san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4MineSafetyDisclosures_347489">
              <w:r>
                <w:rPr>
                  <w:rStyle w:val="InternetLink"/>
                  <w:rFonts w:ascii="Arial;Helvetica;sans-serif" w:hAnsi="Arial;Helvetica;sans-serif"/>
                  <w:b w:val="false"/>
                  <w:i w:val="false"/>
                  <w:caps w:val="false"/>
                  <w:smallCaps w:val="false"/>
                  <w:sz w:val="20"/>
                </w:rPr>
                <w:t>Item</w:t>
              </w:r>
            </w:hyperlink>
            <w:hyperlink w:anchor="Item4MineSafetyDisclosures_347489">
              <w:r>
                <w:rPr>
                  <w:rStyle w:val="InternetLink"/>
                  <w:rFonts w:ascii="Arial;Helvetica;sans-serif" w:hAnsi="Arial;Helvetica;sans-serif"/>
                  <w:caps w:val="false"/>
                  <w:smallCaps w:val="false"/>
                  <w:sz w:val="20"/>
                </w:rPr>
                <w:t> </w:t>
              </w:r>
            </w:hyperlink>
            <w:hyperlink w:anchor="Item4MineSafetyDisclosures_347489">
              <w:r>
                <w:rPr>
                  <w:rStyle w:val="InternetLink"/>
                  <w:rFonts w:ascii="Arial;Helvetica;sans-serif" w:hAnsi="Arial;Helvetica;sans-serif"/>
                  <w:b w:val="false"/>
                  <w:i w:val="false"/>
                  <w:caps w:val="false"/>
                  <w:smallCaps w:val="false"/>
                  <w:sz w:val="20"/>
                </w:rPr>
                <w:t>4.</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4MineSafetyDisclosures_347489">
              <w:r>
                <w:rPr>
                  <w:rStyle w:val="InternetLink"/>
                  <w:rFonts w:ascii="Arial;Helvetica;sans-serif" w:hAnsi="Arial;Helvetica;san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5OtherInformation_696802">
              <w:r>
                <w:rPr>
                  <w:rStyle w:val="InternetLink"/>
                  <w:rFonts w:ascii="Arial;Helvetica;sans-serif" w:hAnsi="Arial;Helvetica;sans-serif"/>
                  <w:b w:val="false"/>
                  <w:i w:val="false"/>
                  <w:caps w:val="false"/>
                  <w:smallCaps w:val="false"/>
                  <w:sz w:val="20"/>
                </w:rPr>
                <w:t>Item</w:t>
              </w:r>
            </w:hyperlink>
            <w:hyperlink w:anchor="Item5OtherInformation_696802">
              <w:r>
                <w:rPr>
                  <w:rStyle w:val="InternetLink"/>
                  <w:rFonts w:ascii="Arial;Helvetica;sans-serif" w:hAnsi="Arial;Helvetica;sans-serif"/>
                  <w:caps w:val="false"/>
                  <w:smallCaps w:val="false"/>
                  <w:sz w:val="20"/>
                </w:rPr>
                <w:t> </w:t>
              </w:r>
            </w:hyperlink>
            <w:hyperlink w:anchor="Item5OtherInformation_696802">
              <w:r>
                <w:rPr>
                  <w:rStyle w:val="InternetLink"/>
                  <w:rFonts w:ascii="Arial;Helvetica;sans-serif" w:hAnsi="Arial;Helvetica;sans-serif"/>
                  <w:b w:val="false"/>
                  <w:i w:val="false"/>
                  <w:caps w:val="false"/>
                  <w:smallCaps w:val="false"/>
                  <w:sz w:val="20"/>
                </w:rPr>
                <w:t>5.</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5OtherInformation_696802">
              <w:r>
                <w:rPr>
                  <w:rStyle w:val="InternetLink"/>
                  <w:rFonts w:ascii="Arial;Helvetica;sans-serif" w:hAnsi="Arial;Helvetica;san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Item</w:t>
              </w:r>
            </w:hyperlink>
            <w:hyperlink w:anchor="Item6Exhibits_742478">
              <w:r>
                <w:rPr>
                  <w:rStyle w:val="InternetLink"/>
                  <w:rFonts w:ascii="Arial;Helvetica;sans-serif" w:hAnsi="Arial;Helvetica;sans-serif"/>
                  <w:caps w:val="false"/>
                  <w:smallCaps w:val="false"/>
                  <w:sz w:val="20"/>
                </w:rPr>
                <w:t> </w:t>
              </w:r>
            </w:hyperlink>
            <w:hyperlink w:anchor="Item6Exhibits_742478">
              <w:r>
                <w:rPr>
                  <w:rStyle w:val="InternetLink"/>
                  <w:rFonts w:ascii="Arial;Helvetica;sans-serif" w:hAnsi="Arial;Helvetica;sans-serif"/>
                  <w:b w:val="false"/>
                  <w:i w:val="false"/>
                  <w:caps w:val="false"/>
                  <w:smallCaps w:val="false"/>
                  <w:sz w:val="20"/>
                </w:rPr>
                <w:t>6.</w:t>
              </w:r>
            </w:hyperlink>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192" w:type="dxa"/>
            <w:gridSpan w:val="3"/>
            <w:tcBorders/>
            <w:vAlign w:val="center"/>
          </w:tcPr>
          <w:p>
            <w:pPr>
              <w:pStyle w:val="TableContents"/>
              <w:bidi w:val="0"/>
              <w:spacing w:before="0" w:after="0"/>
              <w:ind w:left="0" w:right="0" w:hanging="0"/>
              <w:jc w:val="left"/>
              <w:rPr/>
            </w:pPr>
            <w:hyperlink w:anchor="Item6Exhibits_742478">
              <w:r>
                <w:rPr>
                  <w:rStyle w:val="InternetLink"/>
                  <w:rFonts w:ascii="Arial;Helvetica;sans-serif" w:hAnsi="Arial;Helvetica;sans-serif"/>
                  <w:b w:val="false"/>
                  <w:i w:val="false"/>
                  <w:caps w:val="false"/>
                  <w:smallCaps w:val="false"/>
                  <w:sz w:val="20"/>
                </w:rPr>
                <w:t>Exhibit</w:t>
              </w:r>
            </w:hyperlink>
            <w:hyperlink w:anchor="Item6Exhibits_742478">
              <w:r>
                <w:rPr>
                  <w:rStyle w:val="InternetLink"/>
                  <w:rFonts w:ascii="Arial;Helvetica;sans-serif" w:hAnsi="Arial;Helvetica;sans-serif"/>
                  <w:caps w:val="false"/>
                  <w:smallCaps w:val="false"/>
                  <w:sz w:val="20"/>
                </w:rPr>
                <w:t> </w:t>
              </w:r>
            </w:hyperlink>
            <w:hyperlink w:anchor="Item6Exhibits_742478">
              <w:r>
                <w:rPr>
                  <w:rStyle w:val="InternetLink"/>
                  <w:rFonts w:ascii="Arial;Helvetica;sans-serif" w:hAnsi="Arial;Helvetica;sans-serif"/>
                  <w:b w:val="false"/>
                  <w:i w:val="false"/>
                  <w:caps w:val="false"/>
                  <w:smallCaps w:val="false"/>
                  <w:sz w:val="20"/>
                </w:rPr>
                <w:t>Index</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192" w:type="dxa"/>
            <w:gridSpan w:val="3"/>
            <w:tcBorders/>
            <w:vAlign w:val="center"/>
          </w:tcPr>
          <w:p>
            <w:pPr>
              <w:pStyle w:val="TableContents"/>
              <w:bidi w:val="0"/>
              <w:spacing w:before="0" w:after="0"/>
              <w:ind w:left="0" w:right="0" w:hanging="0"/>
              <w:jc w:val="left"/>
              <w:rPr/>
            </w:pPr>
            <w:hyperlink w:anchor="SIGNATURES_221192">
              <w:r>
                <w:rPr>
                  <w:rStyle w:val="InternetLink"/>
                  <w:rFonts w:ascii="Arial;Helvetica;sans-serif" w:hAnsi="Arial;Helvetica;san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9" w:name="_f06ddfd6_68f8_4690_ba31_239cbbb7e926"/>
      <w:bookmarkEnd w:id="39"/>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Quarterly Report on Form 10-Q</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For the quarterly period ended March 31, 2024</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Cautionary Note on Forward-Looking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clinical trial results, prospective products, product approvals, research and development costs, timing and likelihood of success, and the plans and objectives of management for future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2023, which are summarized below, as updated in Part II, Item 1A. “Risk Factors” in this Quarterly Report on Form 10-Q. Moreover, we operate in an evolving environment. New risk factors and uncertainties may emerge from time to time, and it is not possible for management to predict all risk factors and uncertainties.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Summary Risk Factors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business is subject to numerous risks and uncertainties, including those described in Part I, Item 1A. “Risk Factors” in our Annual Report on Form 10-K for the year ended December 31, 2023,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history of significant losses, which we expect to continue, and we may not be able to achieve or sustain profitability;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principal stockholders, management, and directors (two of whom are affiliated with our principal stockholders) own a significant percentage of our stock and will be able to exert significant control over matters subject to stockholder approval;</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limited history operating as a commercial company and are highly dependent on a single product, Barostim, and the failure to increase market acceptance in the U.S. for Barostim would negatively impact our business, liquidity and results of operations;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commercial sales experience marketing and selling Barostim, and if we are unable to continue to maintain and grow sales and marketing capabilities, we will be unable to generate sustained and increasing product revenue;</w:t>
            </w:r>
          </w:p>
        </w:tc>
        <w:tc>
          <w:tcPr>
            <w:tcW w:w="154" w:type="dxa"/>
            <w:tcBorders/>
            <w:vAlign w:val="center"/>
          </w:tcPr>
          <w:p>
            <w:pPr>
              <w:pStyle w:val="TableContents"/>
              <w:bidi w:val="0"/>
              <w:spacing w:before="0" w:after="283"/>
              <w:jc w:val="left"/>
              <w:rPr>
                <w:sz w:val="4"/>
                <w:szCs w:val="4"/>
              </w:rPr>
            </w:pPr>
            <w:r>
              <w:rPr>
                <w:sz w:val="4"/>
                <w:szCs w:val="4"/>
              </w:rPr>
            </w:r>
          </w:p>
        </w:tc>
      </w:tr>
    </w:tbl>
    <w:tbl>
      <w:tblPr>
        <w:tblW w:w="7930" w:type="dxa"/>
        <w:jc w:val="left"/>
        <w:tblInd w:w="0" w:type="dxa"/>
        <w:tblLayout w:type="fixed"/>
        <w:tblCellMar>
          <w:top w:w="28" w:type="dxa"/>
          <w:left w:w="28" w:type="dxa"/>
          <w:bottom w:w="28" w:type="dxa"/>
          <w:right w:w="28" w:type="dxa"/>
        </w:tblCellMar>
      </w:tblPr>
      <w:tblGrid>
        <w:gridCol w:w="124"/>
        <w:gridCol w:w="256"/>
        <w:gridCol w:w="739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must continue to demonstrate to physicians and patients the merits of Barostim;</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third-party payers do not provide adequate coverage and reimbursement for the use of Barostim, our revenue will be negatively impacted;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tc>
        <w:tc>
          <w:tcPr>
            <w:tcW w:w="154" w:type="dxa"/>
            <w:tcBorders/>
            <w:vAlign w:val="center"/>
          </w:tcPr>
          <w:p>
            <w:pPr>
              <w:pStyle w:val="TableContents"/>
              <w:bidi w:val="0"/>
              <w:spacing w:before="0" w:after="283"/>
              <w:jc w:val="left"/>
              <w:rPr>
                <w:sz w:val="4"/>
                <w:szCs w:val="4"/>
              </w:rPr>
            </w:pPr>
            <w:r>
              <w:rPr>
                <w:sz w:val="4"/>
                <w:szCs w:val="4"/>
              </w:rPr>
            </w:r>
          </w:p>
        </w:tc>
      </w:tr>
    </w:tbl>
    <w:tbl>
      <w:tblPr>
        <w:tblW w:w="6295" w:type="dxa"/>
        <w:jc w:val="left"/>
        <w:tblInd w:w="0" w:type="dxa"/>
        <w:tblLayout w:type="fixed"/>
        <w:tblCellMar>
          <w:top w:w="28" w:type="dxa"/>
          <w:left w:w="28" w:type="dxa"/>
          <w:bottom w:w="28" w:type="dxa"/>
          <w:right w:w="28" w:type="dxa"/>
        </w:tblCellMar>
      </w:tblPr>
      <w:tblGrid>
        <w:gridCol w:w="124"/>
        <w:gridCol w:w="256"/>
        <w:gridCol w:w="576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receive access to hospitals, our sales may decrease;</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manufacturing risks may adversely affect our ability to manufacture our product and could reduce our gross margin and profitability;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pandemic, epidemic or outbreak of an infectious disease in the U.S. or worldwide could adversely affect our business;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face product liability claims that could be costly, divert management’s attention and harm our reputation;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retain our key executives or recruit and hire new employees, our operations and financial results may be adversely affected while we attract other highly qualified personnel;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continue to obtain long-term clinical data regarding the safety and effectiveness of our products, which could impact future adoption and regulatory approvals.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40" w:name="PARTIFINANCIALINFORMATION_851848"/>
      <w:bookmarkStart w:id="41" w:name="_79579937_5be0_464b_9af9_80f6ed6f1756"/>
      <w:bookmarkStart w:id="42" w:name="_Hlk164123795"/>
      <w:bookmarkEnd w:id="40"/>
      <w:bookmarkEnd w:id="41"/>
      <w:bookmarkEnd w:id="42"/>
      <w:r>
        <w:rPr>
          <w:rFonts w:ascii="Arial;Helvetica;sans-serif" w:hAnsi="Arial;Helvetica;sans-serif"/>
          <w:b/>
          <w:sz w:val="20"/>
        </w:rPr>
        <w:t>PART I —FINANCIAL INFORMATION</w:t>
      </w:r>
    </w:p>
    <w:p>
      <w:pPr>
        <w:pStyle w:val="TextBody"/>
        <w:pBdr/>
        <w:bidi w:val="0"/>
        <w:spacing w:before="0" w:after="240"/>
        <w:ind w:left="0" w:right="0" w:hanging="360"/>
        <w:jc w:val="left"/>
        <w:rPr>
          <w:rFonts w:ascii="Arial;Helvetica;sans-serif" w:hAnsi="Arial;Helvetica;sans-serif"/>
          <w:b/>
          <w:sz w:val="20"/>
        </w:rPr>
      </w:pPr>
      <w:bookmarkStart w:id="43" w:name="Item1FinancialStatements_407004"/>
      <w:bookmarkEnd w:id="43"/>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44" w:name="CondensedConsolidatedBalanceSheets_40430"/>
      <w:bookmarkEnd w:id="44"/>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45" w:name="Tc_aCQiD-GJwEalhoygTbeGOg_30_5"/>
      <w:bookmarkStart w:id="46" w:name="Tc_LpYFzby5skK2efQWEY8_ZA_30_2"/>
      <w:bookmarkStart w:id="47" w:name="Tc_qTzL57DGd0m7uodmPYzRJA_30_0"/>
      <w:bookmarkStart w:id="48" w:name="Tc_ej12FFjVIUmiXqS9dRJivw_29_0"/>
      <w:bookmarkStart w:id="49" w:name="Tc_ACEz1HBWukCl00JNvHBJAw_28_0"/>
      <w:bookmarkStart w:id="50" w:name="Tc_6LrqQBGA6EOM72BsWZxFpA_27_0"/>
      <w:bookmarkStart w:id="51" w:name="Tc_hMxRcvLw3EyHnYwBussBlA_26_0"/>
      <w:bookmarkStart w:id="52" w:name="Tc_9IK39Kco0kiM9JJIAmiTwA_25_0"/>
      <w:bookmarkStart w:id="53" w:name="Tc_HtLiKVg1oEWVXdjSjYB5XA_24_0"/>
      <w:bookmarkStart w:id="54" w:name="Tc_4kT6rmHh5Em5clnn7utM0w_23_0"/>
      <w:bookmarkStart w:id="55" w:name="Tc_IXtK9CLBLUKQpvh7iedNkg_22_0"/>
      <w:bookmarkStart w:id="56" w:name="Tc_0MW6Tx2f-keWKttXorSMLA_21_0"/>
      <w:bookmarkStart w:id="57" w:name="Tc_9n1NnB9ky0iykGjYa8jOsw_20_0"/>
      <w:bookmarkStart w:id="58" w:name="Tc_5Bt3xNHQwEOsQGWNMuQYGg_19_0"/>
      <w:bookmarkStart w:id="59" w:name="Tc_IT4_ZXxitUutmDr7sX4L9Q_18_0"/>
      <w:bookmarkStart w:id="60" w:name="Tc_CrJ-kRf3zUGtov4TZA7epg_17_0"/>
      <w:bookmarkStart w:id="61" w:name="Tc_t1dx0OrpnEOWJHlMayF9RQ_16_5"/>
      <w:bookmarkStart w:id="62" w:name="Tc_3v6RG-ha1kWRruhgjV7mtg_16_2"/>
      <w:bookmarkStart w:id="63" w:name="Tc_Yw2Gl4KUX0ipLLf-R9Lstw_16_0"/>
      <w:bookmarkStart w:id="64" w:name="Tc_F2vIxZwMXkS50yi7vEji7Q_15_0"/>
      <w:bookmarkStart w:id="65" w:name="Tc_nRXv6BP0wU20Ocdp3fLkow_14_0"/>
      <w:bookmarkStart w:id="66" w:name="Tc_X25kOGTSSkmaxkeR_VyW7g_13_5"/>
      <w:bookmarkStart w:id="67" w:name="Tc_0EZHOGpz2EaooPzBiGZJrA_13_2"/>
      <w:bookmarkStart w:id="68" w:name="Tc_Xvrb3b4IU06pxVJVNPJyyA_13_0"/>
      <w:bookmarkStart w:id="69" w:name="Tc_wz1ngC7hKEKr7rjJq2MrqA_12_0"/>
      <w:bookmarkStart w:id="70" w:name="Tc_OoSAaBBfTEqNWci9r5WIyA_11_0"/>
      <w:bookmarkStart w:id="71" w:name="Tc_YWW5pFXTj0CL2oUOuryE9A_10_0"/>
      <w:bookmarkStart w:id="72" w:name="Tc_fJL5EHv1EU6fiqJ41_87LQ_9_0"/>
      <w:bookmarkStart w:id="73" w:name="Tc_qGY4L5DUo0GBe3RAI1zQGQ_8_0"/>
      <w:bookmarkStart w:id="74" w:name="Tc_S3jI1WFUWEuzbWzWK-OG0g_7_0"/>
      <w:bookmarkStart w:id="75" w:name="Tc_XkP2m0vri0mlqpUb-kcePw_6_0"/>
      <w:bookmarkStart w:id="76" w:name="Tc_hI_tjBBJwEOfvl8cUD14jA_5_5"/>
      <w:bookmarkStart w:id="77" w:name="Tc_lqGhAwWX2ESQN7zBDHQYXA_5_2"/>
      <w:bookmarkStart w:id="78" w:name="Tc_5P9b5dv7cUmK1TtygPLVnA_5_0"/>
      <w:bookmarkStart w:id="79" w:name="Tc_FcG3lk9WlkaAchFxLnjSrQ_4_0"/>
      <w:bookmarkStart w:id="80" w:name="Tc_bQEiMhNSW0WV9Klj-c9Tkg_3_0"/>
      <w:bookmarkStart w:id="81" w:name="Tc_H6UX_T5cM0W4XxHv-Qa4MQ_2_5"/>
      <w:bookmarkStart w:id="82" w:name="Tc_s5KtANmB0EKdmhSPNcn4uA_2_2"/>
      <w:bookmarkStart w:id="83" w:name="Tc_K-5KNAA06EOO0dsJMipTZA_1_5"/>
      <w:bookmarkStart w:id="84" w:name="Tc_4iytEZWge0m7kDXv4gwa6Q_1_2"/>
      <w:bookmarkStart w:id="85" w:name="_a954118e_803a_45fd_8f19_da53077d6187"/>
      <w:bookmarkStart w:id="86" w:name="Tc_aCQiD-GJwEalhoygTbeGOg_30_5"/>
      <w:bookmarkStart w:id="87" w:name="Tc_LpYFzby5skK2efQWEY8_ZA_30_2"/>
      <w:bookmarkStart w:id="88" w:name="Tc_qTzL57DGd0m7uodmPYzRJA_30_0"/>
      <w:bookmarkStart w:id="89" w:name="Tc_ej12FFjVIUmiXqS9dRJivw_29_0"/>
      <w:bookmarkStart w:id="90" w:name="Tc_ACEz1HBWukCl00JNvHBJAw_28_0"/>
      <w:bookmarkStart w:id="91" w:name="Tc_6LrqQBGA6EOM72BsWZxFpA_27_0"/>
      <w:bookmarkStart w:id="92" w:name="Tc_hMxRcvLw3EyHnYwBussBlA_26_0"/>
      <w:bookmarkStart w:id="93" w:name="Tc_9IK39Kco0kiM9JJIAmiTwA_25_0"/>
      <w:bookmarkStart w:id="94" w:name="Tc_HtLiKVg1oEWVXdjSjYB5XA_24_0"/>
      <w:bookmarkStart w:id="95" w:name="Tc_4kT6rmHh5Em5clnn7utM0w_23_0"/>
      <w:bookmarkStart w:id="96" w:name="Tc_IXtK9CLBLUKQpvh7iedNkg_22_0"/>
      <w:bookmarkStart w:id="97" w:name="Tc_0MW6Tx2f-keWKttXorSMLA_21_0"/>
      <w:bookmarkStart w:id="98" w:name="Tc_9n1NnB9ky0iykGjYa8jOsw_20_0"/>
      <w:bookmarkStart w:id="99" w:name="Tc_5Bt3xNHQwEOsQGWNMuQYGg_19_0"/>
      <w:bookmarkStart w:id="100" w:name="Tc_IT4_ZXxitUutmDr7sX4L9Q_18_0"/>
      <w:bookmarkStart w:id="101" w:name="Tc_CrJ-kRf3zUGtov4TZA7epg_17_0"/>
      <w:bookmarkStart w:id="102" w:name="Tc_t1dx0OrpnEOWJHlMayF9RQ_16_5"/>
      <w:bookmarkStart w:id="103" w:name="Tc_3v6RG-ha1kWRruhgjV7mtg_16_2"/>
      <w:bookmarkStart w:id="104" w:name="Tc_Yw2Gl4KUX0ipLLf-R9Lstw_16_0"/>
      <w:bookmarkStart w:id="105" w:name="Tc_F2vIxZwMXkS50yi7vEji7Q_15_0"/>
      <w:bookmarkStart w:id="106" w:name="Tc_nRXv6BP0wU20Ocdp3fLkow_14_0"/>
      <w:bookmarkStart w:id="107" w:name="Tc_X25kOGTSSkmaxkeR_VyW7g_13_5"/>
      <w:bookmarkStart w:id="108" w:name="Tc_0EZHOGpz2EaooPzBiGZJrA_13_2"/>
      <w:bookmarkStart w:id="109" w:name="Tc_Xvrb3b4IU06pxVJVNPJyyA_13_0"/>
      <w:bookmarkStart w:id="110" w:name="Tc_wz1ngC7hKEKr7rjJq2MrqA_12_0"/>
      <w:bookmarkStart w:id="111" w:name="Tc_OoSAaBBfTEqNWci9r5WIyA_11_0"/>
      <w:bookmarkStart w:id="112" w:name="Tc_YWW5pFXTj0CL2oUOuryE9A_10_0"/>
      <w:bookmarkStart w:id="113" w:name="Tc_fJL5EHv1EU6fiqJ41_87LQ_9_0"/>
      <w:bookmarkStart w:id="114" w:name="Tc_qGY4L5DUo0GBe3RAI1zQGQ_8_0"/>
      <w:bookmarkStart w:id="115" w:name="Tc_S3jI1WFUWEuzbWzWK-OG0g_7_0"/>
      <w:bookmarkStart w:id="116" w:name="Tc_XkP2m0vri0mlqpUb-kcePw_6_0"/>
      <w:bookmarkStart w:id="117" w:name="Tc_hI_tjBBJwEOfvl8cUD14jA_5_5"/>
      <w:bookmarkStart w:id="118" w:name="Tc_lqGhAwWX2ESQN7zBDHQYXA_5_2"/>
      <w:bookmarkStart w:id="119" w:name="Tc_5P9b5dv7cUmK1TtygPLVnA_5_0"/>
      <w:bookmarkStart w:id="120" w:name="Tc_FcG3lk9WlkaAchFxLnjSrQ_4_0"/>
      <w:bookmarkStart w:id="121" w:name="Tc_bQEiMhNSW0WV9Klj-c9Tkg_3_0"/>
      <w:bookmarkStart w:id="122" w:name="Tc_H6UX_T5cM0W4XxHv-Qa4MQ_2_5"/>
      <w:bookmarkStart w:id="123" w:name="Tc_s5KtANmB0EKdmhSPNcn4uA_2_2"/>
      <w:bookmarkStart w:id="124" w:name="Tc_K-5KNAA06EOO0dsJMipTZA_1_5"/>
      <w:bookmarkStart w:id="125" w:name="Tc_4iytEZWge0m7kDXv4gwa6Q_1_2"/>
      <w:bookmarkStart w:id="126" w:name="_a954118e_803a_45fd_8f19_da53077d6187"/>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tbl>
      <w:tblPr>
        <w:tblW w:w="10205" w:type="dxa"/>
        <w:jc w:val="left"/>
        <w:tblInd w:w="0" w:type="dxa"/>
        <w:tblLayout w:type="fixed"/>
        <w:tblCellMar>
          <w:top w:w="0" w:type="dxa"/>
          <w:left w:w="0" w:type="dxa"/>
          <w:bottom w:w="0" w:type="dxa"/>
          <w:right w:w="0" w:type="dxa"/>
        </w:tblCellMar>
      </w:tblPr>
      <w:tblGrid>
        <w:gridCol w:w="7269"/>
        <w:gridCol w:w="326"/>
        <w:gridCol w:w="211"/>
        <w:gridCol w:w="874"/>
        <w:gridCol w:w="326"/>
        <w:gridCol w:w="215"/>
        <w:gridCol w:w="984"/>
      </w:tblGrid>
      <w:tr>
        <w:trPr/>
        <w:tc>
          <w:tcPr>
            <w:tcW w:w="72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54990" cy="175260"/>
                      <wp:effectExtent l="0" t="0" r="0" b="0"/>
                      <wp:wrapNone/>
                      <wp:docPr id="9" name="Frame9"/>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6525" cy="175260"/>
                      <wp:effectExtent l="0" t="0" r="0" b="0"/>
                      <wp:wrapNone/>
                      <wp:docPr id="11" name="Frame1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24840" cy="175260"/>
                      <wp:effectExtent l="0" t="0" r="0" b="0"/>
                      <wp:wrapNone/>
                      <wp:docPr id="12" name="Frame12"/>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8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0"/>
              <w:ind w:left="0" w:right="0" w:hanging="0"/>
              <w:jc w:val="center"/>
              <w:rPr/>
            </w:pPr>
            <w:r>
              <w:rPr/>
              <w:t>    </w:t>
            </w:r>
          </w:p>
        </w:tc>
        <w:tc>
          <w:tcPr>
            <w:tcW w:w="1199"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2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center"/>
              <w:rPr/>
            </w:pPr>
            <w:r>
              <w:rPr/>
              <w:t>​</w:t>
            </w:r>
          </w:p>
        </w:tc>
        <w:tc>
          <w:tcPr>
            <w:tcW w:w="11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  </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  </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80,115</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90,569</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net of allowances of $647 and $508,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8,495</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7,551</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11,056</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10,983</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2,656</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2,987</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102,322</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112,090</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2,549</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1,763</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right-of-use asset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1,274</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1,349</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106,171</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115,229</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pPr>
            <w:r>
              <w:rPr/>
              <w:t>  </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2,608</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1,884</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5,790</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5,980</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8,398</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7,864</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29,270</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29,222</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non-current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1,092</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1,160</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1,150</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1,036</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39,910</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39,282</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Commitments and contingencies (Note 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pPr>
            <w:r>
              <w:rPr/>
              <w:t>  </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pPr>
            <w:r>
              <w:rPr/>
              <w:t xml:space="preserve">   </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Common stock, $0.01 par value, 200,000,000 authorized as of March 31, 2024 and December 31, 2023; 21,593,173 and 20,879,199 shares </w:t>
            </w:r>
            <w:r>
              <w:rPr>
                <w:rFonts w:ascii="Arial;Helvetica;sans-serif" w:hAnsi="Arial;Helvetica;sans-serif"/>
                <w:b w:val="false"/>
                <w:i w:val="false"/>
                <w:caps w:val="false"/>
                <w:smallCaps w:val="false"/>
                <w:sz w:val="20"/>
              </w:rPr>
              <w:t>issued</w:t>
            </w:r>
            <w:r>
              <w:rPr>
                <w:rFonts w:ascii="Arial;Helvetica;sans-serif" w:hAnsi="Arial;Helvetica;sans-serif"/>
                <w:sz w:val="20"/>
              </w:rPr>
              <w:t xml:space="preserve"> and </w:t>
            </w:r>
            <w:r>
              <w:rPr>
                <w:rFonts w:ascii="Arial;Helvetica;sans-serif" w:hAnsi="Arial;Helvetica;sans-serif"/>
                <w:b w:val="false"/>
                <w:i w:val="false"/>
                <w:caps w:val="false"/>
                <w:smallCaps w:val="false"/>
                <w:sz w:val="20"/>
              </w:rPr>
              <w:t>outstanding</w:t>
            </w:r>
            <w:r>
              <w:rPr>
                <w:rFonts w:ascii="Arial;Helvetica;sans-serif" w:hAnsi="Arial;Helvetica;sans-serif"/>
                <w:sz w:val="20"/>
              </w:rPr>
              <w:t xml:space="preserve"> as of March 31, 2024 and December 31,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216</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565,822</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553,326</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(499,567)</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(477,381)</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w:t>
            </w:r>
          </w:p>
        </w:tc>
      </w:tr>
      <w:tr>
        <w:trPr/>
        <w:tc>
          <w:tcPr>
            <w:tcW w:w="72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66,261</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75,947</w:t>
            </w:r>
          </w:p>
        </w:tc>
      </w:tr>
      <w:tr>
        <w:trPr/>
        <w:tc>
          <w:tcPr>
            <w:tcW w:w="72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106,171</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115,229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27" w:name="_6abef597_f161_4603_ae33_26e175e3c44d"/>
      <w:bookmarkEnd w:id="127"/>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sz w:val="20"/>
        </w:rPr>
      </w:pPr>
      <w:bookmarkStart w:id="128" w:name="CondensedConsolidatedStatementsofOperati"/>
      <w:bookmarkEnd w:id="128"/>
      <w:r>
        <w:rPr>
          <w:rFonts w:ascii="Arial;Helvetica;sans-serif" w:hAnsi="Arial;Helvetica;sans-serif"/>
          <w:b/>
          <w:sz w:val="20"/>
        </w:rPr>
        <w:t>Condensed Consolidated Statements of Operations</w:t>
      </w:r>
      <w:r>
        <w:rPr>
          <w:rFonts w:ascii="Arial;Helvetica;sans-serif" w:hAnsi="Arial;Helvetica;sans-serif"/>
          <w:sz w:val="20"/>
        </w:rPr>
        <w:t xml:space="preserve"> </w:t>
      </w:r>
      <w:r>
        <w:rPr>
          <w:rFonts w:ascii="Arial;Helvetica;sans-serif" w:hAnsi="Arial;Helvetica;sans-serif"/>
          <w:b/>
          <w:sz w:val="20"/>
        </w:rPr>
        <w:t>and Comprehensive Loss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129" w:name="Tc_5nIYzJhN90i83mHredr_8g_20_0"/>
      <w:bookmarkStart w:id="130" w:name="Tc_OkArtL0QfkSE36EfE8e2kg_19_0"/>
      <w:bookmarkStart w:id="131" w:name="Tc_iXH2gZfHZkG9nQw6M5Xllw_18_5"/>
      <w:bookmarkStart w:id="132" w:name="Tc_59eFqxJ2DEGtF2_YiwkSzA_18_2"/>
      <w:bookmarkStart w:id="133" w:name="Tc_5O0s00JWy0-U9RHF3K24yw_18_0"/>
      <w:bookmarkStart w:id="134" w:name="Tc_H6B9ita-oku4jXF2y4wQlw_17_0"/>
      <w:bookmarkStart w:id="135" w:name="Tc_YnUlD401NkaXBq89InFHiw_16_0"/>
      <w:bookmarkStart w:id="136" w:name="Tc_xLEJkTkYjESIexQ-d1AzZw_15_0"/>
      <w:bookmarkStart w:id="137" w:name="Tc_X73mrAE1jk-hmjUYKRvqOQ_14_0"/>
      <w:bookmarkStart w:id="138" w:name="Tc_CRbTzHA4D0WAve7xo8cpyA_13_0"/>
      <w:bookmarkStart w:id="139" w:name="Tc_7KbXvwp4VUaVAwEXvVrc9g_12_0"/>
      <w:bookmarkStart w:id="140" w:name="Tc_oAIjqI8Zi02oCGxQ8fkPfQ_11_0"/>
      <w:bookmarkStart w:id="141" w:name="Tc_uXbmJcOi4kCA-X3qVp2H7A_10_0"/>
      <w:bookmarkStart w:id="142" w:name="Tc__6B0dUmGwE6ocPOyvC8lLQ_9_0"/>
      <w:bookmarkStart w:id="143" w:name="Tc_OJrnmxawyUiVhpohDvTcgw_8_0"/>
      <w:bookmarkStart w:id="144" w:name="Tc_Ltjd23TutkGRp1grSTzIww_7_0"/>
      <w:bookmarkStart w:id="145" w:name="Tc_qvHIdS6DYEqlbsw7YDKH-w_6_0"/>
      <w:bookmarkStart w:id="146" w:name="Tc_vPwWF96cBUG7EMFEoWxL6g_5_0"/>
      <w:bookmarkStart w:id="147" w:name="Tc_rrjp1O25kEqi3lRwF-fI_w_4_5"/>
      <w:bookmarkStart w:id="148" w:name="Tc_k-PBKeuByk2DF8xQU3FX_g_4_2"/>
      <w:bookmarkStart w:id="149" w:name="Tc_r6jTDZBxzEWoKLwaypu74g_4_0"/>
      <w:bookmarkStart w:id="150" w:name="Tc_QVbiyYoNy0iRtua1gFV7EA_3_5"/>
      <w:bookmarkStart w:id="151" w:name="Tc_NC_ytFRNOUe3vP7lZNUKTw_3_2"/>
      <w:bookmarkStart w:id="152" w:name="Tc_VY18TasBjk6-FpO1UvC3iw_2_2"/>
      <w:bookmarkStart w:id="153" w:name="Tc_x6eKDoF4IE221pRmFylkEA_1_2"/>
      <w:bookmarkStart w:id="154" w:name="_579d41a3_9f33_4f4c_acf4_58e7bb942d61"/>
      <w:bookmarkStart w:id="155" w:name="_3797c457_2506_40c3_b886_0321edd624f6"/>
      <w:bookmarkStart w:id="156" w:name="Tc_5nIYzJhN90i83mHredr_8g_20_0"/>
      <w:bookmarkStart w:id="157" w:name="Tc_OkArtL0QfkSE36EfE8e2kg_19_0"/>
      <w:bookmarkStart w:id="158" w:name="Tc_iXH2gZfHZkG9nQw6M5Xllw_18_5"/>
      <w:bookmarkStart w:id="159" w:name="Tc_59eFqxJ2DEGtF2_YiwkSzA_18_2"/>
      <w:bookmarkStart w:id="160" w:name="Tc_5O0s00JWy0-U9RHF3K24yw_18_0"/>
      <w:bookmarkStart w:id="161" w:name="Tc_H6B9ita-oku4jXF2y4wQlw_17_0"/>
      <w:bookmarkStart w:id="162" w:name="Tc_YnUlD401NkaXBq89InFHiw_16_0"/>
      <w:bookmarkStart w:id="163" w:name="Tc_xLEJkTkYjESIexQ-d1AzZw_15_0"/>
      <w:bookmarkStart w:id="164" w:name="Tc_X73mrAE1jk-hmjUYKRvqOQ_14_0"/>
      <w:bookmarkStart w:id="165" w:name="Tc_CRbTzHA4D0WAve7xo8cpyA_13_0"/>
      <w:bookmarkStart w:id="166" w:name="Tc_7KbXvwp4VUaVAwEXvVrc9g_12_0"/>
      <w:bookmarkStart w:id="167" w:name="Tc_oAIjqI8Zi02oCGxQ8fkPfQ_11_0"/>
      <w:bookmarkStart w:id="168" w:name="Tc_uXbmJcOi4kCA-X3qVp2H7A_10_0"/>
      <w:bookmarkStart w:id="169" w:name="Tc__6B0dUmGwE6ocPOyvC8lLQ_9_0"/>
      <w:bookmarkStart w:id="170" w:name="Tc_OJrnmxawyUiVhpohDvTcgw_8_0"/>
      <w:bookmarkStart w:id="171" w:name="Tc_Ltjd23TutkGRp1grSTzIww_7_0"/>
      <w:bookmarkStart w:id="172" w:name="Tc_qvHIdS6DYEqlbsw7YDKH-w_6_0"/>
      <w:bookmarkStart w:id="173" w:name="Tc_vPwWF96cBUG7EMFEoWxL6g_5_0"/>
      <w:bookmarkStart w:id="174" w:name="Tc_rrjp1O25kEqi3lRwF-fI_w_4_5"/>
      <w:bookmarkStart w:id="175" w:name="Tc_k-PBKeuByk2DF8xQU3FX_g_4_2"/>
      <w:bookmarkStart w:id="176" w:name="Tc_r6jTDZBxzEWoKLwaypu74g_4_0"/>
      <w:bookmarkStart w:id="177" w:name="Tc_QVbiyYoNy0iRtua1gFV7EA_3_5"/>
      <w:bookmarkStart w:id="178" w:name="Tc_NC_ytFRNOUe3vP7lZNUKTw_3_2"/>
      <w:bookmarkStart w:id="179" w:name="Tc_VY18TasBjk6-FpO1UvC3iw_2_2"/>
      <w:bookmarkStart w:id="180" w:name="Tc_x6eKDoF4IE221pRmFylkEA_1_2"/>
      <w:bookmarkStart w:id="181" w:name="_579d41a3_9f33_4f4c_acf4_58e7bb942d61"/>
      <w:bookmarkStart w:id="182" w:name="_3797c457_2506_40c3_b886_0321edd624f6"/>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tbl>
      <w:tblPr>
        <w:tblW w:w="10205" w:type="dxa"/>
        <w:jc w:val="left"/>
        <w:tblInd w:w="0" w:type="dxa"/>
        <w:tblLayout w:type="fixed"/>
        <w:tblCellMar>
          <w:top w:w="0" w:type="dxa"/>
          <w:left w:w="0" w:type="dxa"/>
          <w:bottom w:w="0" w:type="dxa"/>
          <w:right w:w="0" w:type="dxa"/>
        </w:tblCellMar>
      </w:tblPr>
      <w:tblGrid>
        <w:gridCol w:w="6882"/>
        <w:gridCol w:w="326"/>
        <w:gridCol w:w="211"/>
        <w:gridCol w:w="1066"/>
        <w:gridCol w:w="326"/>
        <w:gridCol w:w="211"/>
        <w:gridCol w:w="1183"/>
      </w:tblGrid>
      <w:tr>
        <w:trPr/>
        <w:tc>
          <w:tcPr>
            <w:tcW w:w="6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76910" cy="175260"/>
                      <wp:effectExtent l="0" t="0" r="0" b="0"/>
                      <wp:wrapNone/>
                      <wp:docPr id="15" name="Frame1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51205" cy="175260"/>
                      <wp:effectExtent l="0" t="0" r="0" b="0"/>
                      <wp:wrapNone/>
                      <wp:docPr id="18" name="Frame18"/>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99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6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6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3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7,979</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1,328</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6,651</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  </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3,416</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15,397</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31,387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18,813</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(12,162)</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1,062</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(11,340)</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(11,374)</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Cumulative translation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(11,371)</w:t>
            </w:r>
          </w:p>
        </w:tc>
      </w:tr>
      <w:tr>
        <w:trPr/>
        <w:tc>
          <w:tcPr>
            <w:tcW w:w="688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8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(0.55)</w:t>
            </w:r>
          </w:p>
        </w:tc>
      </w:tr>
      <w:tr>
        <w:trPr/>
        <w:tc>
          <w:tcPr>
            <w:tcW w:w="688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common shares used to compute net loss per share,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21,232,009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20,693,224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183" w:name="_5f774c0e_d11a_44c9_9e9a_0e726f433964"/>
      <w:bookmarkEnd w:id="183"/>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184" w:name="CondensedConsolidatedStatementsofConvert"/>
      <w:bookmarkEnd w:id="184"/>
      <w:r>
        <w:rPr>
          <w:rFonts w:ascii="Arial;Helvetica;sans-serif" w:hAnsi="Arial;Helvetica;sans-serif"/>
          <w:b/>
          <w:sz w:val="20"/>
        </w:rPr>
        <w:t>Condensed Consolidated Statements of Stockholders’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data)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185" w:name="Tc_ajNHOcneAUyA8RFEdDVmLA_19_16"/>
      <w:bookmarkStart w:id="186" w:name="Tc_fmRnyUowwE22vQR6kr19eQ_19_13"/>
      <w:bookmarkStart w:id="187" w:name="Tc_wcMQyl13RkqUa1RjP2jOCg_19_10"/>
      <w:bookmarkStart w:id="188" w:name="Tc_hZsIsWScoUWiF6nP_J99sg_19_7"/>
      <w:bookmarkStart w:id="189" w:name="Tc_dmVbYWeMWkqsTT7CGjBc2g_19_4"/>
      <w:bookmarkStart w:id="190" w:name="Tc_Z7XwcQI-4EGB0XbFFnXuyQ_19_0"/>
      <w:bookmarkStart w:id="191" w:name="Tc_emMsz2OMNEOmZKnVCiLu_g_18_11"/>
      <w:bookmarkStart w:id="192" w:name="Tc_x9-ICK3R0kquWM3f0znqJg_18_8"/>
      <w:bookmarkStart w:id="193" w:name="Tc_vDuDgJnHPUOj2F1i7gKw6A_18_5"/>
      <w:bookmarkStart w:id="194" w:name="Tc_VDY3mbZsz0iTFODefpTstw_18_2"/>
      <w:bookmarkStart w:id="195" w:name="Tc_jajcn0-PDUKn7d8NArQlKw_18_0"/>
      <w:bookmarkStart w:id="196" w:name="Tc_RLTkvUXNbki70LrpZtWoyA_17_14"/>
      <w:bookmarkStart w:id="197" w:name="Tc_0aXje9fW5Ua6MATP3YDYJA_17_8"/>
      <w:bookmarkStart w:id="198" w:name="Tc_ShYwJqHNckabGzzUvBT6FQ_17_5"/>
      <w:bookmarkStart w:id="199" w:name="Tc_mW9H6qnc-0esO3BtPQpSIQ_17_2"/>
      <w:bookmarkStart w:id="200" w:name="Tc_UzhuzDOoOUSVYU9MG573dw_17_0"/>
      <w:bookmarkStart w:id="201" w:name="Tc_4GWCjQ5y2Uim1_ebNUB78w_16_14"/>
      <w:bookmarkStart w:id="202" w:name="Tc_ZPVJ2MstbUCtblxYA5TRSw_16_11"/>
      <w:bookmarkStart w:id="203" w:name="Tc_4K_uf7vexEiOCdoIyrao3A_16_5"/>
      <w:bookmarkStart w:id="204" w:name="Tc_fEQ-twOP6EGH1ErXnh8YNw_16_2"/>
      <w:bookmarkStart w:id="205" w:name="Tc_0rgs-MF-b0SPnUMy5rRs4g_16_0"/>
      <w:bookmarkStart w:id="206" w:name="Tc_Gh0j-gqsxk-CVhRUbOWoXw_15_14"/>
      <w:bookmarkStart w:id="207" w:name="Tc_SH3ljlsSwE2x89B0qbtYdQ_15_11"/>
      <w:bookmarkStart w:id="208" w:name="Tc_qSkopfUzTEynJQnQoIgCUA_15_5"/>
      <w:bookmarkStart w:id="209" w:name="Tc_sOmZowEwA0m1MXdubo6QlQ_15_0"/>
      <w:bookmarkStart w:id="210" w:name="Tc_7cmCDVuixUSeFef63FoVIA_14_16"/>
      <w:bookmarkStart w:id="211" w:name="Tc_Ey6iURPJqUaIg4flePiR1w_14_13"/>
      <w:bookmarkStart w:id="212" w:name="Tc_HLY9bBh83UWvDYopF6VdcQ_14_10"/>
      <w:bookmarkStart w:id="213" w:name="Tc_6FaKfvGHz0CqSYOQTCOeFQ_14_7"/>
      <w:bookmarkStart w:id="214" w:name="Tc_VJMl34l6RUuHhRP0QQdojA_14_4"/>
      <w:bookmarkStart w:id="215" w:name="Tc_xg-c4oaQoUW1XHwzvQOKoQ_14_0"/>
      <w:bookmarkStart w:id="216" w:name="Tc_0xFfpaORSkCwiQEYtOx5dQ_12_16"/>
      <w:bookmarkStart w:id="217" w:name="Tc_fdhS0LZIukab4YcWxKOq0Q_12_13"/>
      <w:bookmarkStart w:id="218" w:name="Tc_HYU2f8miG0y-du3m0_UsVw_12_10"/>
      <w:bookmarkStart w:id="219" w:name="Tc_p1msuESlE0m392Y4s83OVw_12_7"/>
      <w:bookmarkStart w:id="220" w:name="Tc__spvmL61NkGNc67y5RwZaA_12_4"/>
      <w:bookmarkStart w:id="221" w:name="Tc_pg7QjzrydkusjZlgr8QE6w_12_0"/>
      <w:bookmarkStart w:id="222" w:name="Tc_TE-Pfj5m60aTgYEFlhcMww_11_11"/>
      <w:bookmarkStart w:id="223" w:name="Tc_80GclB_1RUuOQSJQCzWfCg_11_8"/>
      <w:bookmarkStart w:id="224" w:name="Tc_jsespqdDUk6OqjrfrEgzKQ_11_5"/>
      <w:bookmarkStart w:id="225" w:name="Tc_ARg_Wh8DZEOUVr1hFCY0YQ_11_2"/>
      <w:bookmarkStart w:id="226" w:name="Tc_owK6TMMl-E2vPmLBvJLJig_11_0"/>
      <w:bookmarkStart w:id="227" w:name="Tc__7Wec1AGPUm-kmQ_yAWnSQ_10_14"/>
      <w:bookmarkStart w:id="228" w:name="Tc_1kW5omyLi0K6GFKm0qO-lA_10_8"/>
      <w:bookmarkStart w:id="229" w:name="Tc_4Q5GpNYffEOqFSD6Qk5m7g_10_5"/>
      <w:bookmarkStart w:id="230" w:name="Tc_MjMq1N4JVEmeV6dmVn5oIw_10_2"/>
      <w:bookmarkStart w:id="231" w:name="Tc_qDulQ2F8t0iVIMcDUKpxjw_10_0"/>
      <w:bookmarkStart w:id="232" w:name="Tc_uNWRxlKfoUOEdVJXbDDwpQ_9_17"/>
      <w:bookmarkStart w:id="233" w:name="Tc_qtZSipw_7kuf2Ys75Ifp7g_9_14"/>
      <w:bookmarkStart w:id="234" w:name="Tc_U7lBn_rQpUq6ZfS6vZeOBQ_9_11"/>
      <w:bookmarkStart w:id="235" w:name="Tc_GYlvNMXYvkeg2VSlPKIygg_9_0"/>
      <w:bookmarkStart w:id="236" w:name="Tc_7Acl4jTRCkm3JASKIG2JDQ_8_14"/>
      <w:bookmarkStart w:id="237" w:name="Tc_iN2D9K_4MEO5dd_cYRVghg_8_11"/>
      <w:bookmarkStart w:id="238" w:name="Tc_u7ftLQ_EMkuN05zH4lOzag_8_5"/>
      <w:bookmarkStart w:id="239" w:name="Tc_OiTy68UQ_ESJjtPPIjzxLg_8_0"/>
      <w:bookmarkStart w:id="240" w:name="Tc_GDScWAfbfkqXSRF_G587BA_7_14"/>
      <w:bookmarkStart w:id="241" w:name="Tc_xMGwEJU_aEmuxFvWv_8mSw_7_11"/>
      <w:bookmarkStart w:id="242" w:name="Tc_Ml7sfDAIQUmZ_J9SD673NA_7_5"/>
      <w:bookmarkStart w:id="243" w:name="Tc_Q4vFfAOLSUCbC2IW7VvIVg_7_2"/>
      <w:bookmarkStart w:id="244" w:name="Tc_1w1BerbMS0aeGb6l4a5dHA_7_0"/>
      <w:bookmarkStart w:id="245" w:name="Tc_ZqnoftHUoU22fREHAs0TqA_6_14"/>
      <w:bookmarkStart w:id="246" w:name="Tc_czXmyRHgBEWIhU0hLOgQ6Q_6_11"/>
      <w:bookmarkStart w:id="247" w:name="Tc_nbVqSG_AiEuxR3KsDU18pQ_6_0"/>
      <w:bookmarkStart w:id="248" w:name="Tc_eC_XgqALukSUWmIfvwFgcQ_5_16"/>
      <w:bookmarkStart w:id="249" w:name="Tc_HlrJwcrU90S-XCWq_hO30g_5_13"/>
      <w:bookmarkStart w:id="250" w:name="Tc_3ljRXb6fNE2gM1dl7Tx6NA_5_10"/>
      <w:bookmarkStart w:id="251" w:name="Tc_pEY8IjSYd0yWaxM8pcrXCQ_5_7"/>
      <w:bookmarkStart w:id="252" w:name="Tc_RRduHv7t5UaIyXYNYregIA_5_4"/>
      <w:bookmarkStart w:id="253" w:name="Tc_naiFeNVe_0-eC7yrw3Yc5Q_5_0"/>
      <w:bookmarkStart w:id="254" w:name="Tc_G3x06GCn10yyQmFQ3yLgow_4_16"/>
      <w:bookmarkStart w:id="255" w:name="Tc_bTUwKtPY8kmaFnGD1h2OGQ_4_13"/>
      <w:bookmarkStart w:id="256" w:name="Tc_SeEeBVB9cEOb9OYbJl2jBA_4_10"/>
      <w:bookmarkStart w:id="257" w:name="Tc_aSFd-Xd-Qk6O40HbhkCblg_4_7"/>
      <w:bookmarkStart w:id="258" w:name="Tc_W2zgDynMHUCkojQdTCyvcQ_4_5"/>
      <w:bookmarkStart w:id="259" w:name="Tc_LBDIz3ClcEayQJF9Ennzcg_4_2"/>
      <w:bookmarkStart w:id="260" w:name="Tc_Eoulfn-A1EO3QtwhwymjBA_3_16"/>
      <w:bookmarkStart w:id="261" w:name="Tc_huMyP0Jl2Uuj-h0DVzlJJg_3_13"/>
      <w:bookmarkStart w:id="262" w:name="Tc_-T8BwIvFskaPfuK-cZDtCw_3_10"/>
      <w:bookmarkStart w:id="263" w:name="Tc_cT-ymj3V20Kzar98U7Ztlw_3_7"/>
      <w:bookmarkStart w:id="264" w:name="Tc_BWzv8vqEjkW0SUwhCKEpVw_3_2"/>
      <w:bookmarkStart w:id="265" w:name="Tc_ztOc5tgAEEW5yE8aUptVMQ_2_16"/>
      <w:bookmarkStart w:id="266" w:name="Tc_5_c5TzT-T0Ow-1pK6-ZSzA_2_13"/>
      <w:bookmarkStart w:id="267" w:name="Tc_gJbI6yAp-Uepx5U1F4dGWQ_2_7"/>
      <w:bookmarkStart w:id="268" w:name="Tc_q_gnHPcBv0SHydN-oEZoXQ_1_13"/>
      <w:bookmarkStart w:id="269" w:name="_7a71628a_c135_4c76_ae29_9d4fd10853e6"/>
      <w:bookmarkStart w:id="270" w:name="Tc_ajNHOcneAUyA8RFEdDVmLA_19_16"/>
      <w:bookmarkStart w:id="271" w:name="Tc_fmRnyUowwE22vQR6kr19eQ_19_13"/>
      <w:bookmarkStart w:id="272" w:name="Tc_wcMQyl13RkqUa1RjP2jOCg_19_10"/>
      <w:bookmarkStart w:id="273" w:name="Tc_hZsIsWScoUWiF6nP_J99sg_19_7"/>
      <w:bookmarkStart w:id="274" w:name="Tc_dmVbYWeMWkqsTT7CGjBc2g_19_4"/>
      <w:bookmarkStart w:id="275" w:name="Tc_Z7XwcQI-4EGB0XbFFnXuyQ_19_0"/>
      <w:bookmarkStart w:id="276" w:name="Tc_emMsz2OMNEOmZKnVCiLu_g_18_11"/>
      <w:bookmarkStart w:id="277" w:name="Tc_x9-ICK3R0kquWM3f0znqJg_18_8"/>
      <w:bookmarkStart w:id="278" w:name="Tc_vDuDgJnHPUOj2F1i7gKw6A_18_5"/>
      <w:bookmarkStart w:id="279" w:name="Tc_VDY3mbZsz0iTFODefpTstw_18_2"/>
      <w:bookmarkStart w:id="280" w:name="Tc_jajcn0-PDUKn7d8NArQlKw_18_0"/>
      <w:bookmarkStart w:id="281" w:name="Tc_RLTkvUXNbki70LrpZtWoyA_17_14"/>
      <w:bookmarkStart w:id="282" w:name="Tc_0aXje9fW5Ua6MATP3YDYJA_17_8"/>
      <w:bookmarkStart w:id="283" w:name="Tc_ShYwJqHNckabGzzUvBT6FQ_17_5"/>
      <w:bookmarkStart w:id="284" w:name="Tc_mW9H6qnc-0esO3BtPQpSIQ_17_2"/>
      <w:bookmarkStart w:id="285" w:name="Tc_UzhuzDOoOUSVYU9MG573dw_17_0"/>
      <w:bookmarkStart w:id="286" w:name="Tc_4GWCjQ5y2Uim1_ebNUB78w_16_14"/>
      <w:bookmarkStart w:id="287" w:name="Tc_ZPVJ2MstbUCtblxYA5TRSw_16_11"/>
      <w:bookmarkStart w:id="288" w:name="Tc_4K_uf7vexEiOCdoIyrao3A_16_5"/>
      <w:bookmarkStart w:id="289" w:name="Tc_fEQ-twOP6EGH1ErXnh8YNw_16_2"/>
      <w:bookmarkStart w:id="290" w:name="Tc_0rgs-MF-b0SPnUMy5rRs4g_16_0"/>
      <w:bookmarkStart w:id="291" w:name="Tc_Gh0j-gqsxk-CVhRUbOWoXw_15_14"/>
      <w:bookmarkStart w:id="292" w:name="Tc_SH3ljlsSwE2x89B0qbtYdQ_15_11"/>
      <w:bookmarkStart w:id="293" w:name="Tc_qSkopfUzTEynJQnQoIgCUA_15_5"/>
      <w:bookmarkStart w:id="294" w:name="Tc_sOmZowEwA0m1MXdubo6QlQ_15_0"/>
      <w:bookmarkStart w:id="295" w:name="Tc_7cmCDVuixUSeFef63FoVIA_14_16"/>
      <w:bookmarkStart w:id="296" w:name="Tc_Ey6iURPJqUaIg4flePiR1w_14_13"/>
      <w:bookmarkStart w:id="297" w:name="Tc_HLY9bBh83UWvDYopF6VdcQ_14_10"/>
      <w:bookmarkStart w:id="298" w:name="Tc_6FaKfvGHz0CqSYOQTCOeFQ_14_7"/>
      <w:bookmarkStart w:id="299" w:name="Tc_VJMl34l6RUuHhRP0QQdojA_14_4"/>
      <w:bookmarkStart w:id="300" w:name="Tc_xg-c4oaQoUW1XHwzvQOKoQ_14_0"/>
      <w:bookmarkStart w:id="301" w:name="Tc_0xFfpaORSkCwiQEYtOx5dQ_12_16"/>
      <w:bookmarkStart w:id="302" w:name="Tc_fdhS0LZIukab4YcWxKOq0Q_12_13"/>
      <w:bookmarkStart w:id="303" w:name="Tc_HYU2f8miG0y-du3m0_UsVw_12_10"/>
      <w:bookmarkStart w:id="304" w:name="Tc_p1msuESlE0m392Y4s83OVw_12_7"/>
      <w:bookmarkStart w:id="305" w:name="Tc__spvmL61NkGNc67y5RwZaA_12_4"/>
      <w:bookmarkStart w:id="306" w:name="Tc_pg7QjzrydkusjZlgr8QE6w_12_0"/>
      <w:bookmarkStart w:id="307" w:name="Tc_TE-Pfj5m60aTgYEFlhcMww_11_11"/>
      <w:bookmarkStart w:id="308" w:name="Tc_80GclB_1RUuOQSJQCzWfCg_11_8"/>
      <w:bookmarkStart w:id="309" w:name="Tc_jsespqdDUk6OqjrfrEgzKQ_11_5"/>
      <w:bookmarkStart w:id="310" w:name="Tc_ARg_Wh8DZEOUVr1hFCY0YQ_11_2"/>
      <w:bookmarkStart w:id="311" w:name="Tc_owK6TMMl-E2vPmLBvJLJig_11_0"/>
      <w:bookmarkStart w:id="312" w:name="Tc__7Wec1AGPUm-kmQ_yAWnSQ_10_14"/>
      <w:bookmarkStart w:id="313" w:name="Tc_1kW5omyLi0K6GFKm0qO-lA_10_8"/>
      <w:bookmarkStart w:id="314" w:name="Tc_4Q5GpNYffEOqFSD6Qk5m7g_10_5"/>
      <w:bookmarkStart w:id="315" w:name="Tc_MjMq1N4JVEmeV6dmVn5oIw_10_2"/>
      <w:bookmarkStart w:id="316" w:name="Tc_qDulQ2F8t0iVIMcDUKpxjw_10_0"/>
      <w:bookmarkStart w:id="317" w:name="Tc_uNWRxlKfoUOEdVJXbDDwpQ_9_17"/>
      <w:bookmarkStart w:id="318" w:name="Tc_qtZSipw_7kuf2Ys75Ifp7g_9_14"/>
      <w:bookmarkStart w:id="319" w:name="Tc_U7lBn_rQpUq6ZfS6vZeOBQ_9_11"/>
      <w:bookmarkStart w:id="320" w:name="Tc_GYlvNMXYvkeg2VSlPKIygg_9_0"/>
      <w:bookmarkStart w:id="321" w:name="Tc_7Acl4jTRCkm3JASKIG2JDQ_8_14"/>
      <w:bookmarkStart w:id="322" w:name="Tc_iN2D9K_4MEO5dd_cYRVghg_8_11"/>
      <w:bookmarkStart w:id="323" w:name="Tc_u7ftLQ_EMkuN05zH4lOzag_8_5"/>
      <w:bookmarkStart w:id="324" w:name="Tc_OiTy68UQ_ESJjtPPIjzxLg_8_0"/>
      <w:bookmarkStart w:id="325" w:name="Tc_GDScWAfbfkqXSRF_G587BA_7_14"/>
      <w:bookmarkStart w:id="326" w:name="Tc_xMGwEJU_aEmuxFvWv_8mSw_7_11"/>
      <w:bookmarkStart w:id="327" w:name="Tc_Ml7sfDAIQUmZ_J9SD673NA_7_5"/>
      <w:bookmarkStart w:id="328" w:name="Tc_Q4vFfAOLSUCbC2IW7VvIVg_7_2"/>
      <w:bookmarkStart w:id="329" w:name="Tc_1w1BerbMS0aeGb6l4a5dHA_7_0"/>
      <w:bookmarkStart w:id="330" w:name="Tc_ZqnoftHUoU22fREHAs0TqA_6_14"/>
      <w:bookmarkStart w:id="331" w:name="Tc_czXmyRHgBEWIhU0hLOgQ6Q_6_11"/>
      <w:bookmarkStart w:id="332" w:name="Tc_nbVqSG_AiEuxR3KsDU18pQ_6_0"/>
      <w:bookmarkStart w:id="333" w:name="Tc_eC_XgqALukSUWmIfvwFgcQ_5_16"/>
      <w:bookmarkStart w:id="334" w:name="Tc_HlrJwcrU90S-XCWq_hO30g_5_13"/>
      <w:bookmarkStart w:id="335" w:name="Tc_3ljRXb6fNE2gM1dl7Tx6NA_5_10"/>
      <w:bookmarkStart w:id="336" w:name="Tc_pEY8IjSYd0yWaxM8pcrXCQ_5_7"/>
      <w:bookmarkStart w:id="337" w:name="Tc_RRduHv7t5UaIyXYNYregIA_5_4"/>
      <w:bookmarkStart w:id="338" w:name="Tc_naiFeNVe_0-eC7yrw3Yc5Q_5_0"/>
      <w:bookmarkStart w:id="339" w:name="Tc_G3x06GCn10yyQmFQ3yLgow_4_16"/>
      <w:bookmarkStart w:id="340" w:name="Tc_bTUwKtPY8kmaFnGD1h2OGQ_4_13"/>
      <w:bookmarkStart w:id="341" w:name="Tc_SeEeBVB9cEOb9OYbJl2jBA_4_10"/>
      <w:bookmarkStart w:id="342" w:name="Tc_aSFd-Xd-Qk6O40HbhkCblg_4_7"/>
      <w:bookmarkStart w:id="343" w:name="Tc_W2zgDynMHUCkojQdTCyvcQ_4_5"/>
      <w:bookmarkStart w:id="344" w:name="Tc_LBDIz3ClcEayQJF9Ennzcg_4_2"/>
      <w:bookmarkStart w:id="345" w:name="Tc_Eoulfn-A1EO3QtwhwymjBA_3_16"/>
      <w:bookmarkStart w:id="346" w:name="Tc_huMyP0Jl2Uuj-h0DVzlJJg_3_13"/>
      <w:bookmarkStart w:id="347" w:name="Tc_-T8BwIvFskaPfuK-cZDtCw_3_10"/>
      <w:bookmarkStart w:id="348" w:name="Tc_cT-ymj3V20Kzar98U7Ztlw_3_7"/>
      <w:bookmarkStart w:id="349" w:name="Tc_BWzv8vqEjkW0SUwhCKEpVw_3_2"/>
      <w:bookmarkStart w:id="350" w:name="Tc_ztOc5tgAEEW5yE8aUptVMQ_2_16"/>
      <w:bookmarkStart w:id="351" w:name="Tc_5_c5TzT-T0Ow-1pK6-ZSzA_2_13"/>
      <w:bookmarkStart w:id="352" w:name="Tc_gJbI6yAp-Uepx5U1F4dGWQ_2_7"/>
      <w:bookmarkStart w:id="353" w:name="Tc_q_gnHPcBv0SHydN-oEZoXQ_1_13"/>
      <w:bookmarkStart w:id="354" w:name="_7a71628a_c135_4c76_ae29_9d4fd10853e6"/>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tbl>
      <w:tblPr>
        <w:tblW w:w="10205" w:type="dxa"/>
        <w:jc w:val="left"/>
        <w:tblInd w:w="0" w:type="dxa"/>
        <w:tblLayout w:type="fixed"/>
        <w:tblCellMar>
          <w:top w:w="0" w:type="dxa"/>
          <w:left w:w="0" w:type="dxa"/>
          <w:bottom w:w="0" w:type="dxa"/>
          <w:right w:w="0" w:type="dxa"/>
        </w:tblCellMar>
      </w:tblPr>
      <w:tblGrid>
        <w:gridCol w:w="2892"/>
        <w:gridCol w:w="326"/>
        <w:gridCol w:w="796"/>
        <w:gridCol w:w="326"/>
        <w:gridCol w:w="181"/>
        <w:gridCol w:w="586"/>
        <w:gridCol w:w="326"/>
        <w:gridCol w:w="181"/>
        <w:gridCol w:w="601"/>
        <w:gridCol w:w="326"/>
        <w:gridCol w:w="203"/>
        <w:gridCol w:w="728"/>
        <w:gridCol w:w="326"/>
        <w:gridCol w:w="350"/>
        <w:gridCol w:w="731"/>
        <w:gridCol w:w="326"/>
        <w:gridCol w:w="217"/>
        <w:gridCol w:w="783"/>
      </w:tblGrid>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05460" cy="175260"/>
                      <wp:effectExtent l="0" t="0" r="0" b="0"/>
                      <wp:wrapNone/>
                      <wp:docPr id="20" name="Frame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14935" cy="175260"/>
                      <wp:effectExtent l="0" t="0" r="0" b="0"/>
                      <wp:wrapNone/>
                      <wp:docPr id="22" name="Frame2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2110" cy="175260"/>
                      <wp:effectExtent l="0" t="0" r="0" b="0"/>
                      <wp:wrapNone/>
                      <wp:docPr id="23" name="Frame2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14935" cy="175260"/>
                      <wp:effectExtent l="0" t="0" r="0" b="0"/>
                      <wp:wrapNone/>
                      <wp:docPr id="25" name="Frame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81635" cy="175260"/>
                      <wp:effectExtent l="0" t="0" r="0" b="0"/>
                      <wp:wrapNone/>
                      <wp:docPr id="26" name="Frame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8905" cy="175260"/>
                      <wp:effectExtent l="0" t="0" r="0" b="0"/>
                      <wp:wrapNone/>
                      <wp:docPr id="28" name="Frame28"/>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62280" cy="175260"/>
                      <wp:effectExtent l="0" t="0" r="0" b="0"/>
                      <wp:wrapNone/>
                      <wp:docPr id="29" name="Frame29"/>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22250" cy="175260"/>
                      <wp:effectExtent l="0" t="0" r="0" b="0"/>
                      <wp:wrapNone/>
                      <wp:docPr id="31" name="Frame3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64185" cy="175260"/>
                      <wp:effectExtent l="0" t="0" r="0" b="0"/>
                      <wp:wrapNone/>
                      <wp:docPr id="32" name="Frame32"/>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7795" cy="175260"/>
                      <wp:effectExtent l="0" t="0" r="0" b="0"/>
                      <wp:wrapNone/>
                      <wp:docPr id="34" name="Frame3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7205" cy="175260"/>
                      <wp:effectExtent l="0" t="0" r="0" b="0"/>
                      <wp:wrapNone/>
                      <wp:docPr id="35" name="Frame35"/>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00" w:type="dxa"/>
            <w:gridSpan w:val="2"/>
            <w:tcBorders/>
            <w:vAlign w:val="center"/>
          </w:tcPr>
          <w:p>
            <w:pPr>
              <w:pStyle w:val="TableContents"/>
              <w:bidi w:val="0"/>
              <w:spacing w:before="0" w:after="1"/>
              <w:ind w:left="0" w:right="0" w:hanging="0"/>
              <w:jc w:val="center"/>
              <w:rPr/>
            </w:pPr>
            <w:r>
              <w:rPr/>
              <w:t>​</w: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000"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326" w:type="dxa"/>
            <w:tcBorders/>
            <w:vAlign w:val="center"/>
          </w:tcPr>
          <w:p>
            <w:pPr>
              <w:pStyle w:val="TableContents"/>
              <w:bidi w:val="0"/>
              <w:spacing w:before="0" w:after="1"/>
              <w:ind w:left="0" w:right="0" w:hanging="0"/>
              <w:jc w:val="center"/>
              <w:rPr/>
            </w:pPr>
            <w:r>
              <w:rPr/>
              <w:t>​</w:t>
            </w:r>
          </w:p>
        </w:tc>
        <w:tc>
          <w:tcPr>
            <w:tcW w:w="1000"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capital</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deficit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loss</w:t>
            </w:r>
          </w:p>
        </w:tc>
        <w:tc>
          <w:tcPr>
            <w:tcW w:w="326" w:type="dxa"/>
            <w:tcBorders/>
            <w:vAlign w:val="center"/>
          </w:tcPr>
          <w:p>
            <w:pPr>
              <w:pStyle w:val="TableContents"/>
              <w:bidi w:val="0"/>
              <w:spacing w:before="0" w:after="1"/>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equity</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20,879,199</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553,326</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(477,381)</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75,947</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86,610</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814</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815</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11,141</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11,141</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common stock</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23,364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547</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547</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Issuance of common stock upon net exercise of common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604,000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three months ended March 31, 2024</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(22,186)</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(22,186)</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March 31, 2024</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21,593,173</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565,822</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(499,567)</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(210)</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66,261</w:t>
            </w:r>
          </w:p>
        </w:tc>
      </w:tr>
      <w:tr>
        <w:trPr/>
        <w:tc>
          <w:tcPr>
            <w:tcW w:w="28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Balances as of December 31, 2022</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20,663,736</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545,362</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8"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(436,182)</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3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(207)</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8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109,180</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Exercise of 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45,204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128</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128</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Employee stock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1,705</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1,705</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Net loss for the three months ended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728"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(11,374)</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(11,374)</w:t>
            </w:r>
          </w:p>
        </w:tc>
      </w:tr>
      <w:tr>
        <w:trPr/>
        <w:tc>
          <w:tcPr>
            <w:tcW w:w="2892"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Cumulative translation adjustment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w:t>
            </w:r>
          </w:p>
        </w:tc>
      </w:tr>
      <w:tr>
        <w:trPr/>
        <w:tc>
          <w:tcPr>
            <w:tcW w:w="2892"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Balances as of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20,708,940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547,195</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(447,556)</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(204)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99,642</w:t>
            </w:r>
          </w:p>
        </w:tc>
      </w:tr>
      <w:tr>
        <w:trPr/>
        <w:tc>
          <w:tcPr>
            <w:tcW w:w="2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55" w:name="_95761934_32f9_4231_be5f_aa7f5d796586"/>
      <w:bookmarkEnd w:id="355"/>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356" w:name="CondensedConsolidatedStatementsofCashFlo"/>
      <w:bookmarkEnd w:id="356"/>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Normal"/>
        <w:bidi w:val="0"/>
        <w:spacing w:before="0" w:after="0"/>
        <w:jc w:val="left"/>
        <w:rPr>
          <w:sz w:val="4"/>
          <w:szCs w:val="4"/>
        </w:rPr>
      </w:pPr>
      <w:r>
        <w:rPr>
          <w:sz w:val="4"/>
          <w:szCs w:val="4"/>
        </w:rPr>
      </w:r>
      <w:bookmarkStart w:id="357" w:name="Tc_HhcHgZsSZE66BC9gqHBGIA_33_5"/>
      <w:bookmarkStart w:id="358" w:name="Tc_kd7NZnbqqUCHQCrMmtvi0g_33_2"/>
      <w:bookmarkStart w:id="359" w:name="Tc_M18Y2mOkvEKLDaMvLXbD9Q_33_0"/>
      <w:bookmarkStart w:id="360" w:name="Tc_P357Bf6k5k-U6ZLznZFPHA_32_5"/>
      <w:bookmarkStart w:id="361" w:name="Tc_C7kXhVl92UWjBnxWIaF6Pg_32_2"/>
      <w:bookmarkStart w:id="362" w:name="Tc_ceFUhLb_ekiygR2xbAj7pw_32_0"/>
      <w:bookmarkStart w:id="363" w:name="Tc_Mpo0aq67jkSzWzQOwGMwvw_31_0"/>
      <w:bookmarkStart w:id="364" w:name="Tc_PMW_Ft0KE066gTT2wiOzDA_30_5"/>
      <w:bookmarkStart w:id="365" w:name="Tc_92VE6ZF7OEmtHfiZcBZTfg_30_2"/>
      <w:bookmarkStart w:id="366" w:name="Tc_Z8x_RnrqlUmsvaA5IhvnuA_30_0"/>
      <w:bookmarkStart w:id="367" w:name="Tc_--zsIw_1MEW-jUunrDF2NQ_29_0"/>
      <w:bookmarkStart w:id="368" w:name="Tc_UgT5jvfj0U2C1Y1TwjockQ_28_0"/>
      <w:bookmarkStart w:id="369" w:name="Tc_BlVSOuT4SkSTHGsC1W4LeQ_27_0"/>
      <w:bookmarkStart w:id="370" w:name="Tc_HqgOVowo60aEjp0VW_BJ2g_26_0"/>
      <w:bookmarkStart w:id="371" w:name="Tc_WKheq-FCRUeV1LQWRnicaQ_25_0"/>
      <w:bookmarkStart w:id="372" w:name="Tc_AwmGL6RBO02GSBM0DUmv2g_24_0"/>
      <w:bookmarkStart w:id="373" w:name="Tc_rT5YwIfSNEGM-_fpBHMPhA_23_0"/>
      <w:bookmarkStart w:id="374" w:name="Tc_GiTXzYEQeEGiMOi8SpHp8Q_22_0"/>
      <w:bookmarkStart w:id="375" w:name="Tc_rM1RhM_amUGbSc-uop5wZg_21_0"/>
      <w:bookmarkStart w:id="376" w:name="Tc_zMjUwhiWyk2-WZ2oEMzxLA_20_0"/>
      <w:bookmarkStart w:id="377" w:name="Tc_lahUFOVvd0a2msfCH_Ya3w_19_0"/>
      <w:bookmarkStart w:id="378" w:name="Tc_zfMY_nY4V0CALTCIxoLWLg_18_0"/>
      <w:bookmarkStart w:id="379" w:name="Tc_3YRX8orNrUi8OwI4wJm1rA_17_0"/>
      <w:bookmarkStart w:id="380" w:name="Tc_ERTz7qvLhkKbOANvBO8T-w_16_0"/>
      <w:bookmarkStart w:id="381" w:name="Tc_-zTMgPIVJ0av1_8k0LnpBQ_15_0"/>
      <w:bookmarkStart w:id="382" w:name="Tc_h-Q_Bw5heE6orrNiA82-Bg_14_0"/>
      <w:bookmarkStart w:id="383" w:name="Tc_XLDHf02brUWyJdloRw9mRQ_13_0"/>
      <w:bookmarkStart w:id="384" w:name="Tc_qtP30-GTDUavcCFFO7rSVg_12_0"/>
      <w:bookmarkStart w:id="385" w:name="Tc_EBEhy_X_l0WFnNRV80LHHg_11_0"/>
      <w:bookmarkStart w:id="386" w:name="Tc_cqd9MechUUaWIFUDcko_Wg_10_0"/>
      <w:bookmarkStart w:id="387" w:name="Tc_u9NXfIU2RU2hzQb0Umswxw_9_0"/>
      <w:bookmarkStart w:id="388" w:name="Tc_8qDIhrIJake6_NIo6bWoKA_8_0"/>
      <w:bookmarkStart w:id="389" w:name="Tc_76g8HTM2MUKK56j5U9Q42Q_7_0"/>
      <w:bookmarkStart w:id="390" w:name="Tc_WKvUMvuPYUiSB0H0-CKN4Q_6_0"/>
      <w:bookmarkStart w:id="391" w:name="Tc_ZywqZTCwIE2fKVT5SereDw_5_5"/>
      <w:bookmarkStart w:id="392" w:name="Tc_R4F0ZR94JUu54uHjwe5ErA_5_2"/>
      <w:bookmarkStart w:id="393" w:name="Tc_EzgwAp21HECpp3VXHwFLeg_5_0"/>
      <w:bookmarkStart w:id="394" w:name="Tc_UnkY0NvSpk-hQEIeJVu8Yg_4_0"/>
      <w:bookmarkStart w:id="395" w:name="Tc__tvipuadFkmEr1CS4PiITw_3_5"/>
      <w:bookmarkStart w:id="396" w:name="Tc_OUpNaa768UyTVZmy29zetw_3_2"/>
      <w:bookmarkStart w:id="397" w:name="Tc_0SjlotpC7k6xFc9QFUiWSQ_2_2"/>
      <w:bookmarkStart w:id="398" w:name="Tc_0USGCs12hEu0DVWInFzVjQ_1_2"/>
      <w:bookmarkStart w:id="399" w:name="_aec9e398_f1cb_49a4_9d16_6e2ec4dbf0c1"/>
      <w:bookmarkStart w:id="400" w:name="Tc_HhcHgZsSZE66BC9gqHBGIA_33_5"/>
      <w:bookmarkStart w:id="401" w:name="Tc_kd7NZnbqqUCHQCrMmtvi0g_33_2"/>
      <w:bookmarkStart w:id="402" w:name="Tc_M18Y2mOkvEKLDaMvLXbD9Q_33_0"/>
      <w:bookmarkStart w:id="403" w:name="Tc_P357Bf6k5k-U6ZLznZFPHA_32_5"/>
      <w:bookmarkStart w:id="404" w:name="Tc_C7kXhVl92UWjBnxWIaF6Pg_32_2"/>
      <w:bookmarkStart w:id="405" w:name="Tc_ceFUhLb_ekiygR2xbAj7pw_32_0"/>
      <w:bookmarkStart w:id="406" w:name="Tc_Mpo0aq67jkSzWzQOwGMwvw_31_0"/>
      <w:bookmarkStart w:id="407" w:name="Tc_PMW_Ft0KE066gTT2wiOzDA_30_5"/>
      <w:bookmarkStart w:id="408" w:name="Tc_92VE6ZF7OEmtHfiZcBZTfg_30_2"/>
      <w:bookmarkStart w:id="409" w:name="Tc_Z8x_RnrqlUmsvaA5IhvnuA_30_0"/>
      <w:bookmarkStart w:id="410" w:name="Tc_--zsIw_1MEW-jUunrDF2NQ_29_0"/>
      <w:bookmarkStart w:id="411" w:name="Tc_UgT5jvfj0U2C1Y1TwjockQ_28_0"/>
      <w:bookmarkStart w:id="412" w:name="Tc_BlVSOuT4SkSTHGsC1W4LeQ_27_0"/>
      <w:bookmarkStart w:id="413" w:name="Tc_HqgOVowo60aEjp0VW_BJ2g_26_0"/>
      <w:bookmarkStart w:id="414" w:name="Tc_WKheq-FCRUeV1LQWRnicaQ_25_0"/>
      <w:bookmarkStart w:id="415" w:name="Tc_AwmGL6RBO02GSBM0DUmv2g_24_0"/>
      <w:bookmarkStart w:id="416" w:name="Tc_rT5YwIfSNEGM-_fpBHMPhA_23_0"/>
      <w:bookmarkStart w:id="417" w:name="Tc_GiTXzYEQeEGiMOi8SpHp8Q_22_0"/>
      <w:bookmarkStart w:id="418" w:name="Tc_rM1RhM_amUGbSc-uop5wZg_21_0"/>
      <w:bookmarkStart w:id="419" w:name="Tc_zMjUwhiWyk2-WZ2oEMzxLA_20_0"/>
      <w:bookmarkStart w:id="420" w:name="Tc_lahUFOVvd0a2msfCH_Ya3w_19_0"/>
      <w:bookmarkStart w:id="421" w:name="Tc_zfMY_nY4V0CALTCIxoLWLg_18_0"/>
      <w:bookmarkStart w:id="422" w:name="Tc_3YRX8orNrUi8OwI4wJm1rA_17_0"/>
      <w:bookmarkStart w:id="423" w:name="Tc_ERTz7qvLhkKbOANvBO8T-w_16_0"/>
      <w:bookmarkStart w:id="424" w:name="Tc_-zTMgPIVJ0av1_8k0LnpBQ_15_0"/>
      <w:bookmarkStart w:id="425" w:name="Tc_h-Q_Bw5heE6orrNiA82-Bg_14_0"/>
      <w:bookmarkStart w:id="426" w:name="Tc_XLDHf02brUWyJdloRw9mRQ_13_0"/>
      <w:bookmarkStart w:id="427" w:name="Tc_qtP30-GTDUavcCFFO7rSVg_12_0"/>
      <w:bookmarkStart w:id="428" w:name="Tc_EBEhy_X_l0WFnNRV80LHHg_11_0"/>
      <w:bookmarkStart w:id="429" w:name="Tc_cqd9MechUUaWIFUDcko_Wg_10_0"/>
      <w:bookmarkStart w:id="430" w:name="Tc_u9NXfIU2RU2hzQb0Umswxw_9_0"/>
      <w:bookmarkStart w:id="431" w:name="Tc_8qDIhrIJake6_NIo6bWoKA_8_0"/>
      <w:bookmarkStart w:id="432" w:name="Tc_76g8HTM2MUKK56j5U9Q42Q_7_0"/>
      <w:bookmarkStart w:id="433" w:name="Tc_WKvUMvuPYUiSB0H0-CKN4Q_6_0"/>
      <w:bookmarkStart w:id="434" w:name="Tc_ZywqZTCwIE2fKVT5SereDw_5_5"/>
      <w:bookmarkStart w:id="435" w:name="Tc_R4F0ZR94JUu54uHjwe5ErA_5_2"/>
      <w:bookmarkStart w:id="436" w:name="Tc_EzgwAp21HECpp3VXHwFLeg_5_0"/>
      <w:bookmarkStart w:id="437" w:name="Tc_UnkY0NvSpk-hQEIeJVu8Yg_4_0"/>
      <w:bookmarkStart w:id="438" w:name="Tc__tvipuadFkmEr1CS4PiITw_3_5"/>
      <w:bookmarkStart w:id="439" w:name="Tc_OUpNaa768UyTVZmy29zetw_3_2"/>
      <w:bookmarkStart w:id="440" w:name="Tc_0SjlotpC7k6xFc9QFUiWSQ_2_2"/>
      <w:bookmarkStart w:id="441" w:name="Tc_0USGCs12hEu0DVWInFzVjQ_1_2"/>
      <w:bookmarkStart w:id="442" w:name="_aec9e398_f1cb_49a4_9d16_6e2ec4dbf0c1"/>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tbl>
      <w:tblPr>
        <w:tblW w:w="9252" w:type="dxa"/>
        <w:jc w:val="left"/>
        <w:tblInd w:w="0" w:type="dxa"/>
        <w:tblLayout w:type="fixed"/>
        <w:tblCellMar>
          <w:top w:w="0" w:type="dxa"/>
          <w:left w:w="0" w:type="dxa"/>
          <w:bottom w:w="0" w:type="dxa"/>
          <w:right w:w="0" w:type="dxa"/>
        </w:tblCellMar>
      </w:tblPr>
      <w:tblGrid>
        <w:gridCol w:w="6511"/>
        <w:gridCol w:w="326"/>
        <w:gridCol w:w="211"/>
        <w:gridCol w:w="811"/>
        <w:gridCol w:w="326"/>
        <w:gridCol w:w="211"/>
        <w:gridCol w:w="856"/>
      </w:tblGrid>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14985" cy="175260"/>
                      <wp:effectExtent l="0" t="0" r="0" b="0"/>
                      <wp:wrapNone/>
                      <wp:docPr id="38" name="Frame3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43560" cy="175260"/>
                      <wp:effectExtent l="0" t="0" r="0" b="0"/>
                      <wp:wrapNone/>
                      <wp:docPr id="41" name="Frame4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6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(11,374)</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1,705</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disposal of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Amortization of deferred financing costs and loan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(930)</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(1,284)</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1,591</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(398)</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(10,249)</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the exercise of common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the issuance of 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debt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7,500</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Debt financing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7,568</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Effect of currency exchange on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change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(2,918)</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90,569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106,194</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103,276</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Supplemental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6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w:t>
            </w:r>
          </w:p>
        </w:tc>
      </w:tr>
      <w:tr>
        <w:trPr/>
        <w:tc>
          <w:tcPr>
            <w:tcW w:w="6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CVRx, INC.</w:t>
      </w:r>
    </w:p>
    <w:p>
      <w:pPr>
        <w:pStyle w:val="TextBody"/>
        <w:bidi w:val="0"/>
        <w:spacing w:before="0" w:after="0"/>
        <w:ind w:left="0" w:right="0" w:hanging="0"/>
        <w:jc w:val="center"/>
        <w:rPr>
          <w:rFonts w:ascii="Arial;Helvetica;sans-serif" w:hAnsi="Arial;Helvetica;sans-serif"/>
          <w:b/>
          <w:sz w:val="20"/>
        </w:rPr>
      </w:pPr>
      <w:bookmarkStart w:id="443" w:name="NotestoCondensedConsolidatedFinancialSta"/>
      <w:bookmarkEnd w:id="443"/>
      <w:r>
        <w:rPr>
          <w:rFonts w:ascii="Arial;Helvetica;sans-serif" w:hAnsi="Arial;Helvetica;sans-serif"/>
          <w:b/>
          <w:sz w:val="20"/>
        </w:rPr>
        <w:t>Notes to Condensed Consolidated Financial Statements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(Unaudited)</w:t>
      </w:r>
    </w:p>
    <w:tbl>
      <w:tblPr>
        <w:tblW w:w="3032" w:type="dxa"/>
        <w:jc w:val="left"/>
        <w:tblInd w:w="0" w:type="dxa"/>
        <w:tblLayout w:type="fixed"/>
        <w:tblCellMar>
          <w:top w:w="0" w:type="dxa"/>
          <w:left w:w="0" w:type="dxa"/>
          <w:bottom w:w="0" w:type="dxa"/>
          <w:right w:w="0" w:type="dxa"/>
        </w:tblCellMar>
      </w:tblPr>
      <w:tblGrid>
        <w:gridCol w:w="316"/>
        <w:gridCol w:w="271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w:t>
            </w:r>
          </w:p>
        </w:tc>
        <w:tc>
          <w:tcPr>
            <w:tcW w:w="27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Business organization</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Management expects that operating losses and negative cash flows from operations could continue in the foreseeable future. There is no assurance that the Company will generate sufficient product sales to produce positive earnings or cash flows.</w:t>
      </w:r>
    </w:p>
    <w:tbl>
      <w:tblPr>
        <w:tblW w:w="5387" w:type="dxa"/>
        <w:jc w:val="left"/>
        <w:tblInd w:w="0" w:type="dxa"/>
        <w:tblLayout w:type="fixed"/>
        <w:tblCellMar>
          <w:top w:w="0" w:type="dxa"/>
          <w:left w:w="0" w:type="dxa"/>
          <w:bottom w:w="0" w:type="dxa"/>
          <w:right w:w="0" w:type="dxa"/>
        </w:tblCellMar>
      </w:tblPr>
      <w:tblGrid>
        <w:gridCol w:w="316"/>
        <w:gridCol w:w="5071"/>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2.</w:t>
            </w:r>
          </w:p>
        </w:tc>
        <w:tc>
          <w:tcPr>
            <w:tcW w:w="507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Summary of significant accounting policies</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Statement presentation and basis of consolidation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condensed consolidated financial statements include the accounts of CVRx, Inc., its wholly owned subsidiary, CVRx Switzerland LLC, and its sales branch in Italy, which was closed during 2023. All intercompany balances and transactions have been eliminated in consolidation.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JOBS Act accounting election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Use of estimates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Cash and cash equivalents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Cash and cash equivalents include highly liquid investments with an original maturity of three months or less. As of March 31, 2024 and December 31, 2023, cash equivalents consisted of money market funds, which are stated at cost and approximate fair value. Additionally, as of March 31, 2024 and December 31, 2023, a majority of our cash and cash equivalents were maintained with two financial institutions in the U.S., and our current deposits are likely in excess of insured limits.</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Accounts Receivable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Trade accounts receivable are recorded at the invoiced amount and do not bear interest. Customer credit terms are established prior to shipment with the standard generally being net 30 days. </w:t>
      </w:r>
      <w:r>
        <w:rPr>
          <w:rFonts w:ascii="Arial;Helvetica;sans-serif" w:hAnsi="Arial;Helvetica;sans-serif"/>
          <w:sz w:val="20"/>
          <w:shd w:fill="FFFFFF" w:val="clear"/>
        </w:rPr>
        <w:t>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Inventory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Inventory is stated at the lower of cost or net realizable value, with cost determined on a first-in, first-out basis. We regularly review inventory quantities in consideration of actual loss experiences, projected future demand and remaining shelf life to record a provision for excess and obsolete inventory when appropriate.</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Leases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Revenue recognition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Under Accounting Standards Codification (“ASC”) Topic 606, Revenue from Contracts with Customers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Stock-Based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recognize equity-based compensation expense for awards of equity instruments to employees and non-employees based on the grant date fair value of those awards in accordance with Financial Accounting Standards Board (“FASB”) Accounting Standards Codification Topic 718, </w:t>
      </w:r>
      <w:r>
        <w:rPr>
          <w:rFonts w:ascii="Arial;Helvetica;sans-serif" w:hAnsi="Arial;Helvetica;sans-serif"/>
          <w:i/>
          <w:sz w:val="20"/>
        </w:rPr>
        <w:t>Compensation—Stock Compensation</w:t>
      </w:r>
      <w:r>
        <w:rPr>
          <w:rFonts w:ascii="Arial;Helvetica;sans-serif" w:hAnsi="Arial;Helvetica;sans-serif"/>
          <w:sz w:val="20"/>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account for forfeitures as they occur. We expense the fair value of our equity-based compensation awards granted to employees on a straight-line basis over the associated service period, which is generally the period in which the related services are received.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November 2023, the FASB issued Accounting Standards Update (“ASU”) 2023-07, </w:t>
      </w:r>
      <w:r>
        <w:rPr>
          <w:rFonts w:ascii="Arial;Helvetica;sans-serif" w:hAnsi="Arial;Helvetica;sans-serif"/>
          <w:i/>
          <w:sz w:val="20"/>
        </w:rPr>
        <w:t>Improvements to Reportable Segment Disclosures</w:t>
      </w:r>
      <w:r>
        <w:rPr>
          <w:rFonts w:ascii="Arial;Helvetica;sans-serif" w:hAnsi="Arial;Helvetica;sans-serif"/>
          <w:sz w:val="20"/>
        </w:rPr>
        <w:t xml:space="preserve"> (“ASU 2023-07”), which requires public companies to disclose for each reportable segment the significant expense categories and amounts for such expenses. ASU 2023-07 is effective for annual periods beginning December 15, 2023, and for interim periods within fiscal years beginning after December 15, 2024. This ASU will be effective for our annual period ended December 31, 2024. We are currently evaluating the effect of this new guidance on our condensed consolidated financial statements and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December 2023, the FASB issued ASU 2023-09, </w:t>
      </w:r>
      <w:r>
        <w:rPr>
          <w:rFonts w:ascii="Arial;Helvetica;sans-serif" w:hAnsi="Arial;Helvetica;sans-serif"/>
          <w:i/>
          <w:sz w:val="20"/>
        </w:rPr>
        <w:t xml:space="preserve">Improvements to Income Tax Disclosures </w:t>
      </w:r>
      <w:r>
        <w:rPr>
          <w:rFonts w:ascii="Arial;Helvetica;sans-serif" w:hAnsi="Arial;Helvetica;sans-serif"/>
          <w:sz w:val="20"/>
        </w:rPr>
        <w:t>(“ASU 2023-09”), which requires public business entities to disclose specific categories in the rate reconciliation and provide additional information for reconciling items that meet a quantitative threshold. ASU 2023-09 is effective for annual periods beginning after December 15, 2023. This ASU will be effective for our annual period ended December 31, 2024. We are evaluating the impact of this new guidance on our income tax disclosures.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44" w:name="Tc_tXD-PIefckixKCVNLhXWgg_10_5"/>
      <w:bookmarkStart w:id="445" w:name="Tc__uzyAhu6gEyLPbiIhKKjUw_10_2"/>
      <w:bookmarkStart w:id="446" w:name="Tc_IY2uqGTXbkyCWfRO9_eSUQ_9_0"/>
      <w:bookmarkStart w:id="447" w:name="Tc_vO3Iy48m9UmfA1UKehk-iA_7_0"/>
      <w:bookmarkStart w:id="448" w:name="Tc_ayAwXEll6E-mtgSORTsT6g_6_0"/>
      <w:bookmarkStart w:id="449" w:name="Tc_CbBS7QV1yUqXICFjkNaORw_5_0"/>
      <w:bookmarkStart w:id="450" w:name="Tc_TbsZlvqukkqmkPrTpeqi1w_4_0"/>
      <w:bookmarkStart w:id="451" w:name="Tc_mkc8gQCKLUWJbWmPeGYLQw_3_5"/>
      <w:bookmarkStart w:id="452" w:name="Tc_1QApOke6tUeKJfSToVIOng_3_2"/>
      <w:bookmarkStart w:id="453" w:name="Tc_zldWn8AwP06RsA2orPPG8Q_3_0"/>
      <w:bookmarkStart w:id="454" w:name="Tc_IBTXLyI33kWqsWgESUQ0mw_2_5"/>
      <w:bookmarkStart w:id="455" w:name="Tc_gccmT8xFhEuam7OraanIpw_2_2"/>
      <w:bookmarkStart w:id="456" w:name="Tc_3y3CHQvzS02kW74oFj6HrQ_2_0"/>
      <w:bookmarkStart w:id="457" w:name="Tc_hMD-7EtLGkmeJolaTMOs4A_1_5"/>
      <w:bookmarkStart w:id="458" w:name="Tc_7b6dCMhJn0u9O4z7FnzduQ_1_2"/>
      <w:bookmarkStart w:id="459" w:name="_e1d0bd89_c340_4f30_93c0_b016a1488585"/>
      <w:bookmarkStart w:id="460" w:name="Tc_HiT2aa4530C0Q18K_ib9KA_6_5"/>
      <w:bookmarkStart w:id="461" w:name="Tc_NmmCv-KVJkefGiLJFRJa6w_6_2"/>
      <w:bookmarkStart w:id="462" w:name="Tc_LAPiJvBUBUipV59f162JPQ_5_0"/>
      <w:bookmarkStart w:id="463" w:name="Tc_O60dDeOjGUOx9UNNUxVgDA_4_0"/>
      <w:bookmarkStart w:id="464" w:name="Tc_p97JsVosKk2waExY8Si-sg_3_5"/>
      <w:bookmarkStart w:id="465" w:name="Tc_v85L4dMXykWGG12YPq49HA_3_2"/>
      <w:bookmarkStart w:id="466" w:name="Tc_fscKjxfdF0i7khdZMsYT5A_3_0"/>
      <w:bookmarkStart w:id="467" w:name="Tc_1orufGzUYEGMs-rYKnCAsg_2_5"/>
      <w:bookmarkStart w:id="468" w:name="Tc_8DHd3ywFKUqRVG5KQMDh2w_2_2"/>
      <w:bookmarkStart w:id="469" w:name="Tc_WsAW4p9vyUKDsFwnfSW2Wg_2_0"/>
      <w:bookmarkStart w:id="470" w:name="Tc_RG5js7hJQ0GcuX6yHL5SQQ_1_5"/>
      <w:bookmarkStart w:id="471" w:name="Tc_An2tYJqC6UWJMGn7oxn5Dg_1_2"/>
      <w:bookmarkStart w:id="472" w:name="_32f539bb_67c4_4ac3_982a_bd76d3c40eed"/>
      <w:bookmarkStart w:id="473" w:name="Tc_tXD-PIefckixKCVNLhXWgg_10_5"/>
      <w:bookmarkStart w:id="474" w:name="Tc__uzyAhu6gEyLPbiIhKKjUw_10_2"/>
      <w:bookmarkStart w:id="475" w:name="Tc_IY2uqGTXbkyCWfRO9_eSUQ_9_0"/>
      <w:bookmarkStart w:id="476" w:name="Tc_vO3Iy48m9UmfA1UKehk-iA_7_0"/>
      <w:bookmarkStart w:id="477" w:name="Tc_ayAwXEll6E-mtgSORTsT6g_6_0"/>
      <w:bookmarkStart w:id="478" w:name="Tc_CbBS7QV1yUqXICFjkNaORw_5_0"/>
      <w:bookmarkStart w:id="479" w:name="Tc_TbsZlvqukkqmkPrTpeqi1w_4_0"/>
      <w:bookmarkStart w:id="480" w:name="Tc_mkc8gQCKLUWJbWmPeGYLQw_3_5"/>
      <w:bookmarkStart w:id="481" w:name="Tc_1QApOke6tUeKJfSToVIOng_3_2"/>
      <w:bookmarkStart w:id="482" w:name="Tc_zldWn8AwP06RsA2orPPG8Q_3_0"/>
      <w:bookmarkStart w:id="483" w:name="Tc_IBTXLyI33kWqsWgESUQ0mw_2_5"/>
      <w:bookmarkStart w:id="484" w:name="Tc_gccmT8xFhEuam7OraanIpw_2_2"/>
      <w:bookmarkStart w:id="485" w:name="Tc_3y3CHQvzS02kW74oFj6HrQ_2_0"/>
      <w:bookmarkStart w:id="486" w:name="Tc_hMD-7EtLGkmeJolaTMOs4A_1_5"/>
      <w:bookmarkStart w:id="487" w:name="Tc_7b6dCMhJn0u9O4z7FnzduQ_1_2"/>
      <w:bookmarkStart w:id="488" w:name="_e1d0bd89_c340_4f30_93c0_b016a1488585"/>
      <w:bookmarkStart w:id="489" w:name="Tc_HiT2aa4530C0Q18K_ib9KA_6_5"/>
      <w:bookmarkStart w:id="490" w:name="Tc_NmmCv-KVJkefGiLJFRJa6w_6_2"/>
      <w:bookmarkStart w:id="491" w:name="Tc_LAPiJvBUBUipV59f162JPQ_5_0"/>
      <w:bookmarkStart w:id="492" w:name="Tc_O60dDeOjGUOx9UNNUxVgDA_4_0"/>
      <w:bookmarkStart w:id="493" w:name="Tc_p97JsVosKk2waExY8Si-sg_3_5"/>
      <w:bookmarkStart w:id="494" w:name="Tc_v85L4dMXykWGG12YPq49HA_3_2"/>
      <w:bookmarkStart w:id="495" w:name="Tc_fscKjxfdF0i7khdZMsYT5A_3_0"/>
      <w:bookmarkStart w:id="496" w:name="Tc_1orufGzUYEGMs-rYKnCAsg_2_5"/>
      <w:bookmarkStart w:id="497" w:name="Tc_8DHd3ywFKUqRVG5KQMDh2w_2_2"/>
      <w:bookmarkStart w:id="498" w:name="Tc_WsAW4p9vyUKDsFwnfSW2Wg_2_0"/>
      <w:bookmarkStart w:id="499" w:name="Tc_RG5js7hJQ0GcuX6yHL5SQQ_1_5"/>
      <w:bookmarkStart w:id="500" w:name="Tc_An2tYJqC6UWJMGn7oxn5Dg_1_2"/>
      <w:bookmarkStart w:id="501" w:name="_32f539bb_67c4_4ac3_982a_bd76d3c40eed"/>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tbl>
      <w:tblPr>
        <w:tblW w:w="4472" w:type="dxa"/>
        <w:jc w:val="left"/>
        <w:tblInd w:w="0" w:type="dxa"/>
        <w:tblLayout w:type="fixed"/>
        <w:tblCellMar>
          <w:top w:w="0" w:type="dxa"/>
          <w:left w:w="0" w:type="dxa"/>
          <w:bottom w:w="0" w:type="dxa"/>
          <w:right w:w="0" w:type="dxa"/>
        </w:tblCellMar>
      </w:tblPr>
      <w:tblGrid>
        <w:gridCol w:w="316"/>
        <w:gridCol w:w="415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3.</w:t>
            </w:r>
          </w:p>
        </w:tc>
        <w:tc>
          <w:tcPr>
            <w:tcW w:w="415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Selected balance sheet information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Inventory consists of the following at:</w:t>
      </w:r>
    </w:p>
    <w:p>
      <w:pPr>
        <w:pStyle w:val="TextBody"/>
        <w:bidi w:val="0"/>
        <w:spacing w:before="0" w:after="240"/>
        <w:ind w:left="0" w:right="0" w:hanging="0"/>
        <w:jc w:val="left"/>
        <w:rPr/>
      </w:pPr>
      <w:r>
        <w:rPr/>
        <w:t>​</w:t>
      </w:r>
    </w:p>
    <w:tbl>
      <w:tblPr>
        <w:tblW w:w="4345" w:type="dxa"/>
        <w:jc w:val="left"/>
        <w:tblInd w:w="0" w:type="dxa"/>
        <w:tblLayout w:type="fixed"/>
        <w:tblCellMar>
          <w:top w:w="0" w:type="dxa"/>
          <w:left w:w="0" w:type="dxa"/>
          <w:bottom w:w="0" w:type="dxa"/>
          <w:right w:w="0" w:type="dxa"/>
        </w:tblCellMar>
      </w:tblPr>
      <w:tblGrid>
        <w:gridCol w:w="1531"/>
        <w:gridCol w:w="326"/>
        <w:gridCol w:w="211"/>
        <w:gridCol w:w="691"/>
        <w:gridCol w:w="326"/>
        <w:gridCol w:w="260"/>
        <w:gridCol w:w="1000"/>
      </w:tblGrid>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8785" cy="175260"/>
                      <wp:effectExtent l="0" t="0" r="0" b="0"/>
                      <wp:wrapNone/>
                      <wp:docPr id="44" name="Frame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5100" cy="175260"/>
                      <wp:effectExtent l="0" t="0" r="0" b="0"/>
                      <wp:wrapNone/>
                      <wp:docPr id="46" name="Frame4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35000" cy="175260"/>
                      <wp:effectExtent l="0" t="0" r="0" b="0"/>
                      <wp:wrapNone/>
                      <wp:docPr id="47" name="Frame47"/>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153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Raw material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4,544</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4,714</w:t>
            </w:r>
          </w:p>
        </w:tc>
      </w:tr>
      <w:tr>
        <w:trPr/>
        <w:tc>
          <w:tcPr>
            <w:tcW w:w="15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Work-in-process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750</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10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654</w:t>
            </w:r>
          </w:p>
        </w:tc>
      </w:tr>
      <w:tr>
        <w:trPr/>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5,762</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5,615</w:t>
            </w:r>
          </w:p>
        </w:tc>
      </w:tr>
      <w:tr>
        <w:trPr/>
        <w:tc>
          <w:tcPr>
            <w:tcW w:w="1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11,056</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10,983</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 consists of the following at:</w:t>
      </w:r>
    </w:p>
    <w:p>
      <w:pPr>
        <w:pStyle w:val="TextBody"/>
        <w:bidi w:val="0"/>
        <w:spacing w:before="0" w:after="240"/>
        <w:ind w:left="0" w:right="0" w:hanging="0"/>
        <w:jc w:val="left"/>
        <w:rPr/>
      </w:pPr>
      <w:r>
        <w:rPr/>
        <w:t>​</w:t>
      </w:r>
    </w:p>
    <w:tbl>
      <w:tblPr>
        <w:tblW w:w="7223" w:type="dxa"/>
        <w:jc w:val="left"/>
        <w:tblInd w:w="0" w:type="dxa"/>
        <w:tblLayout w:type="fixed"/>
        <w:tblCellMar>
          <w:top w:w="0" w:type="dxa"/>
          <w:left w:w="0" w:type="dxa"/>
          <w:bottom w:w="0" w:type="dxa"/>
          <w:right w:w="0" w:type="dxa"/>
        </w:tblCellMar>
      </w:tblPr>
      <w:tblGrid>
        <w:gridCol w:w="4411"/>
        <w:gridCol w:w="326"/>
        <w:gridCol w:w="237"/>
        <w:gridCol w:w="663"/>
        <w:gridCol w:w="326"/>
        <w:gridCol w:w="290"/>
        <w:gridCol w:w="970"/>
      </w:tblGrid>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50495" cy="175260"/>
                      <wp:effectExtent l="0" t="0" r="0" b="0"/>
                      <wp:wrapNone/>
                      <wp:docPr id="49" name="Frame4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21005" cy="175260"/>
                      <wp:effectExtent l="0" t="0" r="0" b="0"/>
                      <wp:wrapNone/>
                      <wp:docPr id="50" name="Frame50"/>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4150" cy="175260"/>
                      <wp:effectExtent l="0" t="0" r="0" b="0"/>
                      <wp:wrapNone/>
                      <wp:docPr id="52" name="Frame52"/>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15950" cy="175260"/>
                      <wp:effectExtent l="0" t="0" r="0" b="0"/>
                      <wp:wrapNone/>
                      <wp:docPr id="53" name="Frame53"/>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4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Office furniture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410</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w:t>
            </w:r>
          </w:p>
        </w:tc>
      </w:tr>
      <w:tr>
        <w:trPr/>
        <w:tc>
          <w:tcPr>
            <w:tcW w:w="4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Lab equipment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2,721</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2,721</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Computer equipment and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6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788</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776</w:t>
            </w:r>
          </w:p>
        </w:tc>
      </w:tr>
      <w:tr>
        <w:trPr/>
        <w:tc>
          <w:tcPr>
            <w:tcW w:w="4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Capital equipment in process</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1,451</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554</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5,468</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4,551</w:t>
            </w:r>
          </w:p>
        </w:tc>
      </w:tr>
      <w:tr>
        <w:trPr/>
        <w:tc>
          <w:tcPr>
            <w:tcW w:w="4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2,919</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2,788</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2,549</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1,763</w:t>
            </w:r>
          </w:p>
        </w:tc>
      </w:tr>
    </w:tbl>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502" w:name="Tc_naMZFo93r0u75TClyHytnw_13_5"/>
      <w:bookmarkStart w:id="503" w:name="Tc_oVXRxYoqYEmvD523NA_rlg_13_2"/>
      <w:bookmarkStart w:id="504" w:name="Tc_R-nwG-0v3kSZM4588XYc5g_12_0"/>
      <w:bookmarkStart w:id="505" w:name="Tc_YXx6bubJWEm3roaekqgaDw_11_0"/>
      <w:bookmarkStart w:id="506" w:name="Tc_hU8o-mMhKEi0qhgRuxR8rw_10_6"/>
      <w:bookmarkStart w:id="507" w:name="Tc_KklLRn__CEm8j7M17AikHQ_10_0"/>
      <w:bookmarkStart w:id="508" w:name="Tc_8IGHl625ikuI54PaH41k7A_8_0"/>
      <w:bookmarkStart w:id="509" w:name="Tc_otACLfWEjUebQXOEh4_dVA_7_0"/>
      <w:bookmarkStart w:id="510" w:name="Tc_weq9O86IEUGlSLuS9t7-Pw_6_0"/>
      <w:bookmarkStart w:id="511" w:name="Tc_HywTp66ttUe3pu6SsDCKJA_5_0"/>
      <w:bookmarkStart w:id="512" w:name="Tc_jL5x_YOjhEu4JRM7RVPfvg_4_0"/>
      <w:bookmarkStart w:id="513" w:name="Tc_EM7mPYD-0k6OGlki9poX9A_3_5"/>
      <w:bookmarkStart w:id="514" w:name="Tc__PfA7HqPLkaTfWw0KRCMTw_3_2"/>
      <w:bookmarkStart w:id="515" w:name="Tc_ZOcCBpbz5EKKgTzPDpSv5Q_3_0"/>
      <w:bookmarkStart w:id="516" w:name="Tc_5P6s_5G8X0qCH5HYfH6jvg_2_5"/>
      <w:bookmarkStart w:id="517" w:name="Tc_ZczRxbj5IUe0YNjKRmU4Mw_2_2"/>
      <w:bookmarkStart w:id="518" w:name="Tc_-ksYAvSl-UmddZ5ft2ym9w_2_0"/>
      <w:bookmarkStart w:id="519" w:name="Tc_fFXU7ZaoEE2TAcutHyZBzg_1_5"/>
      <w:bookmarkStart w:id="520" w:name="Tc_4495vc4zcUe6xszbe7okWA_1_2"/>
      <w:bookmarkStart w:id="521" w:name="_fdc13b0f_c9f8_417a_a27c_315374830de9"/>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Pr>
          <w:rFonts w:ascii="Arial;Helvetica;sans-serif" w:hAnsi="Arial;Helvetica;sans-serif"/>
          <w:sz w:val="20"/>
        </w:rPr>
        <w:t>Depreciation is determined using the straight-line method over the estimated useful lives of the respective assets, generally </w:t>
      </w:r>
      <w:r>
        <w:rPr>
          <w:rFonts w:ascii="Arial;Helvetica;sans-serif" w:hAnsi="Arial;Helvetica;sans-serif"/>
          <w:b w:val="false"/>
          <w:i w:val="false"/>
          <w:caps w:val="false"/>
          <w:smallCaps w:val="false"/>
          <w:sz w:val="20"/>
        </w:rPr>
        <w:t>three</w:t>
      </w:r>
      <w:r>
        <w:rPr>
          <w:rFonts w:ascii="Arial;Helvetica;sans-serif" w:hAnsi="Arial;Helvetica;sans-serif"/>
          <w:sz w:val="20"/>
        </w:rPr>
        <w:t> to five years. Leasehold improvements are amortized on a straight-line basis over the shorter of their estimated useful lives or the term of the lease. Depreciation expense was $131,000 and $129,000 for the three months ended March 31, 2024 and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consist of the following at:</w:t>
      </w:r>
    </w:p>
    <w:p>
      <w:pPr>
        <w:pStyle w:val="TextBody"/>
        <w:bidi w:val="0"/>
        <w:spacing w:before="0" w:after="240"/>
        <w:ind w:left="0" w:right="0" w:hanging="0"/>
        <w:jc w:val="left"/>
        <w:rPr/>
      </w:pPr>
      <w:r>
        <w:rPr/>
        <w:t>​</w:t>
      </w:r>
    </w:p>
    <w:tbl>
      <w:tblPr>
        <w:tblW w:w="6353" w:type="dxa"/>
        <w:jc w:val="left"/>
        <w:tblInd w:w="0" w:type="dxa"/>
        <w:tblLayout w:type="fixed"/>
        <w:tblCellMar>
          <w:top w:w="0" w:type="dxa"/>
          <w:left w:w="0" w:type="dxa"/>
          <w:bottom w:w="0" w:type="dxa"/>
          <w:right w:w="0" w:type="dxa"/>
        </w:tblCellMar>
      </w:tblPr>
      <w:tblGrid>
        <w:gridCol w:w="3541"/>
        <w:gridCol w:w="326"/>
        <w:gridCol w:w="237"/>
        <w:gridCol w:w="663"/>
        <w:gridCol w:w="326"/>
        <w:gridCol w:w="290"/>
        <w:gridCol w:w="970"/>
      </w:tblGrid>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50495" cy="175260"/>
                      <wp:effectExtent l="0" t="0" r="0" b="0"/>
                      <wp:wrapNone/>
                      <wp:docPr id="55" name="Frame5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21005" cy="175260"/>
                      <wp:effectExtent l="0" t="0" r="0" b="0"/>
                      <wp:wrapNone/>
                      <wp:docPr id="56" name="Frame56"/>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84150" cy="175260"/>
                      <wp:effectExtent l="0" t="0" r="0" b="0"/>
                      <wp:wrapNone/>
                      <wp:docPr id="58" name="Frame58"/>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15950" cy="175260"/>
                      <wp:effectExtent l="0" t="0" r="0" b="0"/>
                      <wp:wrapNone/>
                      <wp:docPr id="59" name="Frame59"/>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Bonuses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2,106</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3,335</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Paid time off</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898</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770</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Customer rebates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591</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411</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interest payable</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Employee stock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270</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Clinical trial and other professional fees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lease liability,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401(k) match</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Taxes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797</w:t>
            </w:r>
          </w:p>
        </w:tc>
        <w:tc>
          <w:tcPr>
            <w:tcW w:w="32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w:t>
            </w:r>
          </w:p>
        </w:tc>
      </w:tr>
      <w:tr>
        <w:trPr/>
        <w:tc>
          <w:tcPr>
            <w:tcW w:w="35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5,790</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5,980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4. Debt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Innovatus Loan Agreement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October 31, 2022, we entered into a Loan and Security Agreement (the “Loan Agreement”) with Innovatus Life Sciences Fund I, LP, as the collateral agent and a lender, under which we may borrow, subject to our achievement of certain milestones, up to a total of $50.0 million in a series of term loans. On the closing date, we borrowed the minimum amount of $7.5 million under the Loan Agreement. On March 10, 2023, we borrowed the $7.5 million remaining under the first tranche of the Loan Agreement. On December 15, 2023, we borrowed an additional $15.0 million under the second tranche of the Loan Agreement. The Loan Agreement initially requires interest only payments through November 2027, followed by three monthly principal and interest payments. A final payment of $1.4 million, equal to 4.5% of the original borrowed principal, is due in January 2028. The term loans advanced pursuant to the Loan Agreement (collectively, the “Term Loans”) bear interest at a floating rate per annum equal to the sum of (a) the greater of (i) the prime rate and (ii) 5.50% plus (b) 2.65%. The Term Loans are secured by substantially all of our personal property. We have the option to draw down up to $20.0 million between September 1, 2024 and December 15, 2024 if we achieve trailing three months revenue of $9.0 million prior to June 30, 2024. A performance covenant takes effect at the earlier of September 30, 2025, or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March 31,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connection with the Loan Agreement, we recorded $1.0 million of debt issuance costs and discounts as a reduction of long-term debt.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522" w:name="Tc_E6jQ3NzHwkWr6KsX0ucLJw_10_2"/>
      <w:bookmarkStart w:id="523" w:name="Tc_ZAZC5QuaIEeMpvTBEbYTfA_10_0"/>
      <w:bookmarkStart w:id="524" w:name="Tc_hbz6YSXyQUy87DoH3sJ66Q_9_0"/>
      <w:bookmarkStart w:id="525" w:name="Tc_-RAVSEd7LEKJaReIaXk7YA_7_0"/>
      <w:bookmarkStart w:id="526" w:name="Tc_jBq8IizrzEGNJiWSDYlLsA_6_0"/>
      <w:bookmarkStart w:id="527" w:name="Tc_a0SW08C3JU6atqrhxAUpYg_5_3"/>
      <w:bookmarkStart w:id="528" w:name="Tc_NWCXjBZ8FkWrQshyZwoiOw_5_0"/>
      <w:bookmarkStart w:id="529" w:name="Tc_PjXVaJXaZECGae5ssnTmzQ_4_3"/>
      <w:bookmarkStart w:id="530" w:name="Tc_3faf-tsARECB6wVkcibJPA_4_0"/>
      <w:bookmarkStart w:id="531" w:name="Tc_ovEn4Y2Nt0C6B5sSKguJxA_3_3"/>
      <w:bookmarkStart w:id="532" w:name="Tc_iFYudxrQdES45xMKAr9PRQ_3_2"/>
      <w:bookmarkStart w:id="533" w:name="Tc_-FPk9ChB70WZibESUns5PQ_3_0"/>
      <w:bookmarkStart w:id="534" w:name="Tc_KUwRcnRuGUeFVHwHIeQR3w_2_2"/>
      <w:bookmarkStart w:id="535" w:name="Tc_7Hi_mdEJPkORRCOxC0xvGw_2_0"/>
      <w:bookmarkStart w:id="536" w:name="Tc_H_egA4iydU-qdA11yf-tCA_1_2"/>
      <w:bookmarkStart w:id="537" w:name="_4a015d8d_f9b2_44ae_8a34_493ad42ac4b8"/>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Pr>
          <w:rFonts w:ascii="Arial;Helvetica;sans-serif" w:hAnsi="Arial;Helvetica;sans-serif"/>
          <w:sz w:val="20"/>
        </w:rPr>
        <w:t>The annual principal maturities of debt under the Loan Agreement are as follows:</w:t>
      </w:r>
    </w:p>
    <w:p>
      <w:pPr>
        <w:pStyle w:val="TextBody"/>
        <w:bidi w:val="0"/>
        <w:spacing w:before="0" w:after="0"/>
        <w:ind w:left="0" w:right="0" w:hanging="0"/>
        <w:jc w:val="left"/>
        <w:rPr/>
      </w:pPr>
      <w:r>
        <w:rPr/>
        <w:t>​</w:t>
      </w:r>
    </w:p>
    <w:tbl>
      <w:tblPr>
        <w:tblW w:w="5351" w:type="dxa"/>
        <w:jc w:val="left"/>
        <w:tblInd w:w="0" w:type="dxa"/>
        <w:tblLayout w:type="fixed"/>
        <w:tblCellMar>
          <w:top w:w="0" w:type="dxa"/>
          <w:left w:w="0" w:type="dxa"/>
          <w:bottom w:w="0" w:type="dxa"/>
          <w:right w:w="0" w:type="dxa"/>
        </w:tblCellMar>
      </w:tblPr>
      <w:tblGrid>
        <w:gridCol w:w="4006"/>
        <w:gridCol w:w="326"/>
        <w:gridCol w:w="211"/>
        <w:gridCol w:w="808"/>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13080" cy="175260"/>
                      <wp:effectExtent l="0" t="0" r="0" b="0"/>
                      <wp:wrapNone/>
                      <wp:docPr id="62" name="Frame62"/>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20,000</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10,000</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Unamortized debt costs and discounts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(730)</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29,270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538" w:name="Tc_Jgqoc1jMFE64s-PUE0S_NA_8_5"/>
      <w:bookmarkStart w:id="539" w:name="Tc_3nuOGkPPA0iTqiCxe8_tCw_8_2"/>
      <w:bookmarkStart w:id="540" w:name="Tc_cOprVk16ekmokM4eycGkcQ_8_0"/>
      <w:bookmarkStart w:id="541" w:name="Tc_AU1iSolpv0GJTMr-_Y6i1A_7_0"/>
      <w:bookmarkStart w:id="542" w:name="Tc_UPGepGUq5UeUavnezFLuRA_5_0"/>
      <w:bookmarkStart w:id="543" w:name="Tc_UXfvgZebH02D6CZZxchxvQ_4_5"/>
      <w:bookmarkStart w:id="544" w:name="Tc_R8N6aEdqU0eK25N7wNIBng_4_2"/>
      <w:bookmarkStart w:id="545" w:name="Tc_2SE1AExmpUSkk2z9wxPCBw_4_0"/>
      <w:bookmarkStart w:id="546" w:name="Tc_K3ODHFnd8kSwK5tJ8Aj-sw_3_0"/>
      <w:bookmarkStart w:id="547" w:name="Tc_L9gD12_grkiSuI2J0rihcg_2_5"/>
      <w:bookmarkStart w:id="548" w:name="Tc_uog7hi_PW0CaSbJQctl2zQ_2_2"/>
      <w:bookmarkStart w:id="549" w:name="Tc_vO6bnqbjAU-8gb2N3IyEYg_2_0"/>
      <w:bookmarkStart w:id="550" w:name="Tc_mdbK69ekFU26iJYeQAoOfA_1_5"/>
      <w:bookmarkStart w:id="551" w:name="Tc_QWVY7Yjh5EOVU3dmm9TqHQ_1_2"/>
      <w:bookmarkStart w:id="552" w:name="_e01050d8_07a6_47ad_828f_b369a5a289f8"/>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rPr>
          <w:rFonts w:ascii="Arial;Helvetica;sans-serif" w:hAnsi="Arial;Helvetica;sans-serif"/>
          <w:b/>
          <w:sz w:val="24"/>
        </w:rPr>
        <w:t>5. Leases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We lease 31,505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the operating lease for our office space in Minneapolis, Minnesota for an additional 49 consecutive months through August 31, 2028. On November 7, 2023, we expanded our existing office space with the addition of 7,615 square feet of property adjacent to our principal executive offices and our manufacturing facility. The term on this expanded property is for 57 consecutive months that will run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presents the lease balances within the condensed consolidated balance sheets:</w:t>
      </w:r>
    </w:p>
    <w:tbl>
      <w:tblPr>
        <w:tblW w:w="6481" w:type="dxa"/>
        <w:jc w:val="left"/>
        <w:tblInd w:w="0" w:type="dxa"/>
        <w:tblLayout w:type="fixed"/>
        <w:tblCellMar>
          <w:top w:w="0" w:type="dxa"/>
          <w:left w:w="0" w:type="dxa"/>
          <w:bottom w:w="0" w:type="dxa"/>
          <w:right w:w="0" w:type="dxa"/>
        </w:tblCellMar>
      </w:tblPr>
      <w:tblGrid>
        <w:gridCol w:w="3886"/>
        <w:gridCol w:w="326"/>
        <w:gridCol w:w="237"/>
        <w:gridCol w:w="663"/>
        <w:gridCol w:w="109"/>
        <w:gridCol w:w="290"/>
        <w:gridCol w:w="970"/>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467610" cy="175260"/>
                      <wp:effectExtent l="0" t="0" r="0" b="0"/>
                      <wp:wrapNone/>
                      <wp:docPr id="63" name="Frame63"/>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0495" cy="175260"/>
                      <wp:effectExtent l="0" t="0" r="0" b="0"/>
                      <wp:wrapNone/>
                      <wp:docPr id="65" name="Frame6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21005" cy="175260"/>
                      <wp:effectExtent l="0" t="0" r="0" b="0"/>
                      <wp:wrapNone/>
                      <wp:docPr id="66" name="Frame66"/>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84150" cy="175260"/>
                      <wp:effectExtent l="0" t="0" r="0" b="0"/>
                      <wp:wrapNone/>
                      <wp:docPr id="68" name="Frame68"/>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15950" cy="175260"/>
                      <wp:effectExtent l="0" t="0" r="0" b="0"/>
                      <wp:wrapNone/>
                      <wp:docPr id="69" name="Frame69"/>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109"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109"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1,274</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1,349</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38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liability, 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1,092</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1,160</w:t>
            </w:r>
          </w:p>
        </w:tc>
      </w:tr>
      <w:tr>
        <w:trPr/>
        <w:tc>
          <w:tcPr>
            <w:tcW w:w="38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Total operating lease liabilities </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1,331</w:t>
            </w:r>
          </w:p>
        </w:tc>
        <w:tc>
          <w:tcPr>
            <w:tcW w:w="109"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1,391</w:t>
            </w:r>
          </w:p>
        </w:tc>
      </w:tr>
    </w:tbl>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bookmarkStart w:id="553" w:name="Tc_Dpz3ZM36FkOgKF0UkRbddg_10_2"/>
      <w:bookmarkStart w:id="554" w:name="Tc_9ZDpcTJH70a0kabGLVYkfA_10_0"/>
      <w:bookmarkStart w:id="555" w:name="Tc_PVFYi6gDSU2EiD1fO37KFg_9_0"/>
      <w:bookmarkStart w:id="556" w:name="Tc_lsioI1l1tEGOfG95uNdjoA_8_0"/>
      <w:bookmarkStart w:id="557" w:name="Tc_0p7WiJcucECWK7qNE_l6QA_7_0"/>
      <w:bookmarkStart w:id="558" w:name="Tc_xEouwtBZm0Wvd_nqlERxUA_6_0"/>
      <w:bookmarkStart w:id="559" w:name="Tc_u5RKMKEMGEqVLqR0Iw2BMQ_5_0"/>
      <w:bookmarkStart w:id="560" w:name="Tc_FxIlcIXPBk-GQJEaRRiDLw_4_0"/>
      <w:bookmarkStart w:id="561" w:name="Tc_OkT1vbCCOE-LT3K1owwSbg_3_2"/>
      <w:bookmarkStart w:id="562" w:name="Tc_bIeK6boy20ebJwfCBC1mFw_3_0"/>
      <w:bookmarkStart w:id="563" w:name="Tc_cyDtqxQRg0ueLCQY8JF76Q_2_2"/>
      <w:bookmarkStart w:id="564" w:name="Tc_3lGao9f48E2Q9EfcKZWbjw_2_0"/>
      <w:bookmarkStart w:id="565" w:name="Tc_qinRwFUZ30usBr_wreFJyA_1_2"/>
      <w:bookmarkStart w:id="566" w:name="_5ddc4b72_aa48_4535_b7ab_39c5d57f5c2b"/>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r>
        <w:rPr>
          <w:rFonts w:ascii="Arial;Helvetica;sans-serif" w:hAnsi="Arial;Helvetica;sans-serif"/>
          <w:sz w:val="20"/>
        </w:rPr>
        <w:t>Maturities of our lease liability for our operating lease are as follows as of March 31, 2024:</w:t>
      </w:r>
    </w:p>
    <w:p>
      <w:pPr>
        <w:pStyle w:val="TextBody"/>
        <w:bidi w:val="0"/>
        <w:spacing w:before="0" w:after="240"/>
        <w:ind w:left="0" w:right="0" w:hanging="0"/>
        <w:jc w:val="left"/>
        <w:rPr/>
      </w:pPr>
      <w:r>
        <w:rPr/>
        <w:t>​</w:t>
      </w:r>
    </w:p>
    <w:tbl>
      <w:tblPr>
        <w:tblW w:w="4265" w:type="dxa"/>
        <w:jc w:val="left"/>
        <w:tblInd w:w="0" w:type="dxa"/>
        <w:tblLayout w:type="fixed"/>
        <w:tblCellMar>
          <w:top w:w="0" w:type="dxa"/>
          <w:left w:w="0" w:type="dxa"/>
          <w:bottom w:w="0" w:type="dxa"/>
          <w:right w:w="0" w:type="dxa"/>
        </w:tblCellMar>
      </w:tblPr>
      <w:tblGrid>
        <w:gridCol w:w="3211"/>
        <w:gridCol w:w="109"/>
        <w:gridCol w:w="218"/>
        <w:gridCol w:w="727"/>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38985" cy="175260"/>
                      <wp:effectExtent l="0" t="0" r="0" b="0"/>
                      <wp:wrapNone/>
                      <wp:docPr id="70" name="Frame70"/>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8430" cy="175260"/>
                      <wp:effectExtent l="0" t="0" r="0" b="0"/>
                      <wp:wrapNone/>
                      <wp:docPr id="72" name="Frame7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61645" cy="175260"/>
                      <wp:effectExtent l="0" t="0" r="0" b="0"/>
                      <wp:wrapNone/>
                      <wp:docPr id="73" name="Frame73"/>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109" w:type="dxa"/>
            <w:tcBorders/>
            <w:vAlign w:val="center"/>
          </w:tcPr>
          <w:p>
            <w:pPr>
              <w:pStyle w:val="TableContents"/>
              <w:bidi w:val="0"/>
              <w:spacing w:before="0" w:after="1"/>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233</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2025</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350</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362</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374</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223</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undiscounted lease payments</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1,542</w:t>
            </w:r>
          </w:p>
        </w:tc>
      </w:tr>
      <w:tr>
        <w:trPr/>
        <w:tc>
          <w:tcPr>
            <w:tcW w:w="3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w:t>
            </w:r>
          </w:p>
        </w:tc>
      </w:tr>
      <w:tr>
        <w:trPr/>
        <w:tc>
          <w:tcPr>
            <w:tcW w:w="3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Present value of lease liability</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7"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1,331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March 31, 2024, the remaining lease term was 4.4 years and the weighted average discount rate was 6.7%. The operating cash outflows from our operating lease were $0.1 million for each of the three months ended March 31, 2024 and 2023. </w:t>
      </w:r>
    </w:p>
    <w:p>
      <w:pPr>
        <w:pStyle w:val="TextBody"/>
        <w:bidi w:val="0"/>
        <w:spacing w:before="0" w:after="240"/>
        <w:ind w:left="0" w:right="0" w:hanging="0"/>
        <w:jc w:val="left"/>
        <w:rPr/>
      </w:pPr>
      <w:r>
        <w:rPr/>
        <w:t>​</w:t>
      </w:r>
    </w:p>
    <w:tbl>
      <w:tblPr>
        <w:tblW w:w="2822" w:type="dxa"/>
        <w:jc w:val="left"/>
        <w:tblInd w:w="0" w:type="dxa"/>
        <w:tblLayout w:type="fixed"/>
        <w:tblCellMar>
          <w:top w:w="0" w:type="dxa"/>
          <w:left w:w="0" w:type="dxa"/>
          <w:bottom w:w="0" w:type="dxa"/>
          <w:right w:w="0" w:type="dxa"/>
        </w:tblCellMar>
      </w:tblPr>
      <w:tblGrid>
        <w:gridCol w:w="316"/>
        <w:gridCol w:w="250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6.</w:t>
            </w:r>
          </w:p>
        </w:tc>
        <w:tc>
          <w:tcPr>
            <w:tcW w:w="250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Stockholders’ equity</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Common Stock Warrants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common stock warrants exercisable for 108,406 shares of common stock upon conversion at a weighted average exercise price of $14.92 per share outstanding at March 31, 2024. Johnson &amp; Johnson Innovation – JJDC, Inc. had common stock warrants exercisable for 607,725 shares of our common stock with an exercise price of $0.16 per share that were all exercised through a net exercise transaction for 604,000 shares of common stock during the three months ended March 31, 2024.</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At-the-Market (“ATM”) Offering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January 2024, we commenced an ATM offering, which allows us to issue and sell </w:t>
      </w:r>
      <w:r>
        <w:rPr>
          <w:rFonts w:ascii="Arial;Helvetica;sans-serif" w:hAnsi="Arial;Helvetica;sans-serif"/>
          <w:sz w:val="20"/>
          <w:shd w:fill="FFFFFF" w:val="clear"/>
        </w:rPr>
        <w:t>shares of our common stock having an aggregate offering price of up to $50.0 million</w:t>
      </w:r>
      <w:r>
        <w:rPr>
          <w:rFonts w:ascii="Arial;Helvetica;sans-serif" w:hAnsi="Arial;Helvetica;sans-serif"/>
          <w:sz w:val="20"/>
        </w:rPr>
        <w:t>. We issued 23,364 shares of common stock for gross proceeds of $0.6 million under the ATM offering during the three months ended March 31, 2024. We have remaining capacity to issue and sell up to approximately $49.4 million of additional shares of common stock under this ATM offering.</w:t>
      </w:r>
    </w:p>
    <w:tbl>
      <w:tblPr>
        <w:tblW w:w="3602" w:type="dxa"/>
        <w:jc w:val="left"/>
        <w:tblInd w:w="0" w:type="dxa"/>
        <w:tblLayout w:type="fixed"/>
        <w:tblCellMar>
          <w:top w:w="0" w:type="dxa"/>
          <w:left w:w="0" w:type="dxa"/>
          <w:bottom w:w="0" w:type="dxa"/>
          <w:right w:w="0" w:type="dxa"/>
        </w:tblCellMar>
      </w:tblPr>
      <w:tblGrid>
        <w:gridCol w:w="316"/>
        <w:gridCol w:w="328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7.</w:t>
            </w:r>
          </w:p>
        </w:tc>
        <w:tc>
          <w:tcPr>
            <w:tcW w:w="328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Stock-based compensation</w:t>
            </w:r>
          </w:p>
        </w:tc>
      </w:tr>
    </w:tbl>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Summary of plans and activity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annual increase resulted in an additional 1,043,959 shares being reserved for issuance under the 2021 Plan as of January 1, 2024. The 2021 Plan provides for the issuance of stock options, stock appreciation rights, restricted stock awards, stock unit awards and other stock-based awards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567" w:name="Tc_0NiwkZAxQEG6SfgTA1HGig_11_7"/>
      <w:bookmarkStart w:id="568" w:name="Tc_bJyVo3IKqkG1fLQwNB7jhA_11_4"/>
      <w:bookmarkStart w:id="569" w:name="Tc_c4ZqcEgJEUeNTZoZL1iAdg_11_0"/>
      <w:bookmarkStart w:id="570" w:name="Tc_9cXwREp-eEO-uNn2ISgA9A_10_7"/>
      <w:bookmarkStart w:id="571" w:name="Tc_dkEo7VXa1Eu_tgBbwEliYA_10_4"/>
      <w:bookmarkStart w:id="572" w:name="Tc_DUwt0emTqUKt4C17Rk09mg_10_0"/>
      <w:bookmarkStart w:id="573" w:name="Tc_QGKZarPOdEaDtIim8hE4ww_9_0"/>
      <w:bookmarkStart w:id="574" w:name="Tc__qN4GyZpMUO3RvWMGrVU_g_8_0"/>
      <w:bookmarkStart w:id="575" w:name="Tc_Ao9PBf5JC0qijligmN2p8Q_7_0"/>
      <w:bookmarkStart w:id="576" w:name="Tc_ePWD1Rdra0CW7uTCcuM0rg_6_7"/>
      <w:bookmarkStart w:id="577" w:name="Tc_wRf-FwGYtEKrKNuL0JGc8w_6_4"/>
      <w:bookmarkStart w:id="578" w:name="Tc_-Abt9i5ivEyGuVCUVO1GZg_6_0"/>
      <w:bookmarkStart w:id="579" w:name="Tc_687MvV95D0apQH0lOEV0-A_5_7"/>
      <w:bookmarkStart w:id="580" w:name="Tc_muiU3v3HpUGq2Rphnu95Vw_4_7"/>
      <w:bookmarkStart w:id="581" w:name="Tc_EnRpmxXv-EKgvhmaS1yxyA_4_4"/>
      <w:bookmarkStart w:id="582" w:name="Tc_Kt4gux1yO06luGltqadZPg_4_2"/>
      <w:bookmarkStart w:id="583" w:name="Tc_ZDG8WNnPTUmvpxjcq2gQGA_3_7"/>
      <w:bookmarkStart w:id="584" w:name="Tc_jvhb5Q-7akeQyEwt33aNMQ_3_4"/>
      <w:bookmarkStart w:id="585" w:name="Tc_wIaj-_fkCkG_vkWsRTuQFg_3_2"/>
      <w:bookmarkStart w:id="586" w:name="Tc_HQ-_gpW7XkGrmtzNenZfWQ_2_7"/>
      <w:bookmarkStart w:id="587" w:name="Tc_dZ9VfNQoWE6q1Xizby2h9w_2_4"/>
      <w:bookmarkStart w:id="588" w:name="Tc_CcLKHjSX1ku4p4MPvtAWNw_2_2"/>
      <w:bookmarkStart w:id="589" w:name="Tc_pPYgLwEfEk67UNc1VOAACA_1_4"/>
      <w:bookmarkStart w:id="590" w:name="_9eb82ce5_df0f_475e_99de_a10da6b0e7aa"/>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r>
        <w:rPr>
          <w:rFonts w:ascii="Arial;Helvetica;sans-serif" w:hAnsi="Arial;Helvetica;sans-serif"/>
          <w:sz w:val="20"/>
        </w:rPr>
        <w:t>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March 31, 2024, there were 1,880,988 shares available for future issuance under the 2021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Options are granted at exercise prices not less than the fair market value (as determined by the Board of Directors) of our common stock on the date of grant.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years 2008 through the initial public offering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is a summary of stock option activity:</w:t>
      </w:r>
    </w:p>
    <w:tbl>
      <w:tblPr>
        <w:tblW w:w="7670" w:type="dxa"/>
        <w:jc w:val="left"/>
        <w:tblInd w:w="0" w:type="dxa"/>
        <w:tblLayout w:type="fixed"/>
        <w:tblCellMar>
          <w:top w:w="0" w:type="dxa"/>
          <w:left w:w="0" w:type="dxa"/>
          <w:bottom w:w="0" w:type="dxa"/>
          <w:right w:w="0" w:type="dxa"/>
        </w:tblCellMar>
      </w:tblPr>
      <w:tblGrid>
        <w:gridCol w:w="3496"/>
        <w:gridCol w:w="326"/>
        <w:gridCol w:w="1051"/>
        <w:gridCol w:w="326"/>
        <w:gridCol w:w="243"/>
        <w:gridCol w:w="658"/>
        <w:gridCol w:w="326"/>
        <w:gridCol w:w="238"/>
        <w:gridCol w:w="123"/>
        <w:gridCol w:w="883"/>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19960" cy="175260"/>
                      <wp:effectExtent l="0" t="0" r="0" b="0"/>
                      <wp:wrapNone/>
                      <wp:docPr id="74" name="Frame74"/>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7385" cy="175260"/>
                      <wp:effectExtent l="0" t="0" r="0" b="0"/>
                      <wp:wrapNone/>
                      <wp:docPr id="76" name="Frame7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4305" cy="175260"/>
                      <wp:effectExtent l="0" t="0" r="0" b="0"/>
                      <wp:wrapNone/>
                      <wp:docPr id="78" name="Frame7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17830" cy="175260"/>
                      <wp:effectExtent l="0" t="0" r="0" b="0"/>
                      <wp:wrapNone/>
                      <wp:docPr id="79" name="Frame79"/>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51130" cy="175260"/>
                      <wp:effectExtent l="0" t="0" r="0" b="0"/>
                      <wp:wrapNone/>
                      <wp:docPr id="81" name="Frame8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8105" cy="175260"/>
                      <wp:effectExtent l="0" t="0" r="0" b="0"/>
                      <wp:wrapNone/>
                      <wp:docPr id="82" name="Frame82"/>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60705" cy="175260"/>
                      <wp:effectExtent l="0" t="0" r="0" b="0"/>
                      <wp:wrapNone/>
                      <wp:docPr id="83" name="Frame83"/>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Weighted</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Number</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Average</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Aggregate</w:t>
            </w:r>
            <w:r>
              <w:rPr>
                <w:rFonts w:ascii="Arial;Helvetica;sans-serif" w:hAnsi="Arial;Helvetica;sans-serif"/>
                <w:sz w:val="16"/>
              </w:rPr>
              <w:t>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of</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Exercise</w:t>
            </w:r>
            <w:r>
              <w:rPr>
                <w:rFonts w:ascii="Arial;Helvetica;sans-serif" w:hAnsi="Arial;Helvetica;sans-serif"/>
                <w:sz w:val="16"/>
              </w:rPr>
              <w:t> </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Intrinsic</w:t>
            </w:r>
            <w:r>
              <w:rPr>
                <w:rFonts w:ascii="Arial;Helvetica;sans-serif" w:hAnsi="Arial;Helvetica;sans-serif"/>
                <w:sz w:val="16"/>
              </w:rPr>
              <w:t>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Options</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vAlign w:val="center"/>
          </w:tcPr>
          <w:p>
            <w:pPr>
              <w:pStyle w:val="TableContents"/>
              <w:bidi w:val="0"/>
              <w:spacing w:before="0" w:after="0"/>
              <w:ind w:left="0" w:right="0" w:hanging="0"/>
              <w:jc w:val="left"/>
              <w:rPr/>
            </w:pPr>
            <w:r>
              <w:rPr/>
              <w:t>​</w:t>
            </w:r>
          </w:p>
        </w:tc>
        <w:tc>
          <w:tcPr>
            <w:tcW w:w="12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4" w:type="dxa"/>
            <w:gridSpan w:val="3"/>
            <w:tcBorders/>
            <w:vAlign w:val="center"/>
          </w:tcPr>
          <w:p>
            <w:pPr>
              <w:pStyle w:val="TableContents"/>
              <w:bidi w:val="0"/>
              <w:spacing w:before="0" w:after="0"/>
              <w:ind w:left="0" w:right="0" w:hanging="0"/>
              <w:jc w:val="center"/>
              <w:rPr>
                <w:rFonts w:ascii="Arial;Helvetica;sans-serif" w:hAnsi="Arial;Helvetica;sans-serif"/>
                <w:i/>
                <w:sz w:val="16"/>
              </w:rPr>
            </w:pPr>
            <w:r>
              <w:rPr>
                <w:rFonts w:ascii="Arial;Helvetica;sans-serif" w:hAnsi="Arial;Helvetica;sans-serif"/>
                <w:i/>
                <w:sz w:val="16"/>
              </w:rPr>
              <w:t>(in  thousands)</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4,488,845</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3"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97,266</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2,014,489</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14.94</w:t>
            </w:r>
          </w:p>
        </w:tc>
        <w:tc>
          <w:tcPr>
            <w:tcW w:w="32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  </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Cancelled /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(1,180,316)</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8.20</w:t>
            </w:r>
          </w:p>
        </w:tc>
        <w:tc>
          <w:tcPr>
            <w:tcW w:w="326"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pPr>
            <w:r>
              <w:rPr/>
              <w:t>  </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Exercised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(86,610)</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9.41</w:t>
            </w:r>
          </w:p>
        </w:tc>
        <w:tc>
          <w:tcPr>
            <w:tcW w:w="32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0" w:hanging="0"/>
              <w:jc w:val="right"/>
              <w:rPr/>
            </w:pPr>
            <w:r>
              <w:rPr/>
              <w:t>  </w:t>
            </w:r>
          </w:p>
        </w:tc>
      </w:tr>
      <w:tr>
        <w:trPr/>
        <w:tc>
          <w:tcPr>
            <w:tcW w:w="34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as of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5,236,408</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12.12</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37,108</w:t>
            </w:r>
          </w:p>
        </w:tc>
      </w:tr>
      <w:tr>
        <w:trPr/>
        <w:tc>
          <w:tcPr>
            <w:tcW w:w="34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Options exercisable as of March 31, 2024</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2,711,871</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7.96</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3" w:type="dxa"/>
            <w:tcBorders/>
            <w:vAlign w:val="center"/>
          </w:tcPr>
          <w:p>
            <w:pPr>
              <w:pStyle w:val="TableContents"/>
              <w:bidi w:val="0"/>
              <w:spacing w:before="0" w:after="0"/>
              <w:ind w:left="0" w:right="0" w:hanging="0"/>
              <w:jc w:val="left"/>
              <w:rPr/>
            </w:pPr>
            <w:r>
              <w:rPr/>
              <w:t>​</w:t>
            </w:r>
          </w:p>
        </w:tc>
        <w:tc>
          <w:tcPr>
            <w:tcW w:w="883"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27,885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March 31, 2024, stock options outstanding included 4,520 options that were not granted under the 2001 Plan or the 2021 Plan. For options outstanding as of March 31, 2024, the weighted average remaining contractual life was 7.1 years. For options exercisable as of March 31, 2024, the weighted average remaining contractual life was 5.9 years.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 date of each automatic increase, or such lesser number of shares as determined by the Board of Directors. The annual increase resulted in an additional 208,791 shares being reserved for issuance under the ESPP as of January 1, 2024. The ESPP permits certain of our U.S. employees to purchase shares of our common stock at a price per share not less than 85% of the l</w:t>
      </w:r>
      <w:r>
        <w:rPr>
          <w:rFonts w:ascii="Arial;Helvetica;sans-serif" w:hAnsi="Arial;Helvetica;sans-serif"/>
          <w:spacing w:val="5"/>
          <w:sz w:val="20"/>
        </w:rPr>
        <w:t xml:space="preserve">ower of (i) the closing market price per share of our common stock on the first day of the applicable purchase period or (ii) the closing market price per share of our common stock on the purchase date at the end </w:t>
      </w:r>
      <w:r>
        <w:rPr>
          <w:rFonts w:ascii="Arial;Helvetica;sans-serif" w:hAnsi="Arial;Helvetica;sans-serif"/>
          <w:sz w:val="20"/>
        </w:rPr>
        <w:t>of the applicable six-month purchase period. As of March 31, 2024, there were 712,425 shares available for issuance under the ESPP.</w:t>
      </w:r>
      <w:r>
        <w:rPr>
          <w:rFonts w:ascii="Arial;Helvetica;sans-serif" w:hAnsi="Arial;Helvetica;sans-serif"/>
          <w:spacing w:val="5"/>
          <w:sz w:val="20"/>
        </w:rPr>
        <w:t xml:space="preserve">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Stock-based compensation expense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use the Black-Scholes option pricing model to determine the fair value of stock options and ESPP purchase rights on the grant date. We measure stock-based compensation expense based on the grant date fair value of the award and recognize compensation expense over the requisite service period, which is generally the vesting period for stock options and the offering period for ESPP purchase rights. The amount of stock-based compensation expense recognized for stock option awards during a period is based on the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591" w:name="Tc_IdaDlA2PxUGpGpmj4r37yw_11_5"/>
      <w:bookmarkStart w:id="592" w:name="Tc_tENylvqYc0yLro1Wjq2y6Q_11_2"/>
      <w:bookmarkStart w:id="593" w:name="Tc_7Bi_62PWTUiHNAoaTuPP7A_10_0"/>
      <w:bookmarkStart w:id="594" w:name="Tc_6A0KwTUx9Uag_NydEMgs5g_9_0"/>
      <w:bookmarkStart w:id="595" w:name="Tc_EuqX8fwvu0mxKgv9RyLAhg_8_5"/>
      <w:bookmarkStart w:id="596" w:name="Tc_am6Kepcfgk-XLWmzZbHe9w_8_2"/>
      <w:bookmarkStart w:id="597" w:name="Tc_nekJp6D1jE25jWXbT1Xtpg_8_0"/>
      <w:bookmarkStart w:id="598" w:name="Tc_Shxzxk9AvEOWdrykekTXXA_6_5"/>
      <w:bookmarkStart w:id="599" w:name="Tc_XnuGnhGz9USdMc8kSTyVUQ_6_2"/>
      <w:bookmarkStart w:id="600" w:name="Tc_1UgF6qqlxkiAMjdsLnCMQg_6_0"/>
      <w:bookmarkStart w:id="601" w:name="Tc_4wNuopseCUW8yVadFAeqFw_5_0"/>
      <w:bookmarkStart w:id="602" w:name="Tc_HHKgA47eoEKcnp1gRGGhLQ_4_5"/>
      <w:bookmarkStart w:id="603" w:name="Tc_V1EdkP0cZUSAd58UAAvL3w_4_2"/>
      <w:bookmarkStart w:id="604" w:name="Tc_CrsKnU1r9kSFezdewTIP4A_4_0"/>
      <w:bookmarkStart w:id="605" w:name="Tc_feaTyLN96kOlAG1dLwUqOg_3_5"/>
      <w:bookmarkStart w:id="606" w:name="Tc_7_ANvago5ECDko4XlTB3rw_3_2"/>
      <w:bookmarkStart w:id="607" w:name="Tc_6jnA6nZDvkSXYV39dvehkA_3_0"/>
      <w:bookmarkStart w:id="608" w:name="Tc_3NLrQTNJsUCRD1Y66eRrFw_2_2"/>
      <w:bookmarkStart w:id="609" w:name="Tc_TIikpPTLU0-x-2JJdP_BlA_1_2"/>
      <w:bookmarkStart w:id="610" w:name="_271d42ff_8f1d_482b_8bd2_ccb11f67ee86"/>
      <w:bookmarkStart w:id="611" w:name="Tc_sXc47x47LU2LbS0A0xHQVQ_7_8"/>
      <w:bookmarkStart w:id="612" w:name="Tc_dszfqUSOlkCf8DPRajz34w_7_4"/>
      <w:bookmarkStart w:id="613" w:name="Tc_ZmFgAC48lk-jGOgo87P9-g_7_0"/>
      <w:bookmarkStart w:id="614" w:name="Tc_2g9WR3lm1EWNdD7-Lrab2Q_6_8"/>
      <w:bookmarkStart w:id="615" w:name="Tc_N4S_SLNXpEOJWYu8BOvx1Q_6_4"/>
      <w:bookmarkStart w:id="616" w:name="Tc_KCe3pzit5UKWVnybhocv2w_6_0"/>
      <w:bookmarkStart w:id="617" w:name="Tc_xcSJKYHhRUm0BpJWHa5bIA_5_8"/>
      <w:bookmarkStart w:id="618" w:name="Tc_2J1KGbGJ-U2l8RUR67uXzw_5_4"/>
      <w:bookmarkStart w:id="619" w:name="Tc_n77mnYUrDk-8WsxomlFlhw_5_0"/>
      <w:bookmarkStart w:id="620" w:name="Tc_cc9aJ2r9O0-OVFUlyBKICA_4_0"/>
      <w:bookmarkStart w:id="621" w:name="Tc_16C38iawX0u_hHW1r5cc9Q_3_6"/>
      <w:bookmarkStart w:id="622" w:name="Tc_HK-GLXAFFUeZMEr7q_-ziA_3_2"/>
      <w:bookmarkStart w:id="623" w:name="Tc_Z6ALqR2oq0OrWhaM9FLBRg_3_0"/>
      <w:bookmarkStart w:id="624" w:name="Tc_38i8ET4ZHkCaa706V6BvyA_2_7"/>
      <w:bookmarkStart w:id="625" w:name="Tc_QULiTvhAOU-2uZzH758b-Q_2_3"/>
      <w:bookmarkStart w:id="626" w:name="Tc_XSOEVlzoaU-UhO8_L9g6iQ_1_2"/>
      <w:bookmarkStart w:id="627" w:name="_0a4aed32_f817_4f9d_85c0_865b8c7c2cf0"/>
      <w:bookmarkStart w:id="628" w:name="Tc_UK_9wBo1WE-71k7b2ETTNQ_8_8"/>
      <w:bookmarkStart w:id="629" w:name="Tc_GsdcOrG_Z0q5BUUjDm-bYA_8_7"/>
      <w:bookmarkStart w:id="630" w:name="Tc_gWdjodjC3UmWRKsjhhLzPw_8_4"/>
      <w:bookmarkStart w:id="631" w:name="Tc_YQqpSdxSiU-huwGgzKvmhA_8_3"/>
      <w:bookmarkStart w:id="632" w:name="Tc_agBiR5zVnk2BUocylg11Hg_8_0"/>
      <w:bookmarkStart w:id="633" w:name="Tc_hzqUYDbtBkSNnoWY5-hswA_7_8"/>
      <w:bookmarkStart w:id="634" w:name="Tc_05haRQh7REiUun-Th4NQCg_7_4"/>
      <w:bookmarkStart w:id="635" w:name="Tc_PEkCC1ZS9UGW65fGMQOxmg_7_0"/>
      <w:bookmarkStart w:id="636" w:name="Tc_KFep2p-4kkWkas191VCHxA_6_8"/>
      <w:bookmarkStart w:id="637" w:name="Tc_0tMnqk1BD0-YMJ6OU7tTuA_6_7"/>
      <w:bookmarkStart w:id="638" w:name="Tc_xx4JfybEw0y9lVn-7ySEAg_6_4"/>
      <w:bookmarkStart w:id="639" w:name="Tc_e_kYXkCLrE2XX653VPOmaA_6_3"/>
      <w:bookmarkStart w:id="640" w:name="Tc_MS7GwGtjC06CFSU2BIzeOA_6_0"/>
      <w:bookmarkStart w:id="641" w:name="Tc_mC0CdDxM2UaWRoDQiv9UXA_5_7"/>
      <w:bookmarkStart w:id="642" w:name="Tc_esRgOJWhiUWG6VIaKuppFA_5_3"/>
      <w:bookmarkStart w:id="643" w:name="Tc_icXhlyYhbk6P9d63B85eRg_5_0"/>
      <w:bookmarkStart w:id="644" w:name="Tc_EuHHS5K4rUSYTM7walAzUQ_4_7"/>
      <w:bookmarkStart w:id="645" w:name="Tc_LP4726NiEUmalmFQ7AHFGw_4_3"/>
      <w:bookmarkStart w:id="646" w:name="Tc_TUscSKfSL0eOqltoHqIZGg_4_0"/>
      <w:bookmarkStart w:id="647" w:name="Tc_UHt5y7vyzE2SDnUZlHzPvg_3_6"/>
      <w:bookmarkStart w:id="648" w:name="Tc_DnO0unuz8kuYa__Pq2p4Cg_3_2"/>
      <w:bookmarkStart w:id="649" w:name="Tc_PVxX1F7rQEuP-SLSlhPVlw_3_0"/>
      <w:bookmarkStart w:id="650" w:name="Tc_JB5TpvFOxUOa0lh0A0aEWQ_2_7"/>
      <w:bookmarkStart w:id="651" w:name="Tc_1Sndhrzd8UKMnJJpOiLtmQ_2_3"/>
      <w:bookmarkStart w:id="652" w:name="Tc_z0jTuf1kTkO3e-cJ5Mu-Bg_1_2"/>
      <w:bookmarkStart w:id="653" w:name="_ddbe76a4_b4e0_46c0_930a_8556a4231823"/>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Pr>
          <w:rFonts w:ascii="Arial;Helvetica;sans-serif" w:hAnsi="Arial;Helvetica;sans-serif"/>
          <w:sz w:val="20"/>
        </w:rPr>
        <w:t>portion of the awards that are ultimately expected to vest. The amount of stock-based compensation expense recognized for ESPP purchase rights during a period is based on the estimated purchase rights as of the grant date. We account for forfeitures as they occur.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following table provides the weighted average fair value of options granted to employees and the related assumptions used in the Black-Scholes option pricing model for the three months ended March 31, 2024 and 2023: </w:t>
      </w:r>
    </w:p>
    <w:tbl>
      <w:tblPr>
        <w:tblW w:w="8587" w:type="dxa"/>
        <w:jc w:val="left"/>
        <w:tblInd w:w="0" w:type="dxa"/>
        <w:tblLayout w:type="fixed"/>
        <w:tblCellMar>
          <w:top w:w="0" w:type="dxa"/>
          <w:left w:w="0" w:type="dxa"/>
          <w:bottom w:w="0" w:type="dxa"/>
          <w:right w:w="0" w:type="dxa"/>
        </w:tblCellMar>
      </w:tblPr>
      <w:tblGrid>
        <w:gridCol w:w="4471"/>
        <w:gridCol w:w="326"/>
        <w:gridCol w:w="211"/>
        <w:gridCol w:w="1321"/>
        <w:gridCol w:w="286"/>
        <w:gridCol w:w="109"/>
        <w:gridCol w:w="211"/>
        <w:gridCol w:w="1321"/>
        <w:gridCol w:w="33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839085" cy="175260"/>
                      <wp:effectExtent l="0" t="0" r="0" b="0"/>
                      <wp:wrapNone/>
                      <wp:docPr id="84" name="Frame84"/>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38835" cy="175260"/>
                      <wp:effectExtent l="0" t="0" r="0" b="0"/>
                      <wp:wrapNone/>
                      <wp:docPr id="87" name="Frame87"/>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1610" cy="175260"/>
                      <wp:effectExtent l="0" t="0" r="0" b="0"/>
                      <wp:wrapNone/>
                      <wp:docPr id="88" name="Frame8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838835" cy="175260"/>
                      <wp:effectExtent l="0" t="0" r="0" b="0"/>
                      <wp:wrapNone/>
                      <wp:docPr id="91" name="Frame91"/>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0185" cy="175260"/>
                      <wp:effectExtent l="0" t="0" r="0" b="0"/>
                      <wp:wrapNone/>
                      <wp:docPr id="92" name="Frame9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5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31" w:type="dxa"/>
            <w:tcBorders/>
            <w:vAlign w:val="center"/>
          </w:tcPr>
          <w:p>
            <w:pPr>
              <w:pStyle w:val="TableContents"/>
              <w:bidi w:val="0"/>
              <w:spacing w:before="0" w:after="0"/>
              <w:ind w:left="0" w:right="0" w:hanging="0"/>
              <w:jc w:val="center"/>
              <w:rPr/>
            </w:pPr>
            <w:r>
              <w:rPr/>
              <w:t>​</w: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28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31" w:type="dxa"/>
            <w:tcBorders/>
            <w:vAlign w:val="center"/>
          </w:tcPr>
          <w:p>
            <w:pPr>
              <w:pStyle w:val="TableContents"/>
              <w:bidi w:val="0"/>
              <w:spacing w:before="0" w:after="0"/>
              <w:ind w:left="0" w:right="0" w:hanging="0"/>
              <w:jc w:val="center"/>
              <w:rPr/>
            </w:pPr>
            <w:r>
              <w:rPr/>
              <w:t> </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fair value of options granted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12.20</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10.72</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 non-officer employees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 to 6.1</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31" w:type="dxa"/>
            <w:tcBorders/>
            <w:vAlign w:val="center"/>
          </w:tcPr>
          <w:p>
            <w:pPr>
              <w:pStyle w:val="TableContents"/>
              <w:bidi w:val="0"/>
              <w:spacing w:before="0" w:after="0"/>
              <w:ind w:left="0" w:right="0" w:hanging="0"/>
              <w:jc w:val="left"/>
              <w:rPr/>
            </w:pPr>
            <w:r>
              <w:rPr/>
              <w:t>​</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 officer employees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 to 6.1</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 to 6.1</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90.9% to 92.8</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77.6% to 79.2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4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yield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 to 4.28</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3.40% to 4.18</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provides the weighted average fair value of ESPP purchase rights and the related assumptions used in the Black-Scholes option pricing model for the three months ended March 31, 2024 and 2023:</w:t>
      </w:r>
    </w:p>
    <w:p>
      <w:pPr>
        <w:pStyle w:val="TextBody"/>
        <w:bidi w:val="0"/>
        <w:spacing w:before="0" w:after="0"/>
        <w:ind w:left="0" w:right="0" w:hanging="0"/>
        <w:jc w:val="left"/>
        <w:rPr/>
      </w:pPr>
      <w:r>
        <w:rPr/>
        <w:t>​</w:t>
      </w:r>
    </w:p>
    <w:tbl>
      <w:tblPr>
        <w:tblW w:w="7192" w:type="dxa"/>
        <w:jc w:val="left"/>
        <w:tblInd w:w="0" w:type="dxa"/>
        <w:tblLayout w:type="fixed"/>
        <w:tblCellMar>
          <w:top w:w="0" w:type="dxa"/>
          <w:left w:w="0" w:type="dxa"/>
          <w:bottom w:w="0" w:type="dxa"/>
          <w:right w:w="0" w:type="dxa"/>
        </w:tblCellMar>
      </w:tblPr>
      <w:tblGrid>
        <w:gridCol w:w="4756"/>
        <w:gridCol w:w="326"/>
        <w:gridCol w:w="211"/>
        <w:gridCol w:w="481"/>
        <w:gridCol w:w="286"/>
        <w:gridCol w:w="109"/>
        <w:gridCol w:w="211"/>
        <w:gridCol w:w="481"/>
        <w:gridCol w:w="33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020060" cy="175260"/>
                      <wp:effectExtent l="0" t="0" r="0" b="0"/>
                      <wp:wrapNone/>
                      <wp:docPr id="93" name="Frame93"/>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05435" cy="175260"/>
                      <wp:effectExtent l="0" t="0" r="0" b="0"/>
                      <wp:wrapNone/>
                      <wp:docPr id="96" name="Frame9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81610" cy="175260"/>
                      <wp:effectExtent l="0" t="0" r="0" b="0"/>
                      <wp:wrapNone/>
                      <wp:docPr id="97" name="Frame9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05435" cy="175260"/>
                      <wp:effectExtent l="0" t="0" r="0" b="0"/>
                      <wp:wrapNone/>
                      <wp:docPr id="100" name="Frame10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0185" cy="175260"/>
                      <wp:effectExtent l="0" t="0" r="0" b="0"/>
                      <wp:wrapNone/>
                      <wp:docPr id="101" name="Frame10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7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28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fair value per ESPP purchase right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w:t>
            </w:r>
          </w:p>
        </w:tc>
        <w:tc>
          <w:tcPr>
            <w:tcW w:w="3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74.0</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5.24</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review these assumptions on a periodic basis and adjust them, as necessary. We utilize the simplified method to develop the estimate of the expected term for stock option awards and ESPP purchase rights. The expected volatility is based upon observed volatility of comparable public companies. The expected dividend yield is assumed to be zero, as we have never paid dividends and have no current plans to do so. The risk-free interest rate is based on the yield on U.S. Treasury securities for a period approximating the expected term of the options being valued.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presents the components and classification of stock-based compensation expense for the periods indicated:</w:t>
      </w:r>
    </w:p>
    <w:tbl>
      <w:tblPr>
        <w:tblW w:w="6039" w:type="dxa"/>
        <w:jc w:val="left"/>
        <w:tblInd w:w="0" w:type="dxa"/>
        <w:tblLayout w:type="fixed"/>
        <w:tblCellMar>
          <w:top w:w="0" w:type="dxa"/>
          <w:left w:w="0" w:type="dxa"/>
          <w:bottom w:w="0" w:type="dxa"/>
          <w:right w:w="0" w:type="dxa"/>
        </w:tblCellMar>
      </w:tblPr>
      <w:tblGrid>
        <w:gridCol w:w="3751"/>
        <w:gridCol w:w="326"/>
        <w:gridCol w:w="211"/>
        <w:gridCol w:w="691"/>
        <w:gridCol w:w="146"/>
        <w:gridCol w:w="211"/>
        <w:gridCol w:w="703"/>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381885" cy="175260"/>
                      <wp:effectExtent l="0" t="0" r="0" b="0"/>
                      <wp:wrapNone/>
                      <wp:docPr id="102" name="Frame102"/>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38785" cy="175260"/>
                      <wp:effectExtent l="0" t="0" r="0" b="0"/>
                      <wp:wrapNone/>
                      <wp:docPr id="105" name="Frame1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92710" cy="175260"/>
                      <wp:effectExtent l="0" t="0" r="0" b="0"/>
                      <wp:wrapNone/>
                      <wp:docPr id="106" name="Frame10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46405" cy="175260"/>
                      <wp:effectExtent l="0" t="0" r="0" b="0"/>
                      <wp:wrapNone/>
                      <wp:docPr id="108" name="Frame10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2"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9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75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146" w:type="dxa"/>
            <w:tcBorders/>
            <w:vAlign w:val="center"/>
          </w:tcPr>
          <w:p>
            <w:pPr>
              <w:pStyle w:val="TableContents"/>
              <w:bidi w:val="0"/>
              <w:spacing w:before="0" w:after="1"/>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11,028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1,584</w:t>
            </w:r>
          </w:p>
        </w:tc>
      </w:tr>
      <w:tr>
        <w:trPr/>
        <w:tc>
          <w:tcPr>
            <w:tcW w:w="37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Employee Stock Purchase Plan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11,141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1,705</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03" w:type="dxa"/>
            <w:tcBorders/>
            <w:vAlign w:val="center"/>
          </w:tcPr>
          <w:p>
            <w:pPr>
              <w:pStyle w:val="TableContents"/>
              <w:bidi w:val="0"/>
              <w:spacing w:before="0" w:after="1"/>
              <w:ind w:left="0" w:right="0" w:hanging="0"/>
              <w:jc w:val="center"/>
              <w:rPr/>
            </w:pPr>
            <w:r>
              <w:rPr/>
              <w:t>​</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&amp;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10,824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1,180</w:t>
            </w:r>
          </w:p>
        </w:tc>
      </w:tr>
      <w:tr>
        <w:trPr/>
        <w:tc>
          <w:tcPr>
            <w:tcW w:w="37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&amp;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w:t>
            </w:r>
          </w:p>
        </w:tc>
      </w:tr>
      <w:tr>
        <w:trPr/>
        <w:tc>
          <w:tcPr>
            <w:tcW w:w="37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w:t>
            </w:r>
          </w:p>
        </w:tc>
      </w:tr>
      <w:tr>
        <w:trPr/>
        <w:tc>
          <w:tcPr>
            <w:tcW w:w="3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11,141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1,705</w:t>
            </w:r>
          </w:p>
        </w:tc>
      </w:tr>
    </w:tbl>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Arial;Helvetica;sans-serif" w:hAnsi="Arial;Helvetica;sans-serif"/>
          <w:sz w:val="20"/>
        </w:rPr>
      </w:pPr>
      <w:r>
        <w:rPr>
          <w:rFonts w:ascii="Arial;Helvetica;sans-serif" w:hAnsi="Arial;Helvetica;sans-serif"/>
          <w:sz w:val="20"/>
        </w:rPr>
        <w:t>As of March 31, 2024, unrecognized compensation expense related to unvested stock-based compensation arrangements was $27.9 million. As of March 31, 2024, the related weighted average period over which the expense is expected to be recognized is approximately 2.6 years.</w:t>
      </w:r>
    </w:p>
    <w:p>
      <w:pPr>
        <w:pStyle w:val="TextBody"/>
        <w:shd w:fill="FFFFFF" w:val="clear"/>
        <w:bidi w:val="0"/>
        <w:spacing w:before="0" w:after="200"/>
        <w:ind w:left="0" w:right="0" w:hanging="0"/>
        <w:jc w:val="left"/>
        <w:rPr>
          <w:rFonts w:ascii="Arial;Helvetica;sans-serif" w:hAnsi="Arial;Helvetica;sans-serif"/>
          <w:sz w:val="20"/>
        </w:rPr>
      </w:pPr>
      <w:r>
        <w:rPr>
          <w:rFonts w:ascii="Arial;Helvetica;sans-serif" w:hAnsi="Arial;Helvetica;sans-serif"/>
          <w:sz w:val="20"/>
        </w:rPr>
        <w:t>On January 30, 2024, we amended the terms and conditions of certain stock option award agreements granted under the 2001 Plan and 2021 Plan between us and our former CEO in connection with his retirement, which occurred on February 11, 2024. The option agreements were amended to provide that, if not already vested at the time of termination of his employment due to retirement, the options will continue to vest on the previously scheduled vesting dates following his retirement, subject to his compliance with certain covenants. Additionally, the option agreements were modified so that the options may be exercised, to the extent vested, by our former CEO until the earlier of (a) five years following his retirement date, or (b) the applicable option expiration date. The modification of these option awards resulted in an additional $8.4 million of non-cash stock-based compensation expense recognized during the three months ended March 31, 2024.</w:t>
      </w:r>
    </w:p>
    <w:p>
      <w:pPr>
        <w:pStyle w:val="Normal"/>
        <w:bidi w:val="0"/>
        <w:spacing w:before="0" w:after="0"/>
        <w:jc w:val="left"/>
        <w:rPr>
          <w:sz w:val="4"/>
          <w:szCs w:val="4"/>
        </w:rPr>
      </w:pPr>
      <w:r>
        <w:rPr>
          <w:sz w:val="4"/>
          <w:szCs w:val="4"/>
        </w:rPr>
      </w:r>
      <w:bookmarkStart w:id="654" w:name="_Hlk62564010"/>
      <w:bookmarkStart w:id="655" w:name="_Hlk62564010"/>
      <w:bookmarkEnd w:id="655"/>
    </w:p>
    <w:tbl>
      <w:tblPr>
        <w:tblW w:w="1982" w:type="dxa"/>
        <w:jc w:val="left"/>
        <w:tblInd w:w="0" w:type="dxa"/>
        <w:tblLayout w:type="fixed"/>
        <w:tblCellMar>
          <w:top w:w="0" w:type="dxa"/>
          <w:left w:w="0" w:type="dxa"/>
          <w:bottom w:w="0" w:type="dxa"/>
          <w:right w:w="0" w:type="dxa"/>
        </w:tblCellMar>
      </w:tblPr>
      <w:tblGrid>
        <w:gridCol w:w="316"/>
        <w:gridCol w:w="1666"/>
      </w:tblGrid>
      <w:tr>
        <w:trPr/>
        <w:tc>
          <w:tcPr>
            <w:tcW w:w="3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8.</w:t>
            </w:r>
          </w:p>
        </w:tc>
        <w:tc>
          <w:tcPr>
            <w:tcW w:w="166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Income taxes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As of March 31, 2024 and December 31, 2023, a valuation allowance was recorded against all deferred tax assets due to our cumulative net loss position. Provision for income taxes for the three months ended March 31, 2024 and 2023 was $38,000 and $34,000, respectively.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As of December 31, 2023, we had federal and state net operating loss carryforwards (“NOLs”) of approximately $389.9 million and $7.3 million, respectively. The federal NOLs began expiring in 2021 and the state NOLs began expiring in 2020. As of December 31, 2023, we had federal and state tax credit carryforwards of approximately $9.8 million and $2.0 million, respectively. The federal tax credit carryforwards began expiring in 2021 and the state tax credit carryforwards will begin expiring in 2028.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pStyle w:val="TextBody"/>
        <w:bidi w:val="0"/>
        <w:spacing w:before="0" w:after="240"/>
        <w:ind w:left="0" w:right="0" w:hanging="0"/>
        <w:jc w:val="left"/>
        <w:rPr>
          <w:rFonts w:ascii="Arial;Helvetica;sans-serif" w:hAnsi="Arial;Helvetica;sans-serif"/>
          <w:b/>
          <w:sz w:val="24"/>
        </w:rPr>
      </w:pPr>
      <w:bookmarkStart w:id="656" w:name="Tc_771OTns42EeHjVK_Fad4Bw_8_0"/>
      <w:bookmarkStart w:id="657" w:name="Tc_KnsnChQD90iKfPpptpUytA_7_0"/>
      <w:bookmarkStart w:id="658" w:name="Tc_nJ2wHazlxUCBf8Ub0hUTug_6_0"/>
      <w:bookmarkStart w:id="659" w:name="Tc_eQabmZRd4USgL1771taO0w_5_5"/>
      <w:bookmarkStart w:id="660" w:name="Tc_fUv5Dw-KE0qnAv-GIm6RzA_5_2"/>
      <w:bookmarkStart w:id="661" w:name="Tc_kzxYhBFchEWA-mS9qL-mNg_5_0"/>
      <w:bookmarkStart w:id="662" w:name="Tc_fMJySPsuGk2k9ZPaQdlsVw_4_0"/>
      <w:bookmarkStart w:id="663" w:name="Tc_jMC9sBAcXEOk3gAfh2L5Wg_3_5"/>
      <w:bookmarkStart w:id="664" w:name="Tc_dDH7au3Uzku2C5b0XZ1vDw_3_2"/>
      <w:bookmarkStart w:id="665" w:name="Tc_pSTI_0z8q0qNQEJAVlRKkA_2_2"/>
      <w:bookmarkStart w:id="666" w:name="Tc_D89-kK1x8EqR-yq4wlYzHQ_1_2"/>
      <w:bookmarkStart w:id="667" w:name="_ce914ebb_f4ca_4882_93b3_e23dfc67a5b1"/>
      <w:bookmarkEnd w:id="656"/>
      <w:bookmarkEnd w:id="657"/>
      <w:bookmarkEnd w:id="658"/>
      <w:bookmarkEnd w:id="659"/>
      <w:bookmarkEnd w:id="660"/>
      <w:bookmarkEnd w:id="661"/>
      <w:bookmarkEnd w:id="662"/>
      <w:bookmarkEnd w:id="663"/>
      <w:bookmarkEnd w:id="664"/>
      <w:bookmarkEnd w:id="665"/>
      <w:bookmarkEnd w:id="666"/>
      <w:bookmarkEnd w:id="667"/>
      <w:r>
        <w:rPr>
          <w:rFonts w:ascii="Arial;Helvetica;sans-serif" w:hAnsi="Arial;Helvetica;sans-serif"/>
          <w:b/>
          <w:sz w:val="24"/>
        </w:rPr>
        <w:t>9. Loss Per Share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Basic and diluted net loss per share attributable to common stockholders was calculated for the periods indicated (in thousands, except share and per share data):</w:t>
      </w:r>
    </w:p>
    <w:tbl>
      <w:tblPr>
        <w:tblW w:w="9762" w:type="dxa"/>
        <w:jc w:val="left"/>
        <w:tblInd w:w="0" w:type="dxa"/>
        <w:tblLayout w:type="fixed"/>
        <w:tblCellMar>
          <w:top w:w="0" w:type="dxa"/>
          <w:left w:w="0" w:type="dxa"/>
          <w:bottom w:w="0" w:type="dxa"/>
          <w:right w:w="0" w:type="dxa"/>
        </w:tblCellMar>
      </w:tblPr>
      <w:tblGrid>
        <w:gridCol w:w="6691"/>
        <w:gridCol w:w="326"/>
        <w:gridCol w:w="211"/>
        <w:gridCol w:w="1066"/>
        <w:gridCol w:w="146"/>
        <w:gridCol w:w="211"/>
        <w:gridCol w:w="1111"/>
      </w:tblGrid>
      <w:tr>
        <w:trPr/>
        <w:tc>
          <w:tcPr>
            <w:tcW w:w="6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48785" cy="175260"/>
                      <wp:effectExtent l="0" t="0" r="0" b="0"/>
                      <wp:wrapNone/>
                      <wp:docPr id="109" name="Frame109"/>
                      <a:graphic xmlns:a="http://schemas.openxmlformats.org/drawingml/2006/main">
                        <a:graphicData uri="http://schemas.microsoft.com/office/word/2010/wordprocessingShape">
                          <wps:wsp>
                            <wps:cNvSpPr txBox="1"/>
                            <wps:spPr>
                              <a:xfrm>
                                <a:off x="0" y="0"/>
                                <a:ext cx="424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76910" cy="175260"/>
                      <wp:effectExtent l="0" t="0" r="0" b="0"/>
                      <wp:wrapNone/>
                      <wp:docPr id="112" name="Frame11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92710" cy="175260"/>
                      <wp:effectExtent l="0" t="0" r="0" b="0"/>
                      <wp:wrapNone/>
                      <wp:docPr id="113" name="Frame1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05485" cy="175260"/>
                      <wp:effectExtent l="0" t="0" r="0" b="0"/>
                      <wp:wrapNone/>
                      <wp:docPr id="115" name="Frame11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74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6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6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146" w:type="dxa"/>
            <w:tcBorders/>
            <w:vAlign w:val="center"/>
          </w:tcPr>
          <w:p>
            <w:pPr>
              <w:pStyle w:val="TableContents"/>
              <w:bidi w:val="0"/>
              <w:spacing w:before="0" w:after="0"/>
              <w:ind w:left="0" w:right="0" w:hanging="0"/>
              <w:jc w:val="left"/>
              <w:rPr/>
            </w:pPr>
            <w:r>
              <w:rPr/>
              <w:t>​</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669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  </w:t>
            </w:r>
          </w:p>
        </w:tc>
      </w:tr>
      <w:tr>
        <w:trPr/>
        <w:tc>
          <w:tcPr>
            <w:tcW w:w="6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(22,186)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(11,374)</w:t>
            </w:r>
          </w:p>
        </w:tc>
      </w:tr>
      <w:tr>
        <w:trPr/>
        <w:tc>
          <w:tcPr>
            <w:tcW w:w="669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pPr>
            <w:r>
              <w:rPr/>
              <w:t>  </w:t>
            </w:r>
          </w:p>
        </w:tc>
      </w:tr>
      <w:tr>
        <w:trPr/>
        <w:tc>
          <w:tcPr>
            <w:tcW w:w="66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common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21,232,009</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20,693,224</w:t>
            </w:r>
          </w:p>
        </w:tc>
      </w:tr>
      <w:tr>
        <w:trPr/>
        <w:tc>
          <w:tcPr>
            <w:tcW w:w="66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attributable to common stockholders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(0.55)</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668" w:name="Tc_zMWbcZxkPkGW_Ws2zzh3qw_5_0"/>
      <w:bookmarkStart w:id="669" w:name="Tc_793DNka220Wk_UlAuwuJeA_4_0"/>
      <w:bookmarkStart w:id="670" w:name="Tc_2dsTyoPvd0idntDbqLiPug_3_4"/>
      <w:bookmarkStart w:id="671" w:name="Tc_f83kMeu7t0i0-qMiwZTCdw_3_2"/>
      <w:bookmarkStart w:id="672" w:name="Tc_HfPn5NvzAU2A45AyoDNBgw_2_2"/>
      <w:bookmarkStart w:id="673" w:name="Tc_nbnvuIZimUazWfhqncOtvA_1_2"/>
      <w:bookmarkStart w:id="674" w:name="_Hlk78985748"/>
      <w:bookmarkEnd w:id="668"/>
      <w:bookmarkEnd w:id="669"/>
      <w:bookmarkEnd w:id="670"/>
      <w:bookmarkEnd w:id="671"/>
      <w:bookmarkEnd w:id="672"/>
      <w:bookmarkEnd w:id="673"/>
      <w:bookmarkEnd w:id="674"/>
      <w:r>
        <w:rPr>
          <w:rFonts w:ascii="Arial;Helvetica;sans-serif" w:hAnsi="Arial;Helvetica;sans-serif"/>
          <w:sz w:val="20"/>
        </w:rPr>
        <w:t>Our potentially dilutive securities, which include stock options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hanging="0"/>
        <w:jc w:val="left"/>
        <w:rPr/>
      </w:pPr>
      <w:r>
        <w:rPr/>
        <w:t>​</w:t>
      </w:r>
    </w:p>
    <w:tbl>
      <w:tblPr>
        <w:tblW w:w="6022" w:type="dxa"/>
        <w:jc w:val="left"/>
        <w:tblInd w:w="0" w:type="dxa"/>
        <w:tblLayout w:type="fixed"/>
        <w:tblCellMar>
          <w:top w:w="0" w:type="dxa"/>
          <w:left w:w="0" w:type="dxa"/>
          <w:bottom w:w="0" w:type="dxa"/>
          <w:right w:w="0" w:type="dxa"/>
        </w:tblCellMar>
      </w:tblPr>
      <w:tblGrid>
        <w:gridCol w:w="3331"/>
        <w:gridCol w:w="326"/>
        <w:gridCol w:w="961"/>
        <w:gridCol w:w="326"/>
        <w:gridCol w:w="1078"/>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15185" cy="175260"/>
                      <wp:effectExtent l="0" t="0" r="0" b="0"/>
                      <wp:wrapNone/>
                      <wp:docPr id="116" name="Frame116"/>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10235" cy="175260"/>
                      <wp:effectExtent l="0" t="0" r="0" b="0"/>
                      <wp:wrapNone/>
                      <wp:docPr id="118" name="Frame11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84530" cy="175260"/>
                      <wp:effectExtent l="0" t="0" r="0" b="0"/>
                      <wp:wrapNone/>
                      <wp:docPr id="120" name="Frame120"/>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65" w:type="dxa"/>
            <w:gridSpan w:val="3"/>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to purchase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5,236,408</w:t>
            </w:r>
          </w:p>
        </w:tc>
        <w:tc>
          <w:tcPr>
            <w:tcW w:w="326"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4,426,605</w:t>
            </w:r>
          </w:p>
        </w:tc>
      </w:tr>
      <w:tr>
        <w:trPr/>
        <w:tc>
          <w:tcPr>
            <w:tcW w:w="3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Warrants to purchase common stock</w:t>
            </w:r>
          </w:p>
        </w:tc>
        <w:tc>
          <w:tcPr>
            <w:tcW w:w="32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108,406</w:t>
            </w:r>
          </w:p>
        </w:tc>
        <w:tc>
          <w:tcPr>
            <w:tcW w:w="326" w:type="dxa"/>
            <w:tcBorders/>
            <w:vAlign w:val="center"/>
          </w:tcPr>
          <w:p>
            <w:pPr>
              <w:pStyle w:val="TableContents"/>
              <w:bidi w:val="0"/>
              <w:spacing w:before="0" w:after="0"/>
              <w:ind w:left="0" w:right="0" w:hanging="0"/>
              <w:jc w:val="left"/>
              <w:rPr/>
            </w:pPr>
            <w:r>
              <w:rPr/>
              <w:t>​</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716,131</w:t>
            </w:r>
          </w:p>
        </w:tc>
      </w:tr>
      <w:tr>
        <w:trPr/>
        <w:tc>
          <w:tcPr>
            <w:tcW w:w="33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5,344,814</w:t>
            </w:r>
          </w:p>
        </w:tc>
        <w:tc>
          <w:tcPr>
            <w:tcW w:w="326" w:type="dxa"/>
            <w:tcBorders/>
            <w:shd w:fill="CCEEFF" w:val="clear"/>
            <w:vAlign w:val="center"/>
          </w:tcPr>
          <w:p>
            <w:pPr>
              <w:pStyle w:val="TableContents"/>
              <w:bidi w:val="0"/>
              <w:spacing w:before="0" w:after="0"/>
              <w:ind w:left="0" w:right="0" w:hanging="0"/>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5,142,736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75" w:name="_01f00bc2_869a_4c66_9ca7_2d4289572e51"/>
      <w:bookmarkStart w:id="676" w:name="_01f00bc2_869a_4c66_9ca7_2d4289572e51"/>
      <w:bookmarkEnd w:id="676"/>
    </w:p>
    <w:tbl>
      <w:tblPr>
        <w:tblW w:w="4367" w:type="dxa"/>
        <w:jc w:val="left"/>
        <w:tblInd w:w="0" w:type="dxa"/>
        <w:tblLayout w:type="fixed"/>
        <w:tblCellMar>
          <w:top w:w="0" w:type="dxa"/>
          <w:left w:w="0" w:type="dxa"/>
          <w:bottom w:w="0" w:type="dxa"/>
          <w:right w:w="0" w:type="dxa"/>
        </w:tblCellMar>
      </w:tblPr>
      <w:tblGrid>
        <w:gridCol w:w="451"/>
        <w:gridCol w:w="3916"/>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10.</w:t>
            </w:r>
          </w:p>
        </w:tc>
        <w:tc>
          <w:tcPr>
            <w:tcW w:w="3916"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Commitments and contingencies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March 31, 2024 or December 31, 2023.</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77" w:name="_a0d7acd9_9e55_46b1_85cf_ac8a56858152"/>
      <w:bookmarkStart w:id="678" w:name="_a0d7acd9_9e55_46b1_85cf_ac8a56858152"/>
      <w:bookmarkEnd w:id="678"/>
    </w:p>
    <w:tbl>
      <w:tblPr>
        <w:tblW w:w="3272" w:type="dxa"/>
        <w:jc w:val="left"/>
        <w:tblInd w:w="0" w:type="dxa"/>
        <w:tblLayout w:type="fixed"/>
        <w:tblCellMar>
          <w:top w:w="0" w:type="dxa"/>
          <w:left w:w="0" w:type="dxa"/>
          <w:bottom w:w="0" w:type="dxa"/>
          <w:right w:w="0" w:type="dxa"/>
        </w:tblCellMar>
      </w:tblPr>
      <w:tblGrid>
        <w:gridCol w:w="451"/>
        <w:gridCol w:w="2821"/>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11.</w:t>
            </w:r>
          </w:p>
        </w:tc>
        <w:tc>
          <w:tcPr>
            <w:tcW w:w="282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Employee benefit plans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$0.2 million and $0 for the three months ended March 31, 2024 and 2023, respectively.</w:t>
        <w:br/>
        <w:t>​</w:t>
      </w:r>
    </w:p>
    <w:tbl>
      <w:tblPr>
        <w:tblW w:w="7742" w:type="dxa"/>
        <w:jc w:val="left"/>
        <w:tblInd w:w="0" w:type="dxa"/>
        <w:tblLayout w:type="fixed"/>
        <w:tblCellMar>
          <w:top w:w="0" w:type="dxa"/>
          <w:left w:w="0" w:type="dxa"/>
          <w:bottom w:w="0" w:type="dxa"/>
          <w:right w:w="0" w:type="dxa"/>
        </w:tblCellMar>
      </w:tblPr>
      <w:tblGrid>
        <w:gridCol w:w="451"/>
        <w:gridCol w:w="7291"/>
      </w:tblGrid>
      <w:tr>
        <w:trPr/>
        <w:tc>
          <w:tcPr>
            <w:tcW w:w="45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12.</w:t>
            </w:r>
          </w:p>
        </w:tc>
        <w:tc>
          <w:tcPr>
            <w:tcW w:w="7291" w:type="dxa"/>
            <w:tcBorders/>
            <w:vAlign w:val="center"/>
          </w:tcPr>
          <w:p>
            <w:pPr>
              <w:pStyle w:val="TableContents"/>
              <w:bidi w:val="0"/>
              <w:spacing w:before="0" w:after="240"/>
              <w:jc w:val="left"/>
              <w:rPr>
                <w:rFonts w:ascii="Arial;Helvetica;sans-serif" w:hAnsi="Arial;Helvetica;sans-serif"/>
                <w:b/>
                <w:sz w:val="24"/>
              </w:rPr>
            </w:pPr>
            <w:r>
              <w:rPr>
                <w:rFonts w:ascii="Arial;Helvetica;sans-serif" w:hAnsi="Arial;Helvetica;sans-serif"/>
                <w:b/>
                <w:sz w:val="24"/>
              </w:rPr>
              <w:t>Segment, geographic information, and revenue disaggregation</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or plans for levels or components below the consolidated unit level. Accordingly, we have determined that we have a single reportable and operating segment structure. We and our Chief Executive Officer evaluate performance based primarily on revenue in the geographic locations in which the Company operates.</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bookmarkStart w:id="679" w:name="Tc_YrUUj69mH0udP5TcCCdgNA_7_5"/>
      <w:bookmarkStart w:id="680" w:name="Tc_JUazl1ZXtUSq3BT0eDvGHg_7_2"/>
      <w:bookmarkStart w:id="681" w:name="Tc_VYyFH_rC8kezQmgjdMREaQ_6_0"/>
      <w:bookmarkStart w:id="682" w:name="Tc_v0Qc3mbveEaPn64zs_UHNA_5_0"/>
      <w:bookmarkStart w:id="683" w:name="Tc_O0wWbDCL-kW4J7kuputKyg_4_5"/>
      <w:bookmarkStart w:id="684" w:name="Tc_hi6rWbd1mUWXIfaCYHiU_w_4_2"/>
      <w:bookmarkStart w:id="685" w:name="Tc_M-AciT_kPEO2peuxh_Af9A_4_0"/>
      <w:bookmarkStart w:id="686" w:name="Tc_4qn3HodJ9UWQgef-mUUWeA_3_5"/>
      <w:bookmarkStart w:id="687" w:name="Tc_wqdZqYXR8Uqj1AvvPPCONw_3_2"/>
      <w:bookmarkStart w:id="688" w:name="Tc_EUvc9w3h7EudyInDXBuylw_2_2"/>
      <w:bookmarkStart w:id="689" w:name="Tc_VRehYM7LFkaEFPh7EK55XQ_1_2"/>
      <w:bookmarkStart w:id="690" w:name="_6966e109_9db4_4f0b_977c_c69d781d356e"/>
      <w:bookmarkEnd w:id="679"/>
      <w:bookmarkEnd w:id="680"/>
      <w:bookmarkEnd w:id="681"/>
      <w:bookmarkEnd w:id="682"/>
      <w:bookmarkEnd w:id="683"/>
      <w:bookmarkEnd w:id="684"/>
      <w:bookmarkEnd w:id="685"/>
      <w:bookmarkEnd w:id="686"/>
      <w:bookmarkEnd w:id="687"/>
      <w:bookmarkEnd w:id="688"/>
      <w:bookmarkEnd w:id="689"/>
      <w:bookmarkEnd w:id="690"/>
      <w:r>
        <w:rPr>
          <w:rFonts w:ascii="Arial;Helvetica;sans-serif" w:hAnsi="Arial;Helvetica;sans-serif"/>
          <w:sz w:val="20"/>
        </w:rPr>
        <w:t>We derive all our revenues from sales to customers in Europe and the U.S. The following table provides revenue by country for each location accounting for more than 10% of the total revenue for the periods indicated (in thousands):</w:t>
      </w:r>
    </w:p>
    <w:tbl>
      <w:tblPr>
        <w:tblW w:w="3924" w:type="dxa"/>
        <w:jc w:val="left"/>
        <w:tblInd w:w="0" w:type="dxa"/>
        <w:tblLayout w:type="fixed"/>
        <w:tblCellMar>
          <w:top w:w="0" w:type="dxa"/>
          <w:left w:w="0" w:type="dxa"/>
          <w:bottom w:w="0" w:type="dxa"/>
          <w:right w:w="0" w:type="dxa"/>
        </w:tblCellMar>
      </w:tblPr>
      <w:tblGrid>
        <w:gridCol w:w="1456"/>
        <w:gridCol w:w="326"/>
        <w:gridCol w:w="211"/>
        <w:gridCol w:w="691"/>
        <w:gridCol w:w="326"/>
        <w:gridCol w:w="211"/>
        <w:gridCol w:w="703"/>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924560" cy="175260"/>
                      <wp:effectExtent l="0" t="0" r="0" b="0"/>
                      <wp:wrapNone/>
                      <wp:docPr id="121" name="Frame12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38785" cy="175260"/>
                      <wp:effectExtent l="0" t="0" r="0" b="0"/>
                      <wp:wrapNone/>
                      <wp:docPr id="124" name="Frame1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46405" cy="175260"/>
                      <wp:effectExtent l="0" t="0" r="0" b="0"/>
                      <wp:wrapNone/>
                      <wp:docPr id="127" name="Frame127"/>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42"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1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6,942</w:t>
            </w:r>
          </w:p>
        </w:tc>
      </w:tr>
      <w:tr>
        <w:trPr/>
        <w:tc>
          <w:tcPr>
            <w:tcW w:w="1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891</w:t>
            </w:r>
          </w:p>
        </w:tc>
      </w:tr>
      <w:tr>
        <w:trPr/>
        <w:tc>
          <w:tcPr>
            <w:tcW w:w="1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countries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7,979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March 31, 2024 and December 31, 2023, long-lived assets were located primarily in the U.S.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4"/>
        </w:rPr>
      </w:pPr>
      <w:bookmarkStart w:id="691" w:name="Item2ManagementsDiscussionandAnalysisofF"/>
      <w:bookmarkStart w:id="692" w:name="_dab111b1_6ca2_4c02_af34_a2d341bc6ec6"/>
      <w:bookmarkEnd w:id="691"/>
      <w:bookmarkEnd w:id="692"/>
      <w:r>
        <w:rPr>
          <w:rFonts w:ascii="Arial;Helvetica;sans-serif" w:hAnsi="Arial;Helvetica;sans-serif"/>
          <w:b/>
          <w:sz w:val="24"/>
        </w:rPr>
        <w:t>Item 2. Management’s Discussion and Analysis of Financial Condition and Results of Operations</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Overview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w:t>
      </w:r>
      <w:r>
        <w:rPr>
          <w:rFonts w:ascii="Arial;Helvetica;sans-serif" w:hAnsi="Arial;Helvetica;sans-serif"/>
          <w:sz w:val="20"/>
          <w:shd w:fill="FFFFFF" w:val="clear"/>
        </w:rPr>
        <w:t>HF with reduced Ejection Fraction (“</w:t>
      </w:r>
      <w:r>
        <w:rPr>
          <w:rFonts w:ascii="Arial;Helvetica;sans-serif" w:hAnsi="Arial;Helvetica;sans-serif"/>
          <w:sz w:val="20"/>
        </w:rPr>
        <w:t>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indicated by the U.S. Food and Drug Administration (“FDA”) for patients who are NYHA Class III or II (who had a recent history of Class III) despite treatment with guideline-directed medical therapies (medications and devices), have a LVEF ≤ 35% and a NT-proBNP &lt; 1600 pg/m and is CE Marked for HFrEF and resistant hypertension.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costs for the device and implantation procedure are reimbursed through various third-party payers, such as government agencies and commercial payers. In the U.S., we estimate that 67% of our target patient population is Medicare-eligible based on the age demographic of the HFrEF patient population indicated for Barostim. As a result, we have prioritized coverage by the</w:t>
      </w:r>
      <w:r>
        <w:rPr>
          <w:rFonts w:ascii="Arial;Helvetica;sans-serif" w:hAnsi="Arial;Helvetica;sans-serif"/>
          <w:sz w:val="20"/>
          <w:shd w:fill="FFFFFF" w:val="clear"/>
        </w:rPr>
        <w:t xml:space="preserve"> Centers for Medicare and Medicaid Services </w:t>
      </w:r>
      <w:r>
        <w:rPr>
          <w:rFonts w:ascii="Arial;Helvetica;sans-serif" w:hAnsi="Arial;Helvetica;sans-serif"/>
          <w:sz w:val="20"/>
        </w:rPr>
        <w:t xml:space="preserve">while simultaneously developing processes to engage commercial payers. All Medicare Administrative Contractors have retired their official automatic coverage denial policies for our Current Procedural Terminology codes, thereby allowing hospitals to submit payment requests for the Barostim procedure to be adjudicated on a claim-by-claim basis. Our reimbursement strategy involves continuing to broaden our current coverage and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such as Germany, where annual healthcare budgets for the hospital generally determine the number of patients to be treated and the prices to be paid for the related devices that may be purchased.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From our inception until the IPO, we financed our operations primarily through preferred stock financings, and additionally, from sales of our Barostim products and amounts borrowed under our credit facilities. We then devoted substantially all of our resources to research and development activities related to Barostim Therapy, including clinical and regulatory initiatives to obtain marketing approval and sales and marketing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used a portion of the IPO proceeds to continue funding the expansion of our direct sales force and commercial organization related to Barostim in the U.S. We have continued investing in research and development to improve clinical outcomes, optimize patient adoption and comfort, increase patient access, and enhance the physician and patient experience. Longer term, we plan to explore Barostim’s potential to expand its indications for use to other cardiovascular diseases.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October 31, 2022, we entered into the Loan Agreement under which we may borrow, subject to our achievement of certain milestones, up to a total of $50.0 million in a series of Term Loans described in Note 4 to our condensed consolidated financial statements included elsewhere in this Quarterly Report on Form 10-Q, and we borrowed $7.5 million of such total on that date to fund our commercial and investment efforts. On March 10, 2023, we borrowed the $7.5 million remaining under the first tranche of the Loan Agreement. On December 15, 2023, we borrowed $15.0 million under the second tranche of the Loan Agreement. W</w:t>
      </w:r>
      <w:r>
        <w:rPr>
          <w:rFonts w:ascii="Arial;Helvetica;sans-serif" w:hAnsi="Arial;Helvetica;sans-serif"/>
          <w:sz w:val="20"/>
          <w:shd w:fill="FFFFFF" w:val="clear"/>
        </w:rPr>
        <w:t>e had $30.0 million in outstanding Term Loans under the Loan Agreement as of March 31, 2024. The Loan Agreement provides for an additional tranche of up to $20.0 million, based on the timing and other conditions set forth in the Loan Agreement. </w:t>
      </w:r>
      <w:r>
        <w:rPr>
          <w:rFonts w:ascii="Arial;Helvetica;sans-serif" w:hAnsi="Arial;Helvetica;sans-serif"/>
          <w:sz w:val="20"/>
        </w:rPr>
        <w:t>As a result of these investments and our commercialization efforts, we expect to continue to incur net losses for the next several years, which may require additional funding and could include future equity and debt financing.</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Recent developments</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In December 2023, the FDA approved expanded labeling for Barostim based on the BeAT-HF trial data, resulting in simplification and clarification of the indications for use as well as inclusion of the primary endpoint results, the 6, 12 and 24 month symptomatic data, the Win Ratio and the all-cause mortality data in the “Clinical Summary” discussion included in Barostim’s instructions for use. This data was published in the European Journal of Heart Failure in April 2024.</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shd w:fill="FFFFFF" w:val="clear"/>
        </w:rPr>
        <w:t xml:space="preserve">We believe our annual market opportunity in the U.S. increased to an estimated $2.2 billion, or 76,000 patients, based on this new long-term safety and </w:t>
      </w:r>
      <w:r>
        <w:rPr>
          <w:rFonts w:ascii="Arial;Helvetica;sans-serif" w:hAnsi="Arial;Helvetica;sans-serif"/>
          <w:sz w:val="20"/>
        </w:rPr>
        <w:t>effectiveness</w:t>
      </w:r>
      <w:r>
        <w:rPr>
          <w:rFonts w:ascii="Arial;Helvetica;sans-serif" w:hAnsi="Arial;Helvetica;sans-serif"/>
          <w:sz w:val="20"/>
          <w:shd w:fill="FFFFFF" w:val="clear"/>
        </w:rPr>
        <w:t xml:space="preserve"> data as well as our commercial experience and, as discussed below, the new reimbursement assignment for Barostim in 2024.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In the 2024 OPPS final rule issued in November 2023, Barostim was reassigned to New Technology APC 1580, which carries an average payment amount of $45,000. The new payment took effect January 1, 2024.</w:t>
      </w:r>
    </w:p>
    <w:p>
      <w:pPr>
        <w:pStyle w:val="TextBody"/>
        <w:bidi w:val="0"/>
        <w:spacing w:before="0" w:after="0"/>
        <w:ind w:left="0" w:right="0" w:hanging="0"/>
        <w:jc w:val="left"/>
        <w:rPr>
          <w:shd w:fill="FFFFFF" w:val="clear"/>
        </w:rPr>
      </w:pPr>
      <w:r>
        <w:rPr>
          <w:shd w:fill="FFFFFF" w:val="clea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On January 31, 2024, we announced that our Board of Directors appointed Kevin Hykes as President and Chief Executive Officer, effective February 12, 2024. Mr. Hykes succeeded Nadim Yared, who previously announced his plan to retire upon the appointment of his successor. Mr. Hykes has served as a member of the Board of Directors since December 2022 and remained on the Board of Directors. Mr. Yared retired from the Board at the time of his retirement as Chief Executive Officer. </w:t>
      </w:r>
    </w:p>
    <w:p>
      <w:pPr>
        <w:pStyle w:val="TextBody"/>
        <w:bidi w:val="0"/>
        <w:spacing w:before="0" w:after="0"/>
        <w:ind w:left="0" w:right="0" w:hanging="0"/>
        <w:jc w:val="left"/>
        <w:rPr>
          <w:shd w:fill="FFFFFF" w:val="clear"/>
        </w:rPr>
      </w:pPr>
      <w:r>
        <w:rPr>
          <w:shd w:fill="FFFFFF" w:val="clear"/>
        </w:rPr>
        <w:t>​</w:t>
      </w:r>
    </w:p>
    <w:p>
      <w:pPr>
        <w:pStyle w:val="TextBody"/>
        <w:bidi w:val="0"/>
        <w:spacing w:before="280" w:after="12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In April 2024, we announced the termination of the employment of our Senior Vice President of U.S. Sales, effective April 29, 2024. Pursuant to his employment agreements, he is eligible for severance benefits provided that he signs a release of claims in favor of the Company and complies with certain covenants, including non-competition and non-solicitation restrictions.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In April 2024, we announced that we were suspending enrollment in the BATwire clinical trial due to slow enrollment, given that many patient candidates elected the commercially approved procedure, as opposed to participating in the trial. We intend to continue following the patients enrolled in the BATwire trial until the study is completed.</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Factors affecting our performance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there are several important factors that have impacted and that we expect will continue to impact our business and results of operations. These factors include:</w:t>
      </w:r>
    </w:p>
    <w:tbl>
      <w:tblPr>
        <w:tblW w:w="5477" w:type="dxa"/>
        <w:jc w:val="left"/>
        <w:tblInd w:w="0" w:type="dxa"/>
        <w:tblLayout w:type="fixed"/>
        <w:tblCellMar>
          <w:top w:w="0" w:type="dxa"/>
          <w:left w:w="0" w:type="dxa"/>
          <w:bottom w:w="0" w:type="dxa"/>
          <w:right w:w="0" w:type="dxa"/>
        </w:tblCellMar>
      </w:tblPr>
      <w:tblGrid>
        <w:gridCol w:w="271"/>
        <w:gridCol w:w="5206"/>
      </w:tblGrid>
      <w:tr>
        <w:trPr/>
        <w:tc>
          <w:tcPr>
            <w:tcW w:w="271" w:type="dxa"/>
            <w:tcBorders/>
            <w:vAlign w:val="center"/>
          </w:tcPr>
          <w:p>
            <w:pPr>
              <w:pStyle w:val="TableContents"/>
              <w:bidi w:val="0"/>
              <w:spacing w:before="0" w:after="283"/>
              <w:jc w:val="left"/>
              <w:rPr>
                <w:color w:val="231F20"/>
              </w:rPr>
            </w:pPr>
            <w:r>
              <w:rPr>
                <w:color w:val="231F20"/>
              </w:rPr>
              <w:t>●</w:t>
            </w:r>
          </w:p>
        </w:tc>
        <w:tc>
          <w:tcPr>
            <w:tcW w:w="520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Growing and supporting our U.S. commercial organization;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Seeking expanded labeling for Barostim and promoting awareness among physicians, hospitals and patients to accelerate adoption of Barostim;</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color w:val="231F20"/>
              </w:rPr>
            </w:pPr>
            <w:r>
              <w:rPr>
                <w:color w:val="231F20"/>
              </w:rPr>
              <w:t>●</w:t>
            </w:r>
          </w:p>
        </w:tc>
        <w:tc>
          <w:tcPr>
            <w:tcW w:w="678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Raising awareness among payers to build upon reimbursement for Barostim;</w:t>
            </w:r>
          </w:p>
        </w:tc>
      </w:tr>
    </w:tbl>
    <w:tbl>
      <w:tblPr>
        <w:tblW w:w="5942" w:type="dxa"/>
        <w:jc w:val="left"/>
        <w:tblInd w:w="0" w:type="dxa"/>
        <w:tblLayout w:type="fixed"/>
        <w:tblCellMar>
          <w:top w:w="0" w:type="dxa"/>
          <w:left w:w="0" w:type="dxa"/>
          <w:bottom w:w="0" w:type="dxa"/>
          <w:right w:w="0" w:type="dxa"/>
        </w:tblCellMar>
      </w:tblPr>
      <w:tblGrid>
        <w:gridCol w:w="271"/>
        <w:gridCol w:w="5671"/>
      </w:tblGrid>
      <w:tr>
        <w:trPr/>
        <w:tc>
          <w:tcPr>
            <w:tcW w:w="271" w:type="dxa"/>
            <w:tcBorders/>
            <w:vAlign w:val="center"/>
          </w:tcPr>
          <w:p>
            <w:pPr>
              <w:pStyle w:val="TableContents"/>
              <w:bidi w:val="0"/>
              <w:spacing w:before="0" w:after="283"/>
              <w:jc w:val="left"/>
              <w:rPr>
                <w:color w:val="231F20"/>
              </w:rPr>
            </w:pPr>
            <w:r>
              <w:rPr>
                <w:color w:val="231F20"/>
              </w:rPr>
              <w:t>●</w:t>
            </w:r>
          </w:p>
        </w:tc>
        <w:tc>
          <w:tcPr>
            <w:tcW w:w="567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Investing in research and development to foster innovation; and</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color w:val="231F20"/>
              </w:rPr>
            </w:pPr>
            <w:r>
              <w:rPr>
                <w:color w:val="231F20"/>
              </w:rPr>
              <w:t>●</w:t>
            </w:r>
          </w:p>
        </w:tc>
        <w:tc>
          <w:tcPr>
            <w:tcW w:w="678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Leveraging our manufacturing capacity to further improve our gross margins.</w:t>
            </w:r>
          </w:p>
        </w:tc>
      </w:tr>
    </w:tbl>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Components of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Revenue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 by the expansion of our U.S. sales force, as well as by seeking expanded labeling for Barostim. As a result, we expect that U.S. sales will continue to account for the majority of our revenue going forward.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Cost of goods sold and gross margin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Cost of goods sold consists primarily of acquisition costs of the components and subassemblies of Barostim, allocated manufacturing overhead and scrap and inventory obsolescence, as well as distribution-related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 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Selling, general and administrative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Interest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expense consists of interest on our debt and amortization of associated financing costs.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income,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Other income, net consists primarily of interest income on our interest-bearing accounts, partially offset by the effect of exchange rates on our foreign currency-denominated asset and liability balances.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Provision for 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Provision for income taxes consists primarily of income taxes in foreign jurisdictions in which we conduct business. We maintain a full valuation allowance for deferred tax assets including NOL carryforwards, R&amp;D credits and other tax credits.</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Consolidated results of operations for the three months ended March 31, 2024, compared to the three months ended March 31, 2023</w:t>
      </w:r>
    </w:p>
    <w:tbl>
      <w:tblPr>
        <w:tblW w:w="8403" w:type="dxa"/>
        <w:jc w:val="left"/>
        <w:tblInd w:w="0" w:type="dxa"/>
        <w:tblLayout w:type="fixed"/>
        <w:tblCellMar>
          <w:top w:w="0" w:type="dxa"/>
          <w:left w:w="0" w:type="dxa"/>
          <w:bottom w:w="0" w:type="dxa"/>
          <w:right w:w="0" w:type="dxa"/>
        </w:tblCellMar>
      </w:tblPr>
      <w:tblGrid>
        <w:gridCol w:w="3106"/>
        <w:gridCol w:w="326"/>
        <w:gridCol w:w="211"/>
        <w:gridCol w:w="811"/>
        <w:gridCol w:w="406"/>
        <w:gridCol w:w="211"/>
        <w:gridCol w:w="811"/>
        <w:gridCol w:w="406"/>
        <w:gridCol w:w="211"/>
        <w:gridCol w:w="811"/>
        <w:gridCol w:w="326"/>
        <w:gridCol w:w="436"/>
        <w:gridCol w:w="33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972310" cy="175260"/>
                      <wp:effectExtent l="0" t="0" r="0" b="0"/>
                      <wp:wrapNone/>
                      <wp:docPr id="128" name="Frame128"/>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14985" cy="175260"/>
                      <wp:effectExtent l="0" t="0" r="0" b="0"/>
                      <wp:wrapNone/>
                      <wp:docPr id="131" name="Frame13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57810" cy="175260"/>
                      <wp:effectExtent l="0" t="0" r="0" b="0"/>
                      <wp:wrapNone/>
                      <wp:docPr id="132" name="Frame13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14985" cy="175260"/>
                      <wp:effectExtent l="0" t="0" r="0" b="0"/>
                      <wp:wrapNone/>
                      <wp:docPr id="134" name="Frame13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57810" cy="175260"/>
                      <wp:effectExtent l="0" t="0" r="0" b="0"/>
                      <wp:wrapNone/>
                      <wp:docPr id="135" name="Frame13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14985" cy="175260"/>
                      <wp:effectExtent l="0" t="0" r="0" b="0"/>
                      <wp:wrapNone/>
                      <wp:docPr id="137" name="Frame13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76860" cy="175260"/>
                      <wp:effectExtent l="0" t="0" r="0" b="0"/>
                      <wp:wrapNone/>
                      <wp:docPr id="139" name="Frame13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0185" cy="175260"/>
                      <wp:effectExtent l="0" t="0" r="0" b="0"/>
                      <wp:wrapNone/>
                      <wp:docPr id="140" name="Frame14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5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 </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406" w:type="dxa"/>
            <w:tcBorders/>
            <w:vAlign w:val="center"/>
          </w:tcPr>
          <w:p>
            <w:pPr>
              <w:pStyle w:val="TableContents"/>
              <w:bidi w:val="0"/>
              <w:spacing w:before="0" w:after="1"/>
              <w:ind w:left="0" w:right="0" w:hanging="0"/>
              <w:jc w:val="left"/>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1"/>
              <w:ind w:left="0" w:right="0" w:hanging="0"/>
              <w:jc w:val="center"/>
              <w:rPr/>
            </w:pPr>
            <w:r>
              <w:rPr/>
              <w:t>​</w:t>
            </w:r>
          </w:p>
        </w:tc>
      </w:tr>
      <w:tr>
        <w:trPr/>
        <w:tc>
          <w:tcPr>
            <w:tcW w:w="310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40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1"/>
              <w:ind w:left="0" w:right="0" w:hanging="0"/>
              <w:jc w:val="center"/>
              <w:rPr/>
            </w:pPr>
            <w:r>
              <w:rPr/>
              <w:t> </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10,770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7,979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2,791</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1,328</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287</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9,155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6,651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2,504</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3,057</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3,416</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(359)</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28,330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15,397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12,933</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31,387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18,813</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12,574</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(22,232)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(12,162)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(10,070)</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(720)</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(22,148)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(11,340)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(10,808)</w:t>
            </w:r>
          </w:p>
        </w:tc>
        <w:tc>
          <w:tcPr>
            <w:tcW w:w="32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(22,186)</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(11,374)</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(10,812)</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Arial;Helvetica;sans-serif" w:hAnsi="Arial;Helvetica;sans-serif"/>
          <w:b/>
          <w:i/>
          <w:sz w:val="20"/>
        </w:rPr>
      </w:pPr>
      <w:r>
        <w:rPr>
          <w:rFonts w:ascii="Arial;Helvetica;sans-serif" w:hAnsi="Arial;Helvetica;sans-serif"/>
          <w:b/>
          <w:i/>
          <w:sz w:val="20"/>
        </w:rPr>
        <w:t>The following table provides revenue by geography:</w:t>
      </w:r>
    </w:p>
    <w:tbl>
      <w:tblPr>
        <w:tblW w:w="6369" w:type="dxa"/>
        <w:jc w:val="left"/>
        <w:tblInd w:w="0" w:type="dxa"/>
        <w:tblLayout w:type="fixed"/>
        <w:tblCellMar>
          <w:top w:w="0" w:type="dxa"/>
          <w:left w:w="0" w:type="dxa"/>
          <w:bottom w:w="0" w:type="dxa"/>
          <w:right w:w="0" w:type="dxa"/>
        </w:tblCellMar>
      </w:tblPr>
      <w:tblGrid>
        <w:gridCol w:w="2236"/>
        <w:gridCol w:w="109"/>
        <w:gridCol w:w="211"/>
        <w:gridCol w:w="691"/>
        <w:gridCol w:w="326"/>
        <w:gridCol w:w="211"/>
        <w:gridCol w:w="586"/>
        <w:gridCol w:w="109"/>
        <w:gridCol w:w="211"/>
        <w:gridCol w:w="586"/>
        <w:gridCol w:w="326"/>
        <w:gridCol w:w="436"/>
        <w:gridCol w:w="33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419860" cy="175260"/>
                      <wp:effectExtent l="0" t="0" r="0" b="0"/>
                      <wp:wrapNone/>
                      <wp:docPr id="141" name="Frame14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38785" cy="175260"/>
                      <wp:effectExtent l="0" t="0" r="0" b="0"/>
                      <wp:wrapNone/>
                      <wp:docPr id="144" name="Frame1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72110" cy="175260"/>
                      <wp:effectExtent l="0" t="0" r="0" b="0"/>
                      <wp:wrapNone/>
                      <wp:docPr id="147" name="Frame1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72110" cy="175260"/>
                      <wp:effectExtent l="0" t="0" r="0" b="0"/>
                      <wp:wrapNone/>
                      <wp:docPr id="150" name="Frame15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76860" cy="175260"/>
                      <wp:effectExtent l="0" t="0" r="0" b="0"/>
                      <wp:wrapNone/>
                      <wp:docPr id="152" name="Frame15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0185" cy="175260"/>
                      <wp:effectExtent l="0" t="0" r="0" b="0"/>
                      <wp:wrapNone/>
                      <wp:docPr id="153" name="Frame15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025"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109" w:type="dxa"/>
            <w:tcBorders/>
            <w:vAlign w:val="center"/>
          </w:tcPr>
          <w:p>
            <w:pPr>
              <w:pStyle w:val="TableContents"/>
              <w:bidi w:val="0"/>
              <w:spacing w:before="0" w:after="1"/>
              <w:ind w:left="0" w:right="0" w:hanging="0"/>
              <w:jc w:val="left"/>
              <w:rPr/>
            </w:pPr>
            <w:r>
              <w:rPr/>
              <w:t>​</w:t>
            </w:r>
          </w:p>
        </w:tc>
        <w:tc>
          <w:tcPr>
            <w:tcW w:w="15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Change</w:t>
            </w:r>
          </w:p>
        </w:tc>
        <w:tc>
          <w:tcPr>
            <w:tcW w:w="331" w:type="dxa"/>
            <w:tcBorders/>
            <w:vAlign w:val="center"/>
          </w:tcPr>
          <w:p>
            <w:pPr>
              <w:pStyle w:val="TableContents"/>
              <w:bidi w:val="0"/>
              <w:spacing w:before="0" w:after="1"/>
              <w:ind w:left="0" w:right="0" w:hanging="0"/>
              <w:jc w:val="center"/>
              <w:rPr/>
            </w:pPr>
            <w:r>
              <w:rPr/>
              <w:t>​</w: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i/>
                <w:sz w:val="16"/>
              </w:rPr>
            </w:pPr>
            <w:r>
              <w:rPr>
                <w:rFonts w:ascii="Arial;Helvetica;sans-serif" w:hAnsi="Arial;Helvetica;sans-serif"/>
                <w:i/>
                <w:sz w:val="16"/>
              </w:rPr>
              <w:t>(unaudited and in thousands)</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vAlign w:val="center"/>
          </w:tcPr>
          <w:p>
            <w:pPr>
              <w:pStyle w:val="TableContents"/>
              <w:bidi w:val="0"/>
              <w:spacing w:before="0" w:after="1"/>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w:t>
            </w:r>
          </w:p>
        </w:tc>
        <w:tc>
          <w:tcPr>
            <w:tcW w:w="331" w:type="dxa"/>
            <w:tcBorders/>
            <w:vAlign w:val="center"/>
          </w:tcPr>
          <w:p>
            <w:pPr>
              <w:pStyle w:val="TableContents"/>
              <w:bidi w:val="0"/>
              <w:spacing w:before="0" w:after="1"/>
              <w:ind w:left="0" w:right="0" w:hanging="0"/>
              <w:jc w:val="center"/>
              <w:rPr/>
            </w:pPr>
            <w:r>
              <w:rPr/>
              <w:t> </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2,893</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Europe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2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2,791</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Revenue was $10.8 million for the three months ended March 31, 2024, an increase of $2.8 million, or 35%, over the three months ended March 31, 2023.</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Revenue generated in the U.S. was $9.8 million for the three months ended March 31, 2024, an increase of $2.9 million, or 42%, over the three months ended March 31, 2023. HF revenue units in the U.S. totaled 319 and 225 for the three months ended March 31, 2024 and 2023, respectively. HF revenue in the U.S. totaled $9.7 million and $6.8 million for the three months ended March 31, 2024 and 2023, respectively. The increases were primarily driven by continued growth in the U.S. HF business as a result of the expansion into new sales territories, new accounts, and increased physician and patient awareness of Barostim. These increases were partially offset by decreased productivity in February due primarily to turnover within the sales organization. We implemented actions to address these challenges in our U.S. Heart Failure business to rebuild these territories, resulting in stronger performance in March.</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March 31, 2024, we had a total of 190 active implanting centers, as compared to 122 as of March 31, 2023. Active implanting centers are customers that have completed at least one commercial HF implant in the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last 12 months. As of March 31, 2024, we had a total of 39 sales territories as compared to 29 as of March 31, 2023.</w:t>
      </w:r>
      <w:r>
        <w:rPr>
          <w:rFonts w:ascii="Arial;Helvetica;sans-serif" w:hAnsi="Arial;Helvetica;sans-serif"/>
          <w:sz w:val="20"/>
          <w:shd w:fill="FFFFFF" w:val="clear"/>
        </w:rPr>
        <w:t xml:space="preserve"> </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Revenue generated in Europe was $0.9 million for the three months ended March 31, 2024, a decrease of $0.1 million, or 10%, over the three months ended March 31, 2023. Total revenue units in Europe decreased to 44 for the three months ended March 31, 2024, as compared to 52 in the prior year period. As of both March 31, 2024 and 2023, we had six sales territories in Europe.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Cost of goods sold and gross margin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Cost of goods sold increased $0.3 million, or 22%, to $1.6 million for the three months ended March 31, 2024, compared to the three months ended March 31, 2023. This increase was driven by higher sales of Barostim.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Gross profit was $9.2 million for the three months ended March 31, 2024, an increase of $2.5 million, or 38%, over the three months ended March 31, 2023. Gross margin increased to 85% for the three months ended March 31, 2024, compared to 83% for the three months ended March 31, 2023. This increase was due primarily to a decrease in the cost per unit driven by an increase in the production volume.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R&amp;D expenses decreased $0.4 million, or 11%, to $3.1 million for the three months ended March 31, 2024, compared to the three months ended March 31, 2023. This change was driven by a $0.2 million decrease in non-cash stock-based compensation expense, and a $0.2 million decrease in consulting expenses.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Selling, general and administrative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SG&amp;A expenses increased $12.9 million, or 84%, to $28.3 million for the three months ended March 31, 2024, compared to the three months ended March 31, 2023. This change was primarily driven by a $9.6 million increase in non-cash stock-based compensation expense, a $2.0 million increase in compensation expenses, mainly as a result of increased headcount, and a $0.6 million increase in travel expenses. Approximately $8.4 million of the increase in non-cash stock-based compensation expense is related to the modification of stock options held by the former CEO in connection with his retirement in the first quarter of 2024 described in Note 7 to our condensed consolidated financial statements included elsewhere in this Quarterly Report on Form 10-Q.</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expense increased $0.7 million for the three months ended March 31, 2024, compared to the three months ended March 31, 2023. This increase was driven by the interest expense on borrowings under the Loan Agreement entered into on October 31, 2022.</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Other income, net decreased $18,000 for the three months ended March 31, 2024, compared to the three months ended March 31, 2023. This decrease was primarily driven a lower cash balance in our interest-bearing accounts.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Provision for 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Provision for income taxes was nominal for each of the three months ended March 31, 2024 and March 31, 2023.</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Liquidity, capital resources and plan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have incurred significant operating losses and negative cash flows from operations since our inception, and we anticipate that we will incur significant losses for at least the next several years. As of March 31, 2024 and December 31, 2023, we had cash and cash equivalents of $80.1 million and $90.6 million, respectively. </w:t>
      </w:r>
      <w:r>
        <w:rPr>
          <w:rFonts w:ascii="Arial;Helvetica;sans-serif" w:hAnsi="Arial;Helvetica;sans-serif"/>
          <w:sz w:val="20"/>
          <w:shd w:fill="FFFFFF" w:val="clear"/>
        </w:rPr>
        <w:t>For the three months ended March 31, 2024 and 2023, our net losses were $22.2 million and $11.4 million, respectively.</w:t>
      </w:r>
      <w:r>
        <w:rPr>
          <w:rFonts w:ascii="Arial;Helvetica;sans-serif" w:hAnsi="Arial;Helvetica;sans-serif"/>
          <w:sz w:val="20"/>
        </w:rPr>
        <w:t xml:space="preserve"> Our net cash used in operating activities for the three months ended March 31, 2024 and 2023 was $10.9 million and $10.2 million, respectively.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On October 31, 2022, we entered into the Loan Agreement under which we may borrow, subject to our achievement of certain milestones, up to a total of $50.0 million in a series of Term Loans described in Note 4 to our condensed consolidated financial statements included elsewhere in this Quarterly Report on Form 10-Q, and we borrowed $7.5 million of such total on that date to fund our commercial and investment efforts. On March 10, 2023, we borrowed the $7.5 million remaining under the first tranche of the Loan Agreement. On December 15, 2023, we borrowed $15.0 million under the second tranche of the Loan Agreement. We had $30.0 million </w:t>
      </w:r>
      <w:r>
        <w:rPr>
          <w:rFonts w:ascii="Arial;Helvetica;sans-serif" w:hAnsi="Arial;Helvetica;sans-serif"/>
          <w:sz w:val="20"/>
          <w:shd w:fill="FFFFFF" w:val="clear"/>
        </w:rPr>
        <w:t>in outstanding Term Loans under the Loan Agreement as of March 31, 2024. The Loan Agreement provides for an additional tranche of up to $20.0 million, based on the timing and other conditions set forth in the Loan Agreement.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November 4, 2022, we entered into an Equity Distribution Agreement with Piper Sandler &amp; Co., as agent, under which we may offer and sell, from time to time at our sole discretion, shares of our common stock having an aggregate offering price of up to $50.0 million in an “at-the-market” or ATM offering, to or through the agent. In January 2024, we commenced this ATM offering and issued 23,364 shares of common stock for gross proceeds of $0.6 million under the ATM offering during the three months ended March 31, 2024. We have remaining capacity to issue and sell up to approximately $49.4 million of additional shares of common stock under this ATM offering.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liquidity and capital funding requirements will depend on numerous factors, including:</w:t>
      </w:r>
    </w:p>
    <w:tbl>
      <w:tblPr>
        <w:tblW w:w="6527" w:type="dxa"/>
        <w:jc w:val="left"/>
        <w:tblInd w:w="0" w:type="dxa"/>
        <w:tblLayout w:type="fixed"/>
        <w:tblCellMar>
          <w:top w:w="0" w:type="dxa"/>
          <w:left w:w="0" w:type="dxa"/>
          <w:bottom w:w="0" w:type="dxa"/>
          <w:right w:w="0" w:type="dxa"/>
        </w:tblCellMar>
      </w:tblPr>
      <w:tblGrid>
        <w:gridCol w:w="271"/>
        <w:gridCol w:w="6256"/>
      </w:tblGrid>
      <w:tr>
        <w:trPr/>
        <w:tc>
          <w:tcPr>
            <w:tcW w:w="271" w:type="dxa"/>
            <w:tcBorders/>
            <w:vAlign w:val="center"/>
          </w:tcPr>
          <w:p>
            <w:pPr>
              <w:pStyle w:val="TableContents"/>
              <w:bidi w:val="0"/>
              <w:spacing w:before="0" w:after="283"/>
              <w:jc w:val="left"/>
              <w:rPr>
                <w:color w:val="231F20"/>
              </w:rPr>
            </w:pPr>
            <w:r>
              <w:rPr>
                <w:color w:val="231F20"/>
              </w:rPr>
              <w:t>●</w:t>
            </w:r>
          </w:p>
        </w:tc>
        <w:tc>
          <w:tcPr>
            <w:tcW w:w="625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investment in our U.S. commercial infrastructure and sales forces;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degree and rate of market acceptance of Barostim and the ability for our customers to obtain appropriate levels of reimbursement;</w:t>
            </w:r>
          </w:p>
        </w:tc>
      </w:tr>
    </w:tbl>
    <w:tbl>
      <w:tblPr>
        <w:tblW w:w="9812" w:type="dxa"/>
        <w:jc w:val="left"/>
        <w:tblInd w:w="0" w:type="dxa"/>
        <w:tblLayout w:type="fixed"/>
        <w:tblCellMar>
          <w:top w:w="0" w:type="dxa"/>
          <w:left w:w="0" w:type="dxa"/>
          <w:bottom w:w="0" w:type="dxa"/>
          <w:right w:w="0" w:type="dxa"/>
        </w:tblCellMar>
      </w:tblPr>
      <w:tblGrid>
        <w:gridCol w:w="271"/>
        <w:gridCol w:w="9541"/>
      </w:tblGrid>
      <w:tr>
        <w:trPr/>
        <w:tc>
          <w:tcPr>
            <w:tcW w:w="271" w:type="dxa"/>
            <w:tcBorders/>
            <w:vAlign w:val="center"/>
          </w:tcPr>
          <w:p>
            <w:pPr>
              <w:pStyle w:val="TableContents"/>
              <w:bidi w:val="0"/>
              <w:spacing w:before="0" w:after="283"/>
              <w:jc w:val="left"/>
              <w:rPr>
                <w:color w:val="231F20"/>
              </w:rPr>
            </w:pPr>
            <w:r>
              <w:rPr>
                <w:color w:val="231F20"/>
              </w:rPr>
              <w:t>●</w:t>
            </w:r>
          </w:p>
        </w:tc>
        <w:tc>
          <w:tcPr>
            <w:tcW w:w="954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commercialization activities, including product sales, marketing, manufacturing and distribution;</w:t>
            </w:r>
          </w:p>
        </w:tc>
      </w:tr>
    </w:tbl>
    <w:tbl>
      <w:tblPr>
        <w:tblW w:w="6992" w:type="dxa"/>
        <w:jc w:val="left"/>
        <w:tblInd w:w="0" w:type="dxa"/>
        <w:tblLayout w:type="fixed"/>
        <w:tblCellMar>
          <w:top w:w="0" w:type="dxa"/>
          <w:left w:w="0" w:type="dxa"/>
          <w:bottom w:w="0" w:type="dxa"/>
          <w:right w:w="0" w:type="dxa"/>
        </w:tblCellMar>
      </w:tblPr>
      <w:tblGrid>
        <w:gridCol w:w="271"/>
        <w:gridCol w:w="6721"/>
      </w:tblGrid>
      <w:tr>
        <w:trPr/>
        <w:tc>
          <w:tcPr>
            <w:tcW w:w="271" w:type="dxa"/>
            <w:tcBorders/>
            <w:vAlign w:val="center"/>
          </w:tcPr>
          <w:p>
            <w:pPr>
              <w:pStyle w:val="TableContents"/>
              <w:bidi w:val="0"/>
              <w:spacing w:before="0" w:after="283"/>
              <w:jc w:val="left"/>
              <w:rPr>
                <w:color w:val="231F20"/>
              </w:rPr>
            </w:pPr>
            <w:r>
              <w:rPr>
                <w:color w:val="231F20"/>
              </w:rPr>
              <w:t>●</w:t>
            </w:r>
          </w:p>
        </w:tc>
        <w:tc>
          <w:tcPr>
            <w:tcW w:w="672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R&amp;D activities for product enhancements and to expand our indications;</w:t>
            </w:r>
          </w:p>
        </w:tc>
      </w:tr>
    </w:tbl>
    <w:tbl>
      <w:tblPr>
        <w:tblW w:w="10067" w:type="dxa"/>
        <w:jc w:val="left"/>
        <w:tblInd w:w="0" w:type="dxa"/>
        <w:tblLayout w:type="fixed"/>
        <w:tblCellMar>
          <w:top w:w="0" w:type="dxa"/>
          <w:left w:w="0" w:type="dxa"/>
          <w:bottom w:w="0" w:type="dxa"/>
          <w:right w:w="0" w:type="dxa"/>
        </w:tblCellMar>
      </w:tblPr>
      <w:tblGrid>
        <w:gridCol w:w="271"/>
        <w:gridCol w:w="9796"/>
      </w:tblGrid>
      <w:tr>
        <w:trPr/>
        <w:tc>
          <w:tcPr>
            <w:tcW w:w="271" w:type="dxa"/>
            <w:tcBorders/>
            <w:vAlign w:val="center"/>
          </w:tcPr>
          <w:p>
            <w:pPr>
              <w:pStyle w:val="TableContents"/>
              <w:bidi w:val="0"/>
              <w:spacing w:before="0" w:after="283"/>
              <w:jc w:val="left"/>
              <w:rPr>
                <w:color w:val="231F20"/>
              </w:rPr>
            </w:pPr>
            <w:r>
              <w:rPr>
                <w:color w:val="231F20"/>
              </w:rPr>
              <w:t>●</w:t>
            </w:r>
          </w:p>
        </w:tc>
        <w:tc>
          <w:tcPr>
            <w:tcW w:w="979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filing, prosecuting, defending and enforcing any patent claims and other intellectual property rights;</w:t>
            </w:r>
          </w:p>
        </w:tc>
      </w:tr>
    </w:tbl>
    <w:tbl>
      <w:tblPr>
        <w:tblW w:w="6377" w:type="dxa"/>
        <w:jc w:val="left"/>
        <w:tblInd w:w="0" w:type="dxa"/>
        <w:tblLayout w:type="fixed"/>
        <w:tblCellMar>
          <w:top w:w="0" w:type="dxa"/>
          <w:left w:w="0" w:type="dxa"/>
          <w:bottom w:w="0" w:type="dxa"/>
          <w:right w:w="0" w:type="dxa"/>
        </w:tblCellMar>
      </w:tblPr>
      <w:tblGrid>
        <w:gridCol w:w="271"/>
        <w:gridCol w:w="6106"/>
      </w:tblGrid>
      <w:tr>
        <w:trPr/>
        <w:tc>
          <w:tcPr>
            <w:tcW w:w="271" w:type="dxa"/>
            <w:tcBorders/>
            <w:vAlign w:val="center"/>
          </w:tcPr>
          <w:p>
            <w:pPr>
              <w:pStyle w:val="TableContents"/>
              <w:bidi w:val="0"/>
              <w:spacing w:before="0" w:after="283"/>
              <w:jc w:val="left"/>
              <w:rPr>
                <w:color w:val="231F20"/>
              </w:rPr>
            </w:pPr>
            <w:r>
              <w:rPr>
                <w:color w:val="231F20"/>
              </w:rPr>
              <w:t>●</w:t>
            </w:r>
          </w:p>
        </w:tc>
        <w:tc>
          <w:tcPr>
            <w:tcW w:w="610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need to implement additional infrastructure and internal systems;</w:t>
            </w:r>
          </w:p>
        </w:tc>
      </w:tr>
    </w:tbl>
    <w:tbl>
      <w:tblPr>
        <w:tblW w:w="8162" w:type="dxa"/>
        <w:jc w:val="left"/>
        <w:tblInd w:w="0" w:type="dxa"/>
        <w:tblLayout w:type="fixed"/>
        <w:tblCellMar>
          <w:top w:w="0" w:type="dxa"/>
          <w:left w:w="0" w:type="dxa"/>
          <w:bottom w:w="0" w:type="dxa"/>
          <w:right w:w="0" w:type="dxa"/>
        </w:tblCellMar>
      </w:tblPr>
      <w:tblGrid>
        <w:gridCol w:w="271"/>
        <w:gridCol w:w="7891"/>
      </w:tblGrid>
      <w:tr>
        <w:trPr/>
        <w:tc>
          <w:tcPr>
            <w:tcW w:w="271" w:type="dxa"/>
            <w:tcBorders/>
            <w:vAlign w:val="center"/>
          </w:tcPr>
          <w:p>
            <w:pPr>
              <w:pStyle w:val="TableContents"/>
              <w:bidi w:val="0"/>
              <w:spacing w:before="0" w:after="283"/>
              <w:jc w:val="left"/>
              <w:rPr>
                <w:color w:val="231F20"/>
              </w:rPr>
            </w:pPr>
            <w:r>
              <w:rPr>
                <w:color w:val="231F20"/>
              </w:rPr>
              <w:t>●</w:t>
            </w:r>
          </w:p>
        </w:tc>
        <w:tc>
          <w:tcPr>
            <w:tcW w:w="7891"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hire additional personnel to support our operations as a public company; and</w:t>
            </w:r>
          </w:p>
        </w:tc>
      </w:tr>
    </w:tbl>
    <w:tbl>
      <w:tblPr>
        <w:tblW w:w="7517" w:type="dxa"/>
        <w:jc w:val="left"/>
        <w:tblInd w:w="0" w:type="dxa"/>
        <w:tblLayout w:type="fixed"/>
        <w:tblCellMar>
          <w:top w:w="0" w:type="dxa"/>
          <w:left w:w="0" w:type="dxa"/>
          <w:bottom w:w="0" w:type="dxa"/>
          <w:right w:w="0" w:type="dxa"/>
        </w:tblCellMar>
      </w:tblPr>
      <w:tblGrid>
        <w:gridCol w:w="271"/>
        <w:gridCol w:w="7246"/>
      </w:tblGrid>
      <w:tr>
        <w:trPr/>
        <w:tc>
          <w:tcPr>
            <w:tcW w:w="271" w:type="dxa"/>
            <w:tcBorders/>
            <w:vAlign w:val="center"/>
          </w:tcPr>
          <w:p>
            <w:pPr>
              <w:pStyle w:val="TableContents"/>
              <w:bidi w:val="0"/>
              <w:spacing w:before="0" w:after="283"/>
              <w:jc w:val="left"/>
              <w:rPr>
                <w:color w:val="231F20"/>
              </w:rPr>
            </w:pPr>
            <w:r>
              <w:rPr>
                <w:color w:val="231F20"/>
              </w:rPr>
              <w:t>●</w:t>
            </w:r>
          </w:p>
        </w:tc>
        <w:tc>
          <w:tcPr>
            <w:tcW w:w="724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emergence of competing technologies or other adverse market developments.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believe that our existing cash resources and Loan Agreement for Term Loans together with revenue will be sufficient to meet our forecasted requirements for operating liquidity, capital expenditures and debt services for at least the next three years. If these sources are insufficient to satisfy our liquidity requirements, or provide funding to execute or accelerate our growth strategies, however, we may seek to sell additional equity or enter into an additional loan agreement. If we raise additional funds by issuing equity securities, our stockholders would experience dilution. Additional debt financing, if available, may involve covenants further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restricting our operations or our ability to incur additional debt. Any such debt financing or additional equity that we raise may contain terms that are not favorable to us or our stockholders.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Cash flows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sets forth the primary sources and uses of cash for each of the periods presented below:</w:t>
      </w:r>
    </w:p>
    <w:tbl>
      <w:tblPr>
        <w:tblW w:w="8352" w:type="dxa"/>
        <w:jc w:val="left"/>
        <w:tblInd w:w="0" w:type="dxa"/>
        <w:tblLayout w:type="fixed"/>
        <w:tblCellMar>
          <w:top w:w="0" w:type="dxa"/>
          <w:left w:w="0" w:type="dxa"/>
          <w:bottom w:w="0" w:type="dxa"/>
          <w:right w:w="0" w:type="dxa"/>
        </w:tblCellMar>
      </w:tblPr>
      <w:tblGrid>
        <w:gridCol w:w="5611"/>
        <w:gridCol w:w="326"/>
        <w:gridCol w:w="211"/>
        <w:gridCol w:w="811"/>
        <w:gridCol w:w="326"/>
        <w:gridCol w:w="211"/>
        <w:gridCol w:w="856"/>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562985" cy="175260"/>
                      <wp:effectExtent l="0" t="0" r="0" b="0"/>
                      <wp:wrapNone/>
                      <wp:docPr id="154" name="Frame154"/>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14985" cy="175260"/>
                      <wp:effectExtent l="0" t="0" r="0" b="0"/>
                      <wp:wrapNone/>
                      <wp:docPr id="157" name="Frame15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43560" cy="175260"/>
                      <wp:effectExtent l="0" t="0" r="0" b="0"/>
                      <wp:wrapNone/>
                      <wp:docPr id="160" name="Frame16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i/>
                <w:sz w:val="16"/>
              </w:rPr>
            </w:pPr>
            <w:r>
              <w:rPr>
                <w:rFonts w:ascii="Arial;Helvetica;sans-serif" w:hAnsi="Arial;Helvetica;sans-serif"/>
                <w:i/>
                <w:sz w:val="16"/>
              </w:rPr>
              <w:t>(unaudited)</w:t>
            </w:r>
          </w:p>
        </w:tc>
      </w:tr>
      <w:tr>
        <w:trPr/>
        <w:tc>
          <w:tcPr>
            <w:tcW w:w="56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provided by: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(10,896)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(10,249)</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7,568</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Effect of exchange rate changes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change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(10,454)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used in operating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Net cash used in operating activities for the three months ended March 31, 2024 was $10.9 million and consisted primarily of a net loss of $22.2 million, partially offset by a non-cash charge of $11.1 million related to stock-based compensation expense. </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Net cash used in operating activities for the three months ended March 31, 2023 was $10.2 million and consisted primarily of a net loss of $11.4 million and a decrease in net operating assets of $0.7 million, partially offset by a non-cash charge of $1.7 million related to stock-based compensation expense. Net operating assets consisted primarily of accounts receivable, inventory, prepaid expenses and other current assets, accounts payable and accrued expenses to support the growth of our operations.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used in investing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Cash used in investing activities was $0.9 million and $0.2 million for the three months ended March 31, 2024 and 2023, respectively, and consisted of purchases of property and equipment.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provided by financing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Net cash provided by financing activities for the three months ended March 31, 2024 was $1.4 million and consisted of $0.8 million related to proceeds from the exercise of common stock options and $0.5 million related to proceeds from the issuance of common stock through the ATM offering. </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Net cash provided by financing activities for the three months ended March 31, 2023 was $7.6 million and consisted of $7.5 million related to the proceeds under the Loan Agreement and $0.1 million related to proceeds from the exercise of common stock options, partially offset by $0.1 million related to debt financing costs.</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Contractual obligations and commitments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There have been no material changes to our contractual obligations as of March 31, 2024, as compared to those disclosed in our Annual Report on Form 10-K for the year ended December 31, 2023.</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Critical accounting policies and estimates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For a discussion of our potential risks and uncertainties, see the information in</w:t>
      </w:r>
      <w:r>
        <w:rPr>
          <w:rFonts w:ascii="Arial;Helvetica;sans-serif" w:hAnsi="Arial;Helvetica;sans-serif"/>
          <w:sz w:val="20"/>
          <w:shd w:fill="FFFFFF" w:val="clear"/>
        </w:rPr>
        <w:t xml:space="preserve"> Part II, Item 7. “Management's Discussion and Analysis of Financial Condition and Results of Operations—Critical accounting policies and estimates" in our Annual Report on Form 10-K for the fiscal year ended December 31, 2023. We have reviewed and determined that those critical accounting policies and estimates remain our critical accounting policies and estimates as of and for the three months ended March 31, 2024.</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JOBS Act accounting election</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pBdr/>
        <w:bidi w:val="0"/>
        <w:spacing w:before="0" w:after="240"/>
        <w:ind w:left="0" w:right="0" w:hanging="360"/>
        <w:jc w:val="left"/>
        <w:rPr>
          <w:rFonts w:ascii="Arial;Helvetica;sans-serif" w:hAnsi="Arial;Helvetica;sans-serif"/>
          <w:b/>
          <w:sz w:val="24"/>
        </w:rPr>
      </w:pPr>
      <w:r>
        <w:rPr>
          <w:rFonts w:ascii="Arial;Helvetica;sans-serif" w:hAnsi="Arial;Helvetica;sans-serif"/>
          <w:b/>
          <w:sz w:val="24"/>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discussion of recent accounting pronouncements is included in Note 2 to our condensed consolidated financial statements included elsewhere in this Quarterly Report on Form 10-Q.</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Arial;Helvetica;sans-serif" w:hAnsi="Arial;Helvetica;sans-serif"/>
          <w:b/>
          <w:sz w:val="24"/>
        </w:rPr>
      </w:pPr>
      <w:bookmarkStart w:id="693" w:name="Item3QuantitativeandQualitativeDisclosur"/>
      <w:bookmarkStart w:id="694" w:name="_0f4701e2_666a_48c1_b407_64045b582b1d"/>
      <w:bookmarkEnd w:id="693"/>
      <w:bookmarkEnd w:id="694"/>
      <w:r>
        <w:rPr>
          <w:rFonts w:ascii="Arial;Helvetica;sans-serif" w:hAnsi="Arial;Helvetica;sans-serif"/>
          <w:b/>
          <w:sz w:val="24"/>
        </w:rPr>
        <w:t>Item 3. Quantitative and Qualitative Disclosures About Market Risk</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Interest rate risk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Foreign currency exchange rate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Inflation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 a percentage of our revenue if the selling prices of our products do not increase as much as or more than these increased costs.</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Credit risk</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As of March 31, 2024 and December 31, 2023,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r>
        <w:rPr>
          <w:rFonts w:ascii="Arial;Helvetica;sans-serif" w:hAnsi="Arial;Helvetica;sans-serif"/>
          <w:sz w:val="18"/>
        </w:rPr>
        <w:t xml:space="preserve"> </w:t>
      </w:r>
    </w:p>
    <w:p>
      <w:pPr>
        <w:pStyle w:val="TextBody"/>
        <w:bidi w:val="0"/>
        <w:spacing w:before="0" w:after="240"/>
        <w:ind w:left="0" w:right="0" w:hanging="0"/>
        <w:jc w:val="left"/>
        <w:rPr/>
      </w:pPr>
      <w:r>
        <w:rPr/>
        <w:t>​</w:t>
      </w:r>
    </w:p>
    <w:p>
      <w:pPr>
        <w:pStyle w:val="TextBody"/>
        <w:pBdr/>
        <w:shd w:fill="FFFFFF" w:val="clear"/>
        <w:bidi w:val="0"/>
        <w:spacing w:before="0" w:after="0"/>
        <w:ind w:left="0" w:right="0" w:hanging="0"/>
        <w:jc w:val="left"/>
        <w:rPr>
          <w:rFonts w:ascii="Arial;Helvetica;sans-serif" w:hAnsi="Arial;Helvetica;sans-serif"/>
          <w:sz w:val="20"/>
        </w:rPr>
      </w:pPr>
      <w:bookmarkStart w:id="695" w:name="Item4ControlsandProcedures_977453"/>
      <w:bookmarkStart w:id="696" w:name="_ad372d3a_6ac4_4bad_8bca_32bd06cbe47e"/>
      <w:bookmarkEnd w:id="695"/>
      <w:bookmarkEnd w:id="696"/>
      <w:r>
        <w:rPr>
          <w:rFonts w:ascii="Arial;Helvetica;sans-serif" w:hAnsi="Arial;Helvetica;sans-serif"/>
          <w:b/>
          <w:sz w:val="24"/>
        </w:rPr>
        <w:t>Item 4. Controls and Procedures</w:t>
      </w:r>
      <w:r>
        <w:rPr>
          <w:rFonts w:ascii="Arial;Helvetica;sans-serif" w:hAnsi="Arial;Helvetica;sans-serif"/>
          <w:sz w:val="20"/>
        </w:rPr>
        <w:t xml:space="preserve"> </w:t>
      </w:r>
    </w:p>
    <w:p>
      <w:pPr>
        <w:pStyle w:val="TextBody"/>
        <w:pBdr/>
        <w:shd w:fill="FFFFFF" w:val="clear"/>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Evaluation of disclosure controls and procedures</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pStyle w:val="TextBody"/>
        <w:shd w:fill="FFFFFF" w:val="clear"/>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Changes in internal control over financial reporting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There were no changes in our internal control over financial reporting (as defined in Rules 13a-15(f) and 15d-15(f) under the Exchange Act) that occurred during the quarter ended March 31, 2024, that have materially affected, or are reasonably likely to materially affect, our internal control over financial reporting.</w:t>
      </w:r>
    </w:p>
    <w:p>
      <w:pPr>
        <w:pStyle w:val="TextBody"/>
        <w:bidi w:val="0"/>
        <w:spacing w:before="0" w:after="0"/>
        <w:ind w:left="0" w:right="0" w:hanging="0"/>
        <w:jc w:val="center"/>
        <w:rPr>
          <w:rFonts w:ascii="Arial;Helvetica;sans-serif" w:hAnsi="Arial;Helvetica;sans-serif"/>
          <w:b/>
          <w:sz w:val="24"/>
        </w:rPr>
      </w:pPr>
      <w:bookmarkStart w:id="697" w:name="PARTIIOTHERINFORMATION"/>
      <w:bookmarkStart w:id="698" w:name="_0a01c98e_c58f_4d81_911d_976838b53d01"/>
      <w:bookmarkEnd w:id="697"/>
      <w:bookmarkEnd w:id="698"/>
      <w:r>
        <w:rPr>
          <w:rFonts w:ascii="Arial;Helvetica;sans-serif" w:hAnsi="Arial;Helvetica;sans-serif"/>
          <w:b/>
          <w:sz w:val="24"/>
        </w:rPr>
        <w:t>PART II — OTHER INFORMATION</w:t>
      </w:r>
    </w:p>
    <w:p>
      <w:pPr>
        <w:pStyle w:val="TextBody"/>
        <w:pBdr/>
        <w:bidi w:val="0"/>
        <w:spacing w:before="0" w:after="240"/>
        <w:ind w:left="0" w:right="0" w:hanging="360"/>
        <w:jc w:val="left"/>
        <w:rPr/>
      </w:pPr>
      <w:r>
        <w:rPr/>
        <w:t>​</w:t>
      </w:r>
    </w:p>
    <w:p>
      <w:pPr>
        <w:pStyle w:val="TextBody"/>
        <w:bidi w:val="0"/>
        <w:spacing w:before="0" w:after="120"/>
        <w:ind w:left="0" w:right="0" w:hanging="0"/>
        <w:jc w:val="left"/>
        <w:rPr>
          <w:rFonts w:ascii="Arial;Helvetica;sans-serif" w:hAnsi="Arial;Helvetica;sans-serif"/>
          <w:b/>
          <w:sz w:val="24"/>
        </w:rPr>
      </w:pPr>
      <w:bookmarkStart w:id="699" w:name="Item1LegalProceedings_54821"/>
      <w:bookmarkStart w:id="700" w:name="_fa968db1_78e5_4e7f_b4b1_9b12b882a3dc"/>
      <w:bookmarkEnd w:id="699"/>
      <w:bookmarkEnd w:id="700"/>
      <w:r>
        <w:rPr>
          <w:rFonts w:ascii="Arial;Helvetica;sans-serif" w:hAnsi="Arial;Helvetica;sans-serif"/>
          <w:b/>
          <w:sz w:val="24"/>
        </w:rPr>
        <w:t>Item 1. Legal Proceedings</w:t>
      </w:r>
    </w:p>
    <w:p>
      <w:pPr>
        <w:pStyle w:val="TextBody"/>
        <w:bidi w:val="0"/>
        <w:spacing w:before="0" w:after="0"/>
        <w:ind w:left="0" w:right="0" w:hanging="0"/>
        <w:jc w:val="left"/>
        <w:rPr>
          <w:rFonts w:ascii="Arial;Helvetica;sans-serif" w:hAnsi="Arial;Helvetica;sans-serif"/>
          <w:spacing w:val="5"/>
          <w:sz w:val="20"/>
        </w:rPr>
      </w:pPr>
      <w:r>
        <w:rPr>
          <w:rFonts w:ascii="Arial;Helvetica;sans-serif" w:hAnsi="Arial;Helvetica;sans-serif"/>
          <w:spacing w:val="5"/>
          <w:sz w:val="20"/>
        </w:rPr>
        <w:t>From time to time, we may become involved in legal proceedings or be subject to claims arising in the ordinary course of our business. We are not currently a party to any material legal proceedings.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4"/>
        </w:rPr>
      </w:pPr>
      <w:bookmarkStart w:id="701" w:name="Item1ARiskFactors_131460"/>
      <w:bookmarkStart w:id="702" w:name="_b782248c_8296_47d6_802b_21dc45d049ec"/>
      <w:bookmarkEnd w:id="701"/>
      <w:bookmarkEnd w:id="702"/>
      <w:r>
        <w:rPr>
          <w:rFonts w:ascii="Arial;Helvetica;sans-serif" w:hAnsi="Arial;Helvetica;sans-serif"/>
          <w:b/>
          <w:sz w:val="24"/>
        </w:rPr>
        <w:t>Item 1A. Risk Factors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 xml:space="preserve">For a discussion of our potential risks and uncertainties, see the information in Part I, Item IA. “Risk Factors” in our Annual Report on Form 10-K for the year ended December 31, 2023. </w:t>
      </w:r>
      <w:r>
        <w:rPr>
          <w:rFonts w:ascii="Arial;Helvetica;sans-serif" w:hAnsi="Arial;Helvetica;sans-serif"/>
          <w:sz w:val="20"/>
          <w:shd w:fill="FFFFFF" w:val="clear"/>
        </w:rPr>
        <w:t>Other than the risk factors set forth below, there have been no material changes to the risk factors disclosed in our Annual Report on Form 10-K.</w:t>
      </w:r>
    </w:p>
    <w:p>
      <w:pPr>
        <w:pStyle w:val="TextBody"/>
        <w:bidi w:val="0"/>
        <w:spacing w:lineRule="auto" w:line="314" w:before="184" w:after="240"/>
        <w:ind w:left="0" w:right="0" w:hanging="0"/>
        <w:jc w:val="left"/>
        <w:rPr>
          <w:rFonts w:ascii="Arial;Helvetica;sans-serif" w:hAnsi="Arial;Helvetica;sans-serif"/>
          <w:b/>
          <w:i/>
          <w:color w:val="231F20"/>
          <w:sz w:val="20"/>
        </w:rPr>
      </w:pPr>
      <w:r>
        <w:rPr>
          <w:rFonts w:ascii="Arial;Helvetica;sans-serif" w:hAnsi="Arial;Helvetica;sans-serif"/>
          <w:b/>
          <w:i/>
          <w:color w:val="231F20"/>
          <w:sz w:val="20"/>
        </w:rPr>
        <w:t>If we fail to retain our key executives or recruit and hire new employees, our operations and financial results may be adversely affected while we attract other highly qualified personnel.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In particular, we are highly dependent upon our management team, especially our President and Chief </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Officer and the rest of our senior management. The replacement of key personnel involves significant time and costs, may significantly delay or prevent the achievement of our business objectives and may harm our business. In addition, we do not carry any “key person” insurance policies that could offset potential loss of service under applicable circumstances.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Transitions in executive leadership can adversely affect relationships with our customers, suppliers, and employees, make it difficult to attract and retain talent, and disrupt execution of our strategy, sales growth, and our efforts to enhance our operations. Additionally, such transitions can require significant payments to recruit and attract qualified payments to join our company and may involve severance payments to certain departing employees. Changes in key management positions may temporarily affect our financial performance and results of operations as the new management becomes familiar with our business and establishes their team dynamic. For example, in February 2024, we appointed a new Chief Executive Officer who replaced our prior Chief Executive Officer, who had been in the role for 17 years. </w:t>
      </w:r>
      <w:r>
        <w:rPr>
          <w:rFonts w:ascii="Arial;Helvetica;sans-serif" w:hAnsi="Arial;Helvetica;sans-serif"/>
          <w:sz w:val="20"/>
          <w:shd w:fill="FFFFFF" w:val="clear"/>
        </w:rPr>
        <w:t>We experienced some disruption within the sales organization at the time of the Chief Executive Officer transition, which led to decreased productivity and higher salesforce turnover, as well as the termination of employment of our Senior Vice President of U.S. Sales. We have also announced plans to hire additional leadership in medical affairs, clinical, reimbursement and sales. Accordingly, our future financial performance will depend on our ability to attract, motivate, integrate and retain our senior management and employees.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many of our employees have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Although non-compete agreements are becoming more disfavored and, in some cases, banned, many executive officers and employees in the medical device industry are still subject to strict non-compete or confidentiality agreements with their employers. In addition, some of our existing and future employees are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claims against us.</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703" w:name="Item2UnregisteredSalesofEquitySecurities"/>
      <w:bookmarkStart w:id="704" w:name="_99607614_a502_4b3b_a9f2_fcf56606fdaa"/>
      <w:bookmarkStart w:id="705" w:name="_Item_2._Unregistered"/>
      <w:bookmarkEnd w:id="703"/>
      <w:bookmarkEnd w:id="704"/>
      <w:bookmarkEnd w:id="705"/>
      <w:r>
        <w:rPr>
          <w:rFonts w:ascii="Arial;Helvetica;sans-serif" w:hAnsi="Arial;Helvetica;sans-serif"/>
          <w:b/>
          <w:sz w:val="24"/>
        </w:rPr>
        <w:t>Item 2. Unregistered Sales of Equity Securities and Use of Proceeds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706" w:name="Item3DefaultsUponSeniorSecurities_596530"/>
      <w:bookmarkStart w:id="707" w:name="_bbb9df87_5326_4d22_b073_e72390d782e5"/>
      <w:bookmarkEnd w:id="706"/>
      <w:bookmarkEnd w:id="707"/>
      <w:r>
        <w:rPr>
          <w:rFonts w:ascii="Arial;Helvetica;sans-serif" w:hAnsi="Arial;Helvetica;sans-serif"/>
          <w:b/>
          <w:sz w:val="24"/>
        </w:rPr>
        <w:t>Item 3. Defaults Upon Senior Securities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708" w:name="Item4MineSafetyDisclosures_347489"/>
      <w:bookmarkStart w:id="709" w:name="_b3dda3b7_65dc_4e94_b7f1_e4f50a15e730"/>
      <w:bookmarkEnd w:id="708"/>
      <w:bookmarkEnd w:id="709"/>
      <w:r>
        <w:rPr>
          <w:rFonts w:ascii="Arial;Helvetica;sans-serif" w:hAnsi="Arial;Helvetica;sans-serif"/>
          <w:b/>
          <w:sz w:val="24"/>
        </w:rPr>
        <w:t>Item 4. Mine Safety Disclosures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pPr>
      <w:r>
        <w:rPr/>
        <w:t>​</w:t>
      </w:r>
    </w:p>
    <w:p>
      <w:pPr>
        <w:pStyle w:val="TextBody"/>
        <w:pBdr/>
        <w:bidi w:val="0"/>
        <w:spacing w:before="0" w:after="240"/>
        <w:ind w:left="0" w:right="0" w:hanging="360"/>
        <w:jc w:val="left"/>
        <w:rPr>
          <w:rFonts w:ascii="Arial;Helvetica;sans-serif" w:hAnsi="Arial;Helvetica;sans-serif"/>
          <w:b/>
          <w:sz w:val="24"/>
        </w:rPr>
      </w:pPr>
      <w:bookmarkStart w:id="710" w:name="Item5OtherInformation_696802"/>
      <w:bookmarkStart w:id="711" w:name="_4b4e9481_b3cd_4127_9339_04bb7ccfdcac"/>
      <w:bookmarkEnd w:id="710"/>
      <w:bookmarkEnd w:id="711"/>
      <w:r>
        <w:rPr>
          <w:rFonts w:ascii="Arial;Helvetica;sans-serif" w:hAnsi="Arial;Helvetica;sans-serif"/>
          <w:b/>
          <w:sz w:val="24"/>
        </w:rPr>
        <w:t>Item 5. Other Information</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During the three months ended March 31, 2024, none of our directors or officers adopted, modified or terminated a “Rule 10b5-1 trading arrangement” or “non-Rule 10b5-1 trading arrangement,” as each term is defined in Item 408(a) of Regulation S-K.</w:t>
      </w:r>
    </w:p>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Arial;Helvetica;sans-serif" w:hAnsi="Arial;Helvetica;sans-serif"/>
          <w:b/>
          <w:sz w:val="24"/>
        </w:rPr>
      </w:pPr>
      <w:bookmarkStart w:id="712" w:name="Item6Exhibits_742478"/>
      <w:bookmarkStart w:id="713" w:name="_950575"/>
      <w:bookmarkStart w:id="714" w:name="_3fd3413a_d7fe_48dc_8225_9ca384a69886"/>
      <w:bookmarkEnd w:id="712"/>
      <w:bookmarkEnd w:id="713"/>
      <w:bookmarkEnd w:id="714"/>
      <w:r>
        <w:rPr>
          <w:rFonts w:ascii="Arial;Helvetica;sans-serif" w:hAnsi="Arial;Helvetica;sans-serif"/>
          <w:b/>
          <w:sz w:val="24"/>
        </w:rPr>
        <w:t>Item 6. Exhibits</w:t>
      </w:r>
    </w:p>
    <w:p>
      <w:pPr>
        <w:pStyle w:val="TextBody"/>
        <w:pBdr/>
        <w:bidi w:val="0"/>
        <w:spacing w:before="0" w:after="240"/>
        <w:ind w:left="0" w:right="0" w:hanging="360"/>
        <w:jc w:val="center"/>
        <w:rPr>
          <w:rFonts w:ascii="Arial;Helvetica;sans-serif" w:hAnsi="Arial;Helvetica;sans-serif"/>
          <w:b/>
          <w:sz w:val="24"/>
        </w:rPr>
      </w:pPr>
      <w:r>
        <w:rPr>
          <w:rFonts w:ascii="Arial;Helvetica;sans-serif" w:hAnsi="Arial;Helvetica;sans-serif"/>
          <w:b/>
          <w:sz w:val="24"/>
        </w:rPr>
        <w:t>EXHIBIT INDEX</w:t>
      </w:r>
    </w:p>
    <w:tbl>
      <w:tblPr>
        <w:tblW w:w="10205" w:type="dxa"/>
        <w:jc w:val="left"/>
        <w:tblInd w:w="0" w:type="dxa"/>
        <w:tblLayout w:type="fixed"/>
        <w:tblCellMar>
          <w:top w:w="0" w:type="dxa"/>
          <w:left w:w="0" w:type="dxa"/>
          <w:bottom w:w="0" w:type="dxa"/>
          <w:right w:w="0" w:type="dxa"/>
        </w:tblCellMar>
      </w:tblPr>
      <w:tblGrid>
        <w:gridCol w:w="817"/>
        <w:gridCol w:w="326"/>
        <w:gridCol w:w="9062"/>
      </w:tblGrid>
      <w:tr>
        <w:trPr/>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18795" cy="175260"/>
                      <wp:effectExtent l="0" t="0" r="0" b="0"/>
                      <wp:wrapNone/>
                      <wp:docPr id="161" name="Frame161"/>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754370" cy="29210"/>
                      <wp:effectExtent l="0" t="0" r="0" b="0"/>
                      <wp:wrapNone/>
                      <wp:docPr id="162" name="Frame162"/>
                      <a:graphic xmlns:a="http://schemas.openxmlformats.org/drawingml/2006/main">
                        <a:graphicData uri="http://schemas.microsoft.com/office/word/2010/wordprocessingShape">
                          <wps:wsp>
                            <wps:cNvSpPr txBox="1"/>
                            <wps:spPr>
                              <a:xfrm>
                                <a:off x="0" y="0"/>
                                <a:ext cx="57543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7"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Exhibit</w:t>
            </w:r>
          </w:p>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Description</w:t>
            </w:r>
          </w:p>
        </w:tc>
      </w:tr>
      <w:tr>
        <w:trPr/>
        <w:tc>
          <w:tcPr>
            <w:tcW w:w="817"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62"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rPr>
                <w:t>Amended and Restated Certificate of Incorporation of CVRx, Inc. (incorporated by reference to Exhibit 3.1 to the Company’s Current Report on Form 8-K filed on July 7, 2021)</w:t>
              </w:r>
            </w:hyperlink>
          </w:p>
        </w:tc>
      </w:tr>
      <w:tr>
        <w:trPr/>
        <w:tc>
          <w:tcPr>
            <w:tcW w:w="8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r>
              <w:rPr/>
              <w:t>​</w:t>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sz w:val="20"/>
                </w:rPr>
                <w:t>Amended and Restated By-Laws of CVRx, Inc. (incorporated by reference to Exhibit 3.2 to the Company’s Current Report on Form 8-K filed on July 7, 2021)</w:t>
              </w:r>
            </w:hyperlink>
            <w:r>
              <w:rPr>
                <w:rFonts w:ascii="Arial;Helvetica;sans-serif" w:hAnsi="Arial;Helvetica;sans-serif"/>
                <w:sz w:val="20"/>
              </w:rPr>
              <w:t xml:space="preserve"> </w:t>
            </w:r>
          </w:p>
        </w:tc>
      </w:tr>
      <w:tr>
        <w:trPr/>
        <w:tc>
          <w:tcPr>
            <w:tcW w:w="8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r>
              <w:rPr/>
              <w:t>​</w:t>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hyperlink r:id="rId4">
              <w:r>
                <w:rPr>
                  <w:rStyle w:val="InternetLink"/>
                  <w:rFonts w:ascii="Arial;Helvetica;sans-serif" w:hAnsi="Arial;Helvetica;sans-serif"/>
                  <w:b w:val="false"/>
                  <w:i w:val="false"/>
                  <w:caps w:val="false"/>
                  <w:smallCaps w:val="false"/>
                  <w:sz w:val="20"/>
                </w:rPr>
                <w:t>Employment Agreement between the Company and Kevin Hykes dated January 26, 2024 (incorporated by reference to Exhibit 10.1 to the Company’s Current Report on Form 8-K filed on January 31, 2024)</w:t>
              </w:r>
            </w:hyperlink>
          </w:p>
        </w:tc>
      </w:tr>
      <w:tr>
        <w:trPr/>
        <w:tc>
          <w:tcPr>
            <w:tcW w:w="8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r>
              <w:rPr/>
              <w:t>​</w:t>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10.2</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hyperlink r:id="rId5">
              <w:r>
                <w:rPr>
                  <w:rStyle w:val="InternetLink"/>
                  <w:rFonts w:ascii="Arial;Helvetica;sans-serif" w:hAnsi="Arial;Helvetica;sans-serif"/>
                  <w:b w:val="false"/>
                  <w:i w:val="false"/>
                  <w:caps w:val="false"/>
                  <w:smallCaps w:val="false"/>
                  <w:sz w:val="20"/>
                </w:rPr>
                <w:t>Transition and Consulting Agreement between the Company and Nadim Yared dated January 30, 2024 (incorporated by reference to Exhibit 10.2 to the Company’s Current Report on Form 8-K filed on January 31, 2024)</w:t>
              </w:r>
            </w:hyperlink>
          </w:p>
        </w:tc>
      </w:tr>
      <w:tr>
        <w:trPr/>
        <w:tc>
          <w:tcPr>
            <w:tcW w:w="8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r>
              <w:rPr/>
              <w:t>​</w:t>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hyperlink w:anchor="cvrx-20240331xex31d1.htm">
              <w:r>
                <w:rPr>
                  <w:rStyle w:val="InternetLink"/>
                  <w:rFonts w:ascii="Arial;Helvetica;sans-serif" w:hAnsi="Arial;Helvetica;sans-serif"/>
                  <w:b w:val="false"/>
                  <w:i w:val="false"/>
                  <w:caps w:val="false"/>
                  <w:smallCaps w:val="false"/>
                  <w:sz w:val="20"/>
                </w:rPr>
                <w:t>Certification of Chief Executive Officer Pursuant to Section</w:t>
              </w:r>
            </w:hyperlink>
            <w:hyperlink w:anchor="cvrx-20240331xex31d1.htm">
              <w:r>
                <w:rPr>
                  <w:rStyle w:val="InternetLink"/>
                  <w:rFonts w:ascii="Arial;Helvetica;sans-serif" w:hAnsi="Arial;Helvetica;sans-serif"/>
                  <w:caps w:val="false"/>
                  <w:smallCaps w:val="false"/>
                  <w:sz w:val="20"/>
                </w:rPr>
                <w:t> </w:t>
              </w:r>
            </w:hyperlink>
            <w:hyperlink w:anchor="cvrx-20240331xex31d1.htm">
              <w:r>
                <w:rPr>
                  <w:rStyle w:val="InternetLink"/>
                  <w:rFonts w:ascii="Arial;Helvetica;sans-serif" w:hAnsi="Arial;Helvetica;sans-serif"/>
                  <w:b w:val="false"/>
                  <w:i w:val="false"/>
                  <w:caps w:val="false"/>
                  <w:smallCaps w:val="false"/>
                  <w:sz w:val="20"/>
                </w:rPr>
                <w:t>302 of the Sarbanes-Oxley Act of 2002</w:t>
              </w:r>
            </w:hyperlink>
          </w:p>
        </w:tc>
      </w:tr>
      <w:tr>
        <w:trPr/>
        <w:tc>
          <w:tcPr>
            <w:tcW w:w="81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283"/>
              <w:ind w:left="0" w:right="0" w:hanging="0"/>
              <w:jc w:val="left"/>
              <w:rPr>
                <w:sz w:val="4"/>
                <w:szCs w:val="4"/>
              </w:rPr>
            </w:pPr>
            <w:r>
              <w:rPr>
                <w:sz w:val="4"/>
                <w:szCs w:val="4"/>
              </w:rPr>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hyperlink w:anchor="cvrx-20240331xex31d2.htm">
              <w:r>
                <w:rPr>
                  <w:rStyle w:val="InternetLink"/>
                  <w:rFonts w:ascii="Arial;Helvetica;sans-serif" w:hAnsi="Arial;Helvetica;sans-serif"/>
                  <w:b w:val="false"/>
                  <w:i w:val="false"/>
                  <w:caps w:val="false"/>
                  <w:smallCaps w:val="false"/>
                  <w:sz w:val="20"/>
                </w:rPr>
                <w:t>Certification of Chief Financial Officer Pursuant to Section</w:t>
              </w:r>
            </w:hyperlink>
            <w:hyperlink w:anchor="cvrx-20240331xex31d2.htm">
              <w:r>
                <w:rPr>
                  <w:rStyle w:val="InternetLink"/>
                  <w:rFonts w:ascii="Arial;Helvetica;sans-serif" w:hAnsi="Arial;Helvetica;sans-serif"/>
                  <w:caps w:val="false"/>
                  <w:smallCaps w:val="false"/>
                  <w:sz w:val="20"/>
                </w:rPr>
                <w:t> </w:t>
              </w:r>
            </w:hyperlink>
            <w:hyperlink w:anchor="cvrx-20240331xex31d2.htm">
              <w:r>
                <w:rPr>
                  <w:rStyle w:val="InternetLink"/>
                  <w:rFonts w:ascii="Arial;Helvetica;sans-serif" w:hAnsi="Arial;Helvetica;sans-serif"/>
                  <w:b w:val="false"/>
                  <w:i w:val="false"/>
                  <w:caps w:val="false"/>
                  <w:smallCaps w:val="false"/>
                  <w:sz w:val="20"/>
                </w:rPr>
                <w:t>302 of the Sarbanes-Oxley Act of 2002</w:t>
              </w:r>
            </w:hyperlink>
          </w:p>
        </w:tc>
      </w:tr>
      <w:tr>
        <w:trPr/>
        <w:tc>
          <w:tcPr>
            <w:tcW w:w="81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283"/>
              <w:ind w:left="0" w:right="0" w:hanging="0"/>
              <w:jc w:val="left"/>
              <w:rPr>
                <w:sz w:val="4"/>
                <w:szCs w:val="4"/>
              </w:rPr>
            </w:pPr>
            <w:r>
              <w:rPr>
                <w:sz w:val="4"/>
                <w:szCs w:val="4"/>
              </w:rPr>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hyperlink w:anchor="cvrx-20240331xex32d1.htm">
              <w:r>
                <w:rPr>
                  <w:rStyle w:val="InternetLink"/>
                  <w:rFonts w:ascii="Arial;Helvetica;sans-serif" w:hAnsi="Arial;Helvetica;sans-serif"/>
                  <w:b w:val="false"/>
                  <w:i w:val="false"/>
                  <w:caps w:val="false"/>
                  <w:smallCaps w:val="false"/>
                  <w:sz w:val="20"/>
                </w:rPr>
                <w:t>Certification of Chief Executive Officer Pursuant to 18 U.S.C. Section</w:t>
              </w:r>
            </w:hyperlink>
            <w:hyperlink w:anchor="cvrx-20240331xex32d1.htm">
              <w:r>
                <w:rPr>
                  <w:rStyle w:val="InternetLink"/>
                  <w:rFonts w:ascii="Arial;Helvetica;sans-serif" w:hAnsi="Arial;Helvetica;sans-serif"/>
                  <w:caps w:val="false"/>
                  <w:smallCaps w:val="false"/>
                  <w:sz w:val="20"/>
                </w:rPr>
                <w:t> </w:t>
              </w:r>
            </w:hyperlink>
            <w:hyperlink w:anchor="cvrx-20240331xex32d1.htm">
              <w:r>
                <w:rPr>
                  <w:rStyle w:val="InternetLink"/>
                  <w:rFonts w:ascii="Arial;Helvetica;sans-serif" w:hAnsi="Arial;Helvetica;sans-serif"/>
                  <w:b w:val="false"/>
                  <w:i w:val="false"/>
                  <w:caps w:val="false"/>
                  <w:smallCaps w:val="false"/>
                  <w:sz w:val="20"/>
                </w:rPr>
                <w:t>1350, as adopted pursuant to Section</w:t>
              </w:r>
            </w:hyperlink>
            <w:hyperlink w:anchor="cvrx-20240331xex32d1.htm">
              <w:r>
                <w:rPr>
                  <w:rStyle w:val="InternetLink"/>
                  <w:rFonts w:ascii="Arial;Helvetica;sans-serif" w:hAnsi="Arial;Helvetica;sans-serif"/>
                  <w:caps w:val="false"/>
                  <w:smallCaps w:val="false"/>
                  <w:sz w:val="20"/>
                </w:rPr>
                <w:t> </w:t>
              </w:r>
            </w:hyperlink>
            <w:hyperlink w:anchor="cvrx-20240331xex32d1.htm">
              <w:r>
                <w:rPr>
                  <w:rStyle w:val="InternetLink"/>
                  <w:rFonts w:ascii="Arial;Helvetica;sans-serif" w:hAnsi="Arial;Helvetica;sans-serif"/>
                  <w:b w:val="false"/>
                  <w:i w:val="false"/>
                  <w:caps w:val="false"/>
                  <w:smallCaps w:val="false"/>
                  <w:sz w:val="20"/>
                </w:rPr>
                <w:t>906 of the Sarbanes-Oxley Act of 2002</w:t>
              </w:r>
            </w:hyperlink>
          </w:p>
        </w:tc>
      </w:tr>
      <w:tr>
        <w:trPr/>
        <w:tc>
          <w:tcPr>
            <w:tcW w:w="81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283"/>
              <w:ind w:left="0" w:right="0" w:hanging="0"/>
              <w:jc w:val="left"/>
              <w:rPr>
                <w:sz w:val="4"/>
                <w:szCs w:val="4"/>
              </w:rPr>
            </w:pPr>
            <w:r>
              <w:rPr>
                <w:sz w:val="4"/>
                <w:szCs w:val="4"/>
              </w:rPr>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hyperlink w:anchor="cvrx-20240331xex32d2.htm">
              <w:r>
                <w:rPr>
                  <w:rStyle w:val="InternetLink"/>
                  <w:rFonts w:ascii="Arial;Helvetica;sans-serif" w:hAnsi="Arial;Helvetica;sans-serif"/>
                  <w:b w:val="false"/>
                  <w:i w:val="false"/>
                  <w:caps w:val="false"/>
                  <w:smallCaps w:val="false"/>
                  <w:sz w:val="20"/>
                </w:rPr>
                <w:t>Certification of Chief Financial Officer Pursuant to 18 U.S.C. Section</w:t>
              </w:r>
            </w:hyperlink>
            <w:hyperlink w:anchor="cvrx-20240331xex32d2.htm">
              <w:r>
                <w:rPr>
                  <w:rStyle w:val="InternetLink"/>
                  <w:rFonts w:ascii="Arial;Helvetica;sans-serif" w:hAnsi="Arial;Helvetica;sans-serif"/>
                  <w:caps w:val="false"/>
                  <w:smallCaps w:val="false"/>
                  <w:sz w:val="20"/>
                </w:rPr>
                <w:t> </w:t>
              </w:r>
            </w:hyperlink>
            <w:hyperlink w:anchor="cvrx-20240331xex32d2.htm">
              <w:r>
                <w:rPr>
                  <w:rStyle w:val="InternetLink"/>
                  <w:rFonts w:ascii="Arial;Helvetica;sans-serif" w:hAnsi="Arial;Helvetica;sans-serif"/>
                  <w:b w:val="false"/>
                  <w:i w:val="false"/>
                  <w:caps w:val="false"/>
                  <w:smallCaps w:val="false"/>
                  <w:sz w:val="20"/>
                </w:rPr>
                <w:t>1350, as adopted pursuant to Section</w:t>
              </w:r>
            </w:hyperlink>
            <w:hyperlink w:anchor="cvrx-20240331xex32d2.htm">
              <w:r>
                <w:rPr>
                  <w:rStyle w:val="InternetLink"/>
                  <w:rFonts w:ascii="Arial;Helvetica;sans-serif" w:hAnsi="Arial;Helvetica;sans-serif"/>
                  <w:caps w:val="false"/>
                  <w:smallCaps w:val="false"/>
                  <w:sz w:val="20"/>
                </w:rPr>
                <w:t> </w:t>
              </w:r>
            </w:hyperlink>
            <w:hyperlink w:anchor="cvrx-20240331xex32d2.htm">
              <w:r>
                <w:rPr>
                  <w:rStyle w:val="InternetLink"/>
                  <w:rFonts w:ascii="Arial;Helvetica;sans-serif" w:hAnsi="Arial;Helvetica;sans-serif"/>
                  <w:b w:val="false"/>
                  <w:i w:val="false"/>
                  <w:caps w:val="false"/>
                  <w:smallCaps w:val="false"/>
                  <w:sz w:val="20"/>
                </w:rPr>
                <w:t>906 of the Sarbanes-Oxley Act of 2002</w:t>
              </w:r>
            </w:hyperlink>
          </w:p>
        </w:tc>
      </w:tr>
      <w:tr>
        <w:trPr/>
        <w:tc>
          <w:tcPr>
            <w:tcW w:w="8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r>
              <w:rPr/>
              <w:t>​</w:t>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its XBRL tags are embedded within the Inline XBRL document</w:t>
            </w:r>
          </w:p>
        </w:tc>
      </w:tr>
      <w:tr>
        <w:trPr/>
        <w:tc>
          <w:tcPr>
            <w:tcW w:w="81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283"/>
              <w:ind w:left="0" w:right="0" w:hanging="0"/>
              <w:jc w:val="left"/>
              <w:rPr>
                <w:sz w:val="4"/>
                <w:szCs w:val="4"/>
              </w:rPr>
            </w:pPr>
            <w:r>
              <w:rPr>
                <w:sz w:val="4"/>
                <w:szCs w:val="4"/>
              </w:rPr>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r>
      <w:tr>
        <w:trPr/>
        <w:tc>
          <w:tcPr>
            <w:tcW w:w="81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283"/>
              <w:ind w:left="0" w:right="0" w:hanging="0"/>
              <w:jc w:val="left"/>
              <w:rPr>
                <w:sz w:val="4"/>
                <w:szCs w:val="4"/>
              </w:rPr>
            </w:pPr>
            <w:r>
              <w:rPr>
                <w:sz w:val="4"/>
                <w:szCs w:val="4"/>
              </w:rPr>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r>
      <w:tr>
        <w:trPr/>
        <w:tc>
          <w:tcPr>
            <w:tcW w:w="81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283"/>
              <w:ind w:left="0" w:right="0" w:hanging="0"/>
              <w:jc w:val="left"/>
              <w:rPr>
                <w:sz w:val="4"/>
                <w:szCs w:val="4"/>
              </w:rPr>
            </w:pPr>
            <w:r>
              <w:rPr>
                <w:sz w:val="4"/>
                <w:szCs w:val="4"/>
              </w:rPr>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 Document</w:t>
            </w:r>
          </w:p>
        </w:tc>
      </w:tr>
      <w:tr>
        <w:trPr/>
        <w:tc>
          <w:tcPr>
            <w:tcW w:w="81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283"/>
              <w:ind w:left="0" w:right="0" w:hanging="0"/>
              <w:jc w:val="left"/>
              <w:rPr>
                <w:sz w:val="4"/>
                <w:szCs w:val="4"/>
              </w:rPr>
            </w:pPr>
            <w:r>
              <w:rPr>
                <w:sz w:val="4"/>
                <w:szCs w:val="4"/>
              </w:rPr>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 Document</w:t>
            </w:r>
          </w:p>
        </w:tc>
      </w:tr>
      <w:tr>
        <w:trPr/>
        <w:tc>
          <w:tcPr>
            <w:tcW w:w="81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283"/>
              <w:ind w:left="0" w:right="0" w:hanging="0"/>
              <w:jc w:val="left"/>
              <w:rPr>
                <w:sz w:val="4"/>
                <w:szCs w:val="4"/>
              </w:rPr>
            </w:pPr>
            <w:r>
              <w:rPr>
                <w:sz w:val="4"/>
                <w:szCs w:val="4"/>
              </w:rPr>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r>
      <w:tr>
        <w:trPr/>
        <w:tc>
          <w:tcPr>
            <w:tcW w:w="8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0" w:right="0" w:hanging="0"/>
              <w:jc w:val="left"/>
              <w:rPr/>
            </w:pPr>
            <w:r>
              <w:rPr/>
              <w:t>​</w:t>
            </w:r>
          </w:p>
        </w:tc>
      </w:tr>
      <w:tr>
        <w:trPr/>
        <w:tc>
          <w:tcPr>
            <w:tcW w:w="81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26" w:type="dxa"/>
            <w:tcBorders/>
            <w:vAlign w:val="center"/>
          </w:tcPr>
          <w:p>
            <w:pPr>
              <w:pStyle w:val="TableContents"/>
              <w:bidi w:val="0"/>
              <w:spacing w:before="0" w:after="0"/>
              <w:ind w:left="0" w:right="0" w:hanging="0"/>
              <w:jc w:val="left"/>
              <w:rPr/>
            </w:pPr>
            <w:r>
              <w:rPr/>
              <w:t>​</w:t>
            </w:r>
          </w:p>
        </w:tc>
        <w:tc>
          <w:tcPr>
            <w:tcW w:w="9062" w:type="dxa"/>
            <w:tcBorders/>
            <w:vAlign w:val="center"/>
          </w:tcPr>
          <w:p>
            <w:pPr>
              <w:pStyle w:val="TableContents"/>
              <w:bidi w:val="0"/>
              <w:spacing w:before="0" w:after="0"/>
              <w:ind w:left="13" w:right="0" w:hanging="0"/>
              <w:jc w:val="left"/>
              <w:rPr>
                <w:rFonts w:ascii="Arial;Helvetica;sans-serif" w:hAnsi="Arial;Helvetica;sans-serif"/>
                <w:sz w:val="20"/>
              </w:rPr>
            </w:pPr>
            <w:r>
              <w:rPr>
                <w:rFonts w:ascii="Arial;Helvetica;sans-serif" w:hAnsi="Arial;Helvetica;sans-serif"/>
                <w:sz w:val="20"/>
              </w:rPr>
              <w:t>Cover Page Interactive Data File (formatted in Inline XBRL and contained in Exhibit 101)</w:t>
            </w:r>
          </w:p>
        </w:tc>
      </w:tr>
    </w:tbl>
    <w:tbl>
      <w:tblPr>
        <w:tblW w:w="1652" w:type="dxa"/>
        <w:jc w:val="left"/>
        <w:tblInd w:w="0" w:type="dxa"/>
        <w:tblLayout w:type="fixed"/>
        <w:tblCellMar>
          <w:top w:w="0" w:type="dxa"/>
          <w:left w:w="0" w:type="dxa"/>
          <w:bottom w:w="0" w:type="dxa"/>
          <w:right w:w="0" w:type="dxa"/>
        </w:tblCellMar>
      </w:tblPr>
      <w:tblGrid>
        <w:gridCol w:w="241"/>
        <w:gridCol w:w="1411"/>
      </w:tblGrid>
      <w:tr>
        <w:trPr/>
        <w:tc>
          <w:tcPr>
            <w:tcW w:w="241" w:type="dxa"/>
            <w:tcBorders/>
            <w:vAlign w:val="center"/>
          </w:tcPr>
          <w:p>
            <w:pPr>
              <w:pStyle w:val="TableContents"/>
              <w:bidi w:val="0"/>
              <w:spacing w:before="0" w:after="240"/>
              <w:jc w:val="left"/>
              <w:rPr/>
            </w:pPr>
            <w:r>
              <w:rPr/>
              <w:t>†</w:t>
            </w:r>
          </w:p>
        </w:tc>
        <w:tc>
          <w:tcPr>
            <w:tcW w:w="1411"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Filed herewith.</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4"/>
        </w:rPr>
      </w:pPr>
      <w:bookmarkStart w:id="715" w:name="SIGNATURES_221192"/>
      <w:bookmarkStart w:id="716" w:name="_176bce84_395b_4b43_8d79_da6aedb9bbfc"/>
      <w:bookmarkEnd w:id="715"/>
      <w:bookmarkEnd w:id="716"/>
      <w:r>
        <w:rPr>
          <w:rFonts w:ascii="Arial;Helvetica;sans-serif" w:hAnsi="Arial;Helvetica;sans-serif"/>
          <w:b/>
          <w:sz w:val="24"/>
        </w:rPr>
        <w:t>SIGNATURES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Date: May 10, 2024</w:t>
      </w:r>
    </w:p>
    <w:tbl>
      <w:tblPr>
        <w:tblW w:w="4716" w:type="dxa"/>
        <w:jc w:val="left"/>
        <w:tblInd w:w="0" w:type="dxa"/>
        <w:tblLayout w:type="fixed"/>
        <w:tblCellMar>
          <w:top w:w="0" w:type="dxa"/>
          <w:left w:w="0" w:type="dxa"/>
          <w:bottom w:w="0" w:type="dxa"/>
          <w:right w:w="0" w:type="dxa"/>
        </w:tblCellMar>
      </w:tblPr>
      <w:tblGrid>
        <w:gridCol w:w="124"/>
        <w:gridCol w:w="676"/>
        <w:gridCol w:w="3916"/>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9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sz w:val="20"/>
              </w:rPr>
              <w:t>CVRX,</w:t>
            </w:r>
            <w:r>
              <w:rPr>
                <w:rFonts w:ascii="Arial;Helvetica;sans-serif" w:hAnsi="Arial;Helvetica;sans-serif"/>
                <w:sz w:val="20"/>
              </w:rPr>
              <w:t> </w:t>
            </w:r>
            <w:r>
              <w:rPr>
                <w:rFonts w:ascii="Arial;Helvetica;sans-serif" w:hAnsi="Arial;Helvetica;sans-serif"/>
                <w:b/>
                <w:sz w:val="20"/>
              </w:rPr>
              <w:t>INC.</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Kevin Hykes</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Kevin Hykes</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Jared Oasheim</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Jared Oasheim</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120"/>
        <w:ind w:left="0" w:right="0" w:hanging="0"/>
        <w:jc w:val="right"/>
        <w:rPr>
          <w:rFonts w:ascii="Times New Roman;Times;serif" w:hAnsi="Times New Roman;Times;serif"/>
          <w:b/>
          <w:sz w:val="20"/>
        </w:rPr>
      </w:pPr>
      <w:bookmarkStart w:id="717" w:name="cvrx-20240331xex31d1.htm"/>
      <w:bookmarkStart w:id="718" w:name="kscvrx20240331xex31d1"/>
      <w:bookmarkEnd w:id="717"/>
      <w:bookmarkEnd w:id="718"/>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Kevin Hykes, certify that:</w:t>
      </w:r>
    </w:p>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533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CVRx,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10, 2024</w:t>
      </w:r>
    </w:p>
    <w:p>
      <w:pPr>
        <w:pStyle w:val="TextBody"/>
        <w:bidi w:val="0"/>
        <w:spacing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Hykes</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Kevin Hykes </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719" w:name="cvrx-20240331xex31d2.htm"/>
      <w:bookmarkStart w:id="720" w:name="kscvrx20240331xex31d2"/>
      <w:bookmarkEnd w:id="719"/>
      <w:bookmarkEnd w:id="720"/>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Jared Oasheim, certify that:</w:t>
      </w:r>
    </w:p>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533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CVRx,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10, 2024</w:t>
      </w:r>
    </w:p>
    <w:p>
      <w:pPr>
        <w:pStyle w:val="TextBody"/>
        <w:bidi w:val="0"/>
        <w:spacing w:before="0" w:after="0"/>
        <w:ind w:left="0" w:right="0" w:hanging="0"/>
        <w:jc w:val="left"/>
        <w:rPr/>
      </w:pPr>
      <w:r>
        <w:rPr/>
        <w:t>​</w:t>
      </w:r>
    </w:p>
    <w:tbl>
      <w:tblPr>
        <w:tblW w:w="2913" w:type="dxa"/>
        <w:jc w:val="left"/>
        <w:tblInd w:w="0" w:type="dxa"/>
        <w:tblLayout w:type="fixed"/>
        <w:tblCellMar>
          <w:top w:w="0" w:type="dxa"/>
          <w:left w:w="0" w:type="dxa"/>
          <w:bottom w:w="0" w:type="dxa"/>
          <w:right w:w="0" w:type="dxa"/>
        </w:tblCellMar>
      </w:tblPr>
      <w:tblGrid>
        <w:gridCol w:w="271"/>
        <w:gridCol w:w="631"/>
        <w:gridCol w:w="2011"/>
      </w:tblGrid>
      <w:tr>
        <w:trPr/>
        <w:tc>
          <w:tcPr>
            <w:tcW w:w="2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Jared Oasheim</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Jared Oasheim</w:t>
            </w:r>
          </w:p>
        </w:tc>
      </w:tr>
      <w:tr>
        <w:trPr/>
        <w:tc>
          <w:tcPr>
            <w:tcW w:w="27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721" w:name="cvrx-20240331xex32d1.htm"/>
      <w:bookmarkStart w:id="722" w:name="kscvrx20240331xex32d1"/>
      <w:bookmarkEnd w:id="721"/>
      <w:bookmarkEnd w:id="722"/>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CEO Pursuant to 18 U.S.C. Section 1350,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CVRx, Inc. (the “Company”) on Form 10-Q for the period ended March 31, 2024 (the “Report”), as filed with the Securities and Exchange Commission on the date hereof, I, the undersigned, certify, pursuant to 18 U.S.C. Section 1350, as adopted pursuant to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10, 2024</w:t>
      </w:r>
    </w:p>
    <w:p>
      <w:pPr>
        <w:pStyle w:val="TextBody"/>
        <w:bidi w:val="0"/>
        <w:spacing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Hykes</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Hykes</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723" w:name="cvrx-20240331xex32d2.htm"/>
      <w:bookmarkStart w:id="724" w:name="kscvrx20240331xex32d2"/>
      <w:bookmarkEnd w:id="723"/>
      <w:bookmarkEnd w:id="724"/>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CFO Pursuant to 18 U.S.C. Section 1350,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CVRx, Inc. (the “Company”) on Form 10-Q for the period ended March 31, 2024 (the “Report”), as filed with the Securities and Exchange Commission on the date hereof, I, the undersigned, certify, pursuant to 18 U.S.C. Section 1350, as adopted pursuant to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10, 2024</w:t>
      </w:r>
    </w:p>
    <w:p>
      <w:pPr>
        <w:pStyle w:val="TextBody"/>
        <w:bidi w:val="0"/>
        <w:spacing w:before="0" w:after="0"/>
        <w:ind w:left="0" w:right="0" w:hanging="0"/>
        <w:jc w:val="left"/>
        <w:rPr/>
      </w:pPr>
      <w:r>
        <w:rPr/>
        <w:t>​</w:t>
      </w:r>
    </w:p>
    <w:tbl>
      <w:tblPr>
        <w:tblW w:w="2973" w:type="dxa"/>
        <w:jc w:val="left"/>
        <w:tblInd w:w="0" w:type="dxa"/>
        <w:tblLayout w:type="fixed"/>
        <w:tblCellMar>
          <w:top w:w="0" w:type="dxa"/>
          <w:left w:w="0" w:type="dxa"/>
          <w:bottom w:w="0" w:type="dxa"/>
          <w:right w:w="0" w:type="dxa"/>
        </w:tblCellMar>
      </w:tblPr>
      <w:tblGrid>
        <w:gridCol w:w="331"/>
        <w:gridCol w:w="631"/>
        <w:gridCol w:w="2011"/>
      </w:tblGrid>
      <w:tr>
        <w:trPr/>
        <w:tc>
          <w:tcPr>
            <w:tcW w:w="3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J. </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Jared Oasheim</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Jared Oasheim</w:t>
            </w:r>
          </w:p>
        </w:tc>
      </w:tr>
      <w:tr>
        <w:trPr/>
        <w:tc>
          <w:tcPr>
            <w:tcW w:w="3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5912/000110465921089779/tm2121505d1_ex3-1.htm" TargetMode="External"/><Relationship Id="rId3" Type="http://schemas.openxmlformats.org/officeDocument/2006/relationships/hyperlink" Target="https://www.sec.gov/Archives/edgar/data/1235912/000110465921089779/tm2121505d1_ex3-2.htm" TargetMode="External"/><Relationship Id="rId4" Type="http://schemas.openxmlformats.org/officeDocument/2006/relationships/hyperlink" Target="https://www.sec.gov/Archives/edgar/data/1235912/000110465924008555/tm244504d1_ex10-1.htm" TargetMode="External"/><Relationship Id="rId5" Type="http://schemas.openxmlformats.org/officeDocument/2006/relationships/hyperlink" Target="https://www.sec.gov/Archives/edgar/data/1235912/000110465924008555/tm244504d1_ex1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14669</Words>
  <Characters>79507</Characters>
  <CharactersWithSpaces>94802</CharactersWithSpaces>
  <Paragraphs>3158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