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September 30, 2023</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0"/>
                <w:szCs w:val="20"/>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200"/>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59"/>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200"/>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2"/>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87"/>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26"/>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19"/>
                <w:szCs w:val="19"/>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27"/>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59" w:lineRule="exact"/>
        <w:rPr>
          <w:sz w:val="24"/>
          <w:szCs w:val="24"/>
          <w:color w:val="auto"/>
        </w:rPr>
      </w:pPr>
    </w:p>
    <w:p>
      <w:pPr>
        <w:ind w:left="40"/>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40" w:right="380"/>
        <w:spacing w:after="0" w:line="24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16" w:lineRule="exact"/>
        <w:rPr>
          <w:sz w:val="24"/>
          <w:szCs w:val="24"/>
          <w:color w:val="auto"/>
        </w:rPr>
      </w:pPr>
    </w:p>
    <w:p>
      <w:pPr>
        <w:ind w:left="40" w:right="20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5" w:right="919" w:bottom="1440" w:gutter="0" w:footer="0" w:header="0"/>
        </w:sectPr>
      </w:pPr>
    </w:p>
    <w:p>
      <w:pPr>
        <w:spacing w:after="0" w:line="185"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5" w:right="919" w:bottom="1440" w:gutter="0" w:footer="0" w:header="0"/>
          <w:type w:val="continuous"/>
        </w:sectPr>
      </w:pPr>
    </w:p>
    <w:p>
      <w:pPr>
        <w:spacing w:after="0" w:line="49"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52"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5" w:right="919" w:bottom="1440" w:gutter="0" w:footer="0" w:header="0"/>
          <w:type w:val="continuous"/>
        </w:sectPr>
      </w:pPr>
    </w:p>
    <w:p>
      <w:pPr>
        <w:ind w:left="40" w:right="3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40" w:right="1840"/>
        <w:spacing w:after="0" w:line="25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24, 2023, there were 20,815,635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676910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76835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119380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980" w:type="dxa"/>
            <w:vAlign w:val="bottom"/>
            <w:gridSpan w:val="11"/>
          </w:tcPr>
          <w:p>
            <w:pPr>
              <w:ind w:left="240"/>
              <w:spacing w:after="0"/>
              <w:rPr>
                <w:sz w:val="20"/>
                <w:szCs w:val="20"/>
                <w:color w:val="auto"/>
              </w:rPr>
            </w:pPr>
            <w:r>
              <w:rPr>
                <w:rFonts w:ascii="Arial" w:cs="Arial" w:eastAsia="Arial" w:hAnsi="Arial"/>
                <w:sz w:val="18"/>
                <w:szCs w:val="18"/>
                <w:b w:val="1"/>
                <w:bCs w:val="1"/>
                <w:color w:val="auto"/>
              </w:rPr>
              <w:t>TABLE OF CONTENTS</w:t>
            </w:r>
          </w:p>
        </w:tc>
      </w:tr>
      <w:tr>
        <w:trPr>
          <w:trHeight w:val="812"/>
        </w:trPr>
        <w:tc>
          <w:tcPr>
            <w:tcW w:w="440" w:type="dxa"/>
            <w:vAlign w:val="bottom"/>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6"/>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b w:val="1"/>
                <w:bCs w:val="1"/>
                <w:color w:val="0000EE"/>
              </w:rPr>
              <w:t>Financial Information</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8"/>
                <w:szCs w:val="18"/>
                <w:color w:val="0000EE"/>
                <w:w w:val="79"/>
              </w:rPr>
              <w:t>Item 1.</w:t>
            </w:r>
          </w:p>
        </w:tc>
        <w:tc>
          <w:tcPr>
            <w:tcW w:w="760" w:type="dxa"/>
            <w:vAlign w:val="bottom"/>
            <w:gridSpan w:val="5"/>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Financial Statements</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Condensed Consolidated Balance Sheets as of September 30, 2023 and December 31,</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2022 (Unaudited)</w:t>
            </w:r>
          </w:p>
        </w:tc>
        <w:tc>
          <w:tcPr>
            <w:tcW w:w="5440" w:type="dxa"/>
            <w:vAlign w:val="bottom"/>
            <w:gridSpan w:val="15"/>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three and nine months ended September 30, 2023 and 2022 (Unaudited)</w:t>
            </w:r>
          </w:p>
        </w:tc>
        <w:tc>
          <w:tcPr>
            <w:tcW w:w="22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Condensed Consolidated Statements of Stockholders’ Equity for the three and nine</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months ended September 30, 2023 and 2022 (Unaudited)</w:t>
            </w:r>
          </w:p>
        </w:tc>
        <w:tc>
          <w:tcPr>
            <w:tcW w:w="340" w:type="dxa"/>
            <w:vAlign w:val="bottom"/>
            <w:gridSpan w:val="2"/>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Condensed Consolidated Statements of Cash Flows for the nine months ended</w:t>
            </w:r>
          </w:p>
        </w:tc>
        <w:tc>
          <w:tcPr>
            <w:tcW w:w="660" w:type="dxa"/>
            <w:vAlign w:val="bottom"/>
            <w:gridSpan w:val="4"/>
          </w:tcPr>
          <w:p>
            <w:pPr>
              <w:spacing w:after="0"/>
              <w:rPr>
                <w:sz w:val="24"/>
                <w:szCs w:val="24"/>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September 30, 2023 and 2022 (Unaudited)</w:t>
            </w:r>
          </w:p>
        </w:tc>
        <w:tc>
          <w:tcPr>
            <w:tcW w:w="3420" w:type="dxa"/>
            <w:vAlign w:val="bottom"/>
            <w:gridSpan w:val="9"/>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760" w:type="dxa"/>
            <w:vAlign w:val="bottom"/>
            <w:gridSpan w:val="5"/>
          </w:tcPr>
          <w:p>
            <w:pPr>
              <w:spacing w:after="0"/>
              <w:rPr>
                <w:sz w:val="24"/>
                <w:szCs w:val="24"/>
                <w:color w:val="auto"/>
              </w:rPr>
            </w:pPr>
          </w:p>
        </w:tc>
        <w:tc>
          <w:tcPr>
            <w:tcW w:w="61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8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Operations</w:t>
            </w:r>
          </w:p>
        </w:tc>
        <w:tc>
          <w:tcPr>
            <w:tcW w:w="5960" w:type="dxa"/>
            <w:vAlign w:val="bottom"/>
            <w:gridSpan w:val="19"/>
          </w:tcPr>
          <w:p>
            <w:pPr>
              <w:spacing w:after="0"/>
              <w:rPr>
                <w:sz w:val="17"/>
                <w:szCs w:val="17"/>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7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240" w:type="dxa"/>
            <w:vAlign w:val="bottom"/>
            <w:gridSpan w:val="8"/>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4.</w:t>
            </w:r>
          </w:p>
        </w:tc>
        <w:tc>
          <w:tcPr>
            <w:tcW w:w="760" w:type="dxa"/>
            <w:vAlign w:val="bottom"/>
            <w:gridSpan w:val="5"/>
          </w:tcPr>
          <w:p>
            <w:pPr>
              <w:spacing w:after="0"/>
              <w:rPr>
                <w:sz w:val="24"/>
                <w:szCs w:val="24"/>
                <w:color w:val="auto"/>
              </w:rPr>
            </w:pPr>
          </w:p>
        </w:tc>
        <w:tc>
          <w:tcPr>
            <w:tcW w:w="2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Controls and Procedures</w:t>
            </w:r>
          </w:p>
        </w:tc>
        <w:tc>
          <w:tcPr>
            <w:tcW w:w="4980" w:type="dxa"/>
            <w:vAlign w:val="bottom"/>
            <w:gridSpan w:val="11"/>
          </w:tcPr>
          <w:p>
            <w:pPr>
              <w:spacing w:after="0"/>
              <w:rPr>
                <w:sz w:val="24"/>
                <w:szCs w:val="24"/>
                <w:color w:val="auto"/>
              </w:rPr>
            </w:pPr>
          </w:p>
        </w:tc>
      </w:tr>
      <w:tr>
        <w:trPr>
          <w:trHeight w:val="398"/>
        </w:trPr>
        <w:tc>
          <w:tcPr>
            <w:tcW w:w="1240" w:type="dxa"/>
            <w:vAlign w:val="bottom"/>
            <w:gridSpan w:val="7"/>
          </w:tcPr>
          <w:p>
            <w:pPr>
              <w:spacing w:after="0"/>
              <w:rPr>
                <w:sz w:val="20"/>
                <w:szCs w:val="20"/>
                <w:color w:val="auto"/>
              </w:rPr>
            </w:pPr>
            <w:r>
              <w:rPr>
                <w:rFonts w:ascii="Arial" w:cs="Arial" w:eastAsia="Arial" w:hAnsi="Arial"/>
                <w:sz w:val="18"/>
                <w:szCs w:val="18"/>
                <w:b w:val="1"/>
                <w:bCs w:val="1"/>
                <w:color w:val="0000EE"/>
              </w:rPr>
              <w:t>Part II</w:t>
            </w:r>
          </w:p>
        </w:tc>
        <w:tc>
          <w:tcPr>
            <w:tcW w:w="6980" w:type="dxa"/>
            <w:vAlign w:val="bottom"/>
            <w:gridSpan w:val="23"/>
          </w:tcPr>
          <w:p>
            <w:pPr>
              <w:spacing w:after="0"/>
              <w:rPr>
                <w:sz w:val="20"/>
                <w:szCs w:val="20"/>
                <w:color w:val="auto"/>
              </w:rPr>
            </w:pPr>
            <w:r>
              <w:rPr>
                <w:rFonts w:ascii="Arial" w:cs="Arial" w:eastAsia="Arial" w:hAnsi="Arial"/>
                <w:sz w:val="18"/>
                <w:szCs w:val="18"/>
                <w:b w:val="1"/>
                <w:bCs w:val="1"/>
                <w:color w:val="0000EE"/>
              </w:rPr>
              <w:t>Other Information</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Legal Proceedings</w:t>
            </w:r>
          </w:p>
        </w:tc>
        <w:tc>
          <w:tcPr>
            <w:tcW w:w="5460" w:type="dxa"/>
            <w:vAlign w:val="bottom"/>
            <w:gridSpan w:val="16"/>
          </w:tcPr>
          <w:p>
            <w:pPr>
              <w:spacing w:after="0"/>
              <w:rPr>
                <w:sz w:val="24"/>
                <w:szCs w:val="24"/>
                <w:color w:val="auto"/>
              </w:rPr>
            </w:pPr>
          </w:p>
        </w:tc>
      </w:tr>
      <w:tr>
        <w:trPr>
          <w:trHeight w:val="399"/>
        </w:trPr>
        <w:tc>
          <w:tcPr>
            <w:tcW w:w="660" w:type="dxa"/>
            <w:vAlign w:val="bottom"/>
            <w:gridSpan w:val="4"/>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Risk Factors</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98"/>
        </w:trPr>
        <w:tc>
          <w:tcPr>
            <w:tcW w:w="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Item 2.</w:t>
            </w:r>
          </w:p>
        </w:tc>
        <w:tc>
          <w:tcPr>
            <w:tcW w:w="180" w:type="dxa"/>
            <w:vAlign w:val="bottom"/>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66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Unregistered Sales of Equity Securities, Use of Proceeds, and Issuer Purchases of</w:t>
            </w:r>
          </w:p>
        </w:tc>
        <w:tc>
          <w:tcPr>
            <w:tcW w:w="380" w:type="dxa"/>
            <w:vAlign w:val="bottom"/>
            <w:gridSpan w:val="3"/>
          </w:tcPr>
          <w:p>
            <w:pPr>
              <w:spacing w:after="0"/>
              <w:rPr>
                <w:sz w:val="24"/>
                <w:szCs w:val="24"/>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80" w:type="dxa"/>
            <w:vAlign w:val="bottom"/>
            <w:gridSpan w:val="23"/>
          </w:tcPr>
          <w:p>
            <w:pPr>
              <w:spacing w:after="0" w:line="182" w:lineRule="exact"/>
              <w:rPr>
                <w:sz w:val="20"/>
                <w:szCs w:val="20"/>
                <w:color w:val="auto"/>
              </w:rPr>
            </w:pPr>
            <w:r>
              <w:rPr>
                <w:rFonts w:ascii="Arial" w:cs="Arial" w:eastAsia="Arial" w:hAnsi="Arial"/>
                <w:sz w:val="18"/>
                <w:szCs w:val="18"/>
                <w:color w:val="0000EE"/>
              </w:rPr>
              <w:t>Equity Securities</w:t>
            </w:r>
          </w:p>
        </w:tc>
      </w:tr>
      <w:tr>
        <w:trPr>
          <w:trHeight w:val="20"/>
        </w:trPr>
        <w:tc>
          <w:tcPr>
            <w:tcW w:w="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r>
      <w:tr>
        <w:trPr>
          <w:trHeight w:val="385"/>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25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Defaults Upon Senior Securities</w:t>
            </w:r>
          </w:p>
        </w:tc>
        <w:tc>
          <w:tcPr>
            <w:tcW w:w="4420" w:type="dxa"/>
            <w:vAlign w:val="bottom"/>
            <w:gridSpan w:val="10"/>
          </w:tcPr>
          <w:p>
            <w:pPr>
              <w:spacing w:after="0"/>
              <w:rPr>
                <w:sz w:val="24"/>
                <w:szCs w:val="24"/>
                <w:color w:val="auto"/>
              </w:rPr>
            </w:pPr>
          </w:p>
        </w:tc>
      </w:tr>
      <w:tr>
        <w:trPr>
          <w:trHeight w:val="398"/>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1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Mine Safety Disclosures</w:t>
            </w:r>
          </w:p>
        </w:tc>
        <w:tc>
          <w:tcPr>
            <w:tcW w:w="5040" w:type="dxa"/>
            <w:vAlign w:val="bottom"/>
            <w:gridSpan w:val="12"/>
          </w:tcPr>
          <w:p>
            <w:pPr>
              <w:spacing w:after="0"/>
              <w:rPr>
                <w:sz w:val="24"/>
                <w:szCs w:val="24"/>
                <w:color w:val="auto"/>
              </w:rPr>
            </w:pPr>
          </w:p>
        </w:tc>
      </w:tr>
      <w:tr>
        <w:trPr>
          <w:trHeight w:val="398"/>
        </w:trPr>
        <w:tc>
          <w:tcPr>
            <w:tcW w:w="560" w:type="dxa"/>
            <w:vAlign w:val="bottom"/>
            <w:gridSpan w:val="3"/>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6980" w:type="dxa"/>
            <w:vAlign w:val="bottom"/>
            <w:gridSpan w:val="23"/>
          </w:tcPr>
          <w:p>
            <w:pPr>
              <w:spacing w:after="0"/>
              <w:rPr>
                <w:sz w:val="20"/>
                <w:szCs w:val="20"/>
                <w:color w:val="auto"/>
              </w:rPr>
            </w:pPr>
            <w:r>
              <w:rPr>
                <w:rFonts w:ascii="Arial" w:cs="Arial" w:eastAsia="Arial" w:hAnsi="Arial"/>
                <w:sz w:val="18"/>
                <w:szCs w:val="18"/>
                <w:color w:val="0000EE"/>
              </w:rPr>
              <w:t>Other Information</w:t>
            </w:r>
          </w:p>
        </w:tc>
      </w:tr>
      <w:tr>
        <w:trPr>
          <w:trHeight w:val="399"/>
        </w:trPr>
        <w:tc>
          <w:tcPr>
            <w:tcW w:w="4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79"/>
              </w:rPr>
              <w:t>Item 6.</w:t>
            </w:r>
          </w:p>
        </w:tc>
        <w:tc>
          <w:tcPr>
            <w:tcW w:w="8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4"/>
          </w:tcPr>
          <w:p>
            <w:pPr>
              <w:spacing w:after="0"/>
              <w:rPr>
                <w:sz w:val="24"/>
                <w:szCs w:val="24"/>
                <w:color w:val="auto"/>
              </w:rPr>
            </w:pPr>
          </w:p>
        </w:tc>
        <w:tc>
          <w:tcPr>
            <w:tcW w:w="5580" w:type="dxa"/>
            <w:vAlign w:val="bottom"/>
            <w:gridSpan w:val="17"/>
          </w:tcPr>
          <w:p>
            <w:pPr>
              <w:spacing w:after="0"/>
              <w:rPr>
                <w:sz w:val="24"/>
                <w:szCs w:val="24"/>
                <w:color w:val="auto"/>
              </w:rPr>
            </w:pPr>
          </w:p>
        </w:tc>
      </w:tr>
      <w:tr>
        <w:trPr>
          <w:trHeight w:val="398"/>
        </w:trPr>
        <w:tc>
          <w:tcPr>
            <w:tcW w:w="1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9"/>
        </w:trPr>
        <w:tc>
          <w:tcPr>
            <w:tcW w:w="1240" w:type="dxa"/>
            <w:vAlign w:val="bottom"/>
            <w:gridSpan w:val="7"/>
          </w:tcPr>
          <w:p>
            <w:pPr>
              <w:spacing w:after="0"/>
              <w:rPr>
                <w:sz w:val="20"/>
                <w:szCs w:val="20"/>
                <w:color w:val="auto"/>
              </w:rPr>
            </w:pPr>
            <w:r>
              <w:rPr>
                <w:rFonts w:ascii="Arial" w:cs="Arial" w:eastAsia="Arial" w:hAnsi="Arial"/>
                <w:sz w:val="18"/>
                <w:szCs w:val="18"/>
                <w:color w:val="0000EE"/>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60"/>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14"/>
          </w:tcPr>
          <w:p>
            <w:pPr>
              <w:ind w:left="316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1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28</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8280" w:space="300"/>
            <w:col w:w="43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19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2022, which are summarized below, as updated in Part II, Item 1A. “Risk Factors” in this Quarterly Report on Form 10-Q. Moreover, we operate in an evolving environment. New risk factors and uncertainties may emerge from time to time, and it is not possible for management to predict all risk factors and uncertainties.</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00"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2022, as updated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189" w:lineRule="exact"/>
        <w:rPr>
          <w:sz w:val="20"/>
          <w:szCs w:val="20"/>
          <w:color w:val="auto"/>
        </w:rPr>
      </w:pPr>
    </w:p>
    <w:p>
      <w:pPr>
        <w:ind w:left="720" w:right="7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64" w:lineRule="exact"/>
        <w:rPr>
          <w:rFonts w:ascii="Arial" w:cs="Arial" w:eastAsia="Arial" w:hAnsi="Arial"/>
          <w:sz w:val="18"/>
          <w:szCs w:val="18"/>
          <w:color w:val="auto"/>
        </w:rPr>
      </w:pPr>
    </w:p>
    <w:p>
      <w:pPr>
        <w:ind w:left="720" w:right="99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(three of whom are affiliated with our principal stockholders) own a significant percentage of our stock and will be able to exert significant control over matters subject to stockholder approval;</w:t>
      </w:r>
    </w:p>
    <w:p>
      <w:pPr>
        <w:spacing w:after="0" w:line="76" w:lineRule="exact"/>
        <w:rPr>
          <w:rFonts w:ascii="Arial" w:cs="Arial" w:eastAsia="Arial" w:hAnsi="Arial"/>
          <w:sz w:val="18"/>
          <w:szCs w:val="18"/>
          <w:color w:val="auto"/>
        </w:rPr>
      </w:pPr>
    </w:p>
    <w:p>
      <w:pPr>
        <w:ind w:left="720" w:right="7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0" w:right="83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7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Barostim;</w:t>
      </w:r>
    </w:p>
    <w:p>
      <w:pPr>
        <w:spacing w:after="0" w:line="117" w:lineRule="exact"/>
        <w:rPr>
          <w:rFonts w:ascii="Arial" w:cs="Arial" w:eastAsia="Arial" w:hAnsi="Arial"/>
          <w:sz w:val="18"/>
          <w:szCs w:val="18"/>
          <w:color w:val="auto"/>
        </w:rPr>
      </w:pPr>
    </w:p>
    <w:p>
      <w:pPr>
        <w:ind w:left="720" w:right="12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64" w:lineRule="exact"/>
        <w:rPr>
          <w:rFonts w:ascii="Arial" w:cs="Arial" w:eastAsia="Arial" w:hAnsi="Arial"/>
          <w:sz w:val="18"/>
          <w:szCs w:val="18"/>
          <w:color w:val="auto"/>
        </w:rPr>
      </w:pPr>
    </w:p>
    <w:p>
      <w:pPr>
        <w:ind w:left="720" w:right="739" w:hanging="319"/>
        <w:spacing w:after="0" w:line="241"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81"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51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79" w:lineRule="exact"/>
        <w:rPr>
          <w:rFonts w:ascii="Arial" w:cs="Arial" w:eastAsia="Arial" w:hAnsi="Arial"/>
          <w:sz w:val="18"/>
          <w:szCs w:val="18"/>
          <w:color w:val="auto"/>
        </w:rPr>
      </w:pPr>
    </w:p>
    <w:p>
      <w:pPr>
        <w:ind w:left="720" w:right="5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64" w:lineRule="exact"/>
        <w:rPr>
          <w:rFonts w:ascii="Arial" w:cs="Arial" w:eastAsia="Arial" w:hAnsi="Arial"/>
          <w:sz w:val="18"/>
          <w:szCs w:val="18"/>
          <w:color w:val="auto"/>
        </w:rPr>
      </w:pPr>
    </w:p>
    <w:p>
      <w:pPr>
        <w:ind w:left="720" w:right="59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76" w:lineRule="exact"/>
        <w:rPr>
          <w:rFonts w:ascii="Arial" w:cs="Arial" w:eastAsia="Arial" w:hAnsi="Arial"/>
          <w:sz w:val="18"/>
          <w:szCs w:val="18"/>
          <w:color w:val="auto"/>
        </w:rPr>
      </w:pPr>
    </w:p>
    <w:p>
      <w:pPr>
        <w:ind w:left="720" w:right="59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64" w:lineRule="exact"/>
        <w:rPr>
          <w:rFonts w:ascii="Arial" w:cs="Arial" w:eastAsia="Arial" w:hAnsi="Arial"/>
          <w:sz w:val="18"/>
          <w:szCs w:val="18"/>
          <w:color w:val="auto"/>
        </w:rPr>
      </w:pPr>
    </w:p>
    <w:p>
      <w:pPr>
        <w:ind w:left="720" w:right="59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79" w:lineRule="exact"/>
        <w:rPr>
          <w:rFonts w:ascii="Arial" w:cs="Arial" w:eastAsia="Arial" w:hAnsi="Arial"/>
          <w:sz w:val="18"/>
          <w:szCs w:val="18"/>
          <w:color w:val="auto"/>
        </w:rPr>
      </w:pPr>
    </w:p>
    <w:p>
      <w:pPr>
        <w:ind w:left="720" w:right="679" w:hanging="319"/>
        <w:spacing w:after="0" w:line="28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42" w:lineRule="exact"/>
        <w:rPr>
          <w:rFonts w:ascii="Arial" w:cs="Arial" w:eastAsia="Arial" w:hAnsi="Arial"/>
          <w:sz w:val="17"/>
          <w:szCs w:val="17"/>
          <w:color w:val="auto"/>
        </w:rPr>
      </w:pPr>
    </w:p>
    <w:p>
      <w:pPr>
        <w:ind w:left="720" w:right="5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6600" w:type="dxa"/>
            <w:vAlign w:val="bottom"/>
          </w:tcPr>
          <w:p>
            <w:pPr>
              <w:spacing w:after="0"/>
              <w:rPr>
                <w:sz w:val="17"/>
                <w:szCs w:val="17"/>
                <w:color w:val="auto"/>
              </w:rPr>
            </w:pP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82,993</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106,194</w:t>
            </w: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$506 and $679, respectively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103,597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122,878</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106,404</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124,937</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1,133</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7,407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23,577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15,757</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stock, $0.01 par value, 200,000,000 authorized as of</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2023 and December 31, 2022; 20,813,612 and 20,663,736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and outstanding as of September 30, 2023 and December 31, 2022,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551,045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545,362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(468,218)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(436,182)</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82,827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109,180</w:t>
            </w:r>
          </w:p>
        </w:tc>
        <w:tc>
          <w:tcPr>
            <w:tcW w:w="0" w:type="dxa"/>
            <w:vAlign w:val="bottom"/>
          </w:tcPr>
          <w:p>
            <w:pPr>
              <w:spacing w:after="0"/>
              <w:rPr>
                <w:sz w:val="1"/>
                <w:szCs w:val="1"/>
                <w:color w:val="auto"/>
              </w:rPr>
            </w:pPr>
          </w:p>
        </w:tc>
      </w:tr>
      <w:tr>
        <w:trPr>
          <w:trHeight w:val="196"/>
        </w:trPr>
        <w:tc>
          <w:tcPr>
            <w:tcW w:w="660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106,404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124,937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3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27,990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15,293</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3,490</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23,454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11,803</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6,906</w:t>
            </w:r>
          </w:p>
        </w:tc>
      </w:tr>
      <w:tr>
        <w:trPr>
          <w:trHeight w:val="203"/>
        </w:trPr>
        <w:tc>
          <w:tcPr>
            <w:tcW w:w="3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15,652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12,679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47,504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35,945</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18,348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14,972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42,851</w:t>
            </w:r>
          </w:p>
        </w:tc>
      </w:tr>
      <w:tr>
        <w:trPr>
          <w:trHeight w:val="196"/>
        </w:trPr>
        <w:tc>
          <w:tcPr>
            <w:tcW w:w="360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(9,528)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(33,442)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(31,048)</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(31,928)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(30,811)</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(30,892)</w:t>
            </w: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96"/>
        </w:trPr>
        <w:tc>
          <w:tcPr>
            <w:tcW w:w="360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(9,032)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(9,838)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(32,037)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0"/>
        </w:trPr>
        <w:tc>
          <w:tcPr>
            <w:tcW w:w="3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common shares used to</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 net loss per share, basic and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20,801,350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20,576,838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20,512,254</w:t>
            </w:r>
          </w:p>
        </w:tc>
      </w:tr>
    </w:tbl>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June 30, 2023</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20,750,910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208</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549,150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(459,207)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89,964</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62,702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363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2023</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(9,011)</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(9,011)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35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2023</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20,813,612</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551,045</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(468,218)</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82,827</w:t>
            </w:r>
          </w:p>
        </w:tc>
        <w:tc>
          <w:tcPr>
            <w:tcW w:w="0" w:type="dxa"/>
            <w:vAlign w:val="bottom"/>
          </w:tcPr>
          <w:p>
            <w:pPr>
              <w:spacing w:after="0"/>
              <w:rPr>
                <w:sz w:val="1"/>
                <w:szCs w:val="1"/>
                <w:color w:val="auto"/>
              </w:rPr>
            </w:pPr>
          </w:p>
        </w:tc>
      </w:tr>
      <w:tr>
        <w:trPr>
          <w:trHeight w:val="116"/>
        </w:trPr>
        <w:tc>
          <w:tcPr>
            <w:tcW w:w="35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Balances as of June 30, 2022</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20,576,149</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206</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542,967</w:t>
            </w:r>
          </w:p>
        </w:tc>
        <w:tc>
          <w:tcPr>
            <w:tcW w:w="14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(415,816)</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(211)</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127,146</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929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three months ended September 30, 2022</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(9,830)</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(9,830)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2022</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20,578,963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543,903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(425,646)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(219)</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118,244</w:t>
            </w:r>
          </w:p>
        </w:tc>
        <w:tc>
          <w:tcPr>
            <w:tcW w:w="0" w:type="dxa"/>
            <w:vAlign w:val="bottom"/>
          </w:tcPr>
          <w:p>
            <w:pPr>
              <w:spacing w:after="0"/>
              <w:rPr>
                <w:sz w:val="1"/>
                <w:szCs w:val="1"/>
                <w:color w:val="auto"/>
              </w:rPr>
            </w:pPr>
          </w:p>
        </w:tc>
      </w:tr>
      <w:tr>
        <w:trPr>
          <w:trHeight w:val="485"/>
        </w:trPr>
        <w:tc>
          <w:tcPr>
            <w:tcW w:w="3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40" w:type="dxa"/>
            <w:vAlign w:val="bottom"/>
            <w:gridSpan w:val="5"/>
            <w:vMerge w:val="restart"/>
          </w:tcPr>
          <w:p>
            <w:pPr>
              <w:ind w:left="28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1"/>
                <w:szCs w:val="11"/>
                <w:color w:val="auto"/>
              </w:rPr>
            </w:pPr>
          </w:p>
        </w:tc>
        <w:tc>
          <w:tcPr>
            <w:tcW w:w="6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comprehensive</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60" w:type="dxa"/>
            <w:vAlign w:val="bottom"/>
          </w:tcPr>
          <w:p>
            <w:pPr>
              <w:spacing w:after="0"/>
              <w:rPr>
                <w:sz w:val="11"/>
                <w:szCs w:val="11"/>
                <w:color w:val="auto"/>
              </w:rPr>
            </w:pPr>
          </w:p>
        </w:tc>
        <w:tc>
          <w:tcPr>
            <w:tcW w:w="8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0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loss</w:t>
            </w:r>
          </w:p>
        </w:tc>
        <w:tc>
          <w:tcPr>
            <w:tcW w:w="160" w:type="dxa"/>
            <w:vAlign w:val="bottom"/>
          </w:tcPr>
          <w:p>
            <w:pPr>
              <w:spacing w:after="0"/>
              <w:rPr>
                <w:sz w:val="11"/>
                <w:szCs w:val="11"/>
                <w:color w:val="auto"/>
              </w:rPr>
            </w:pPr>
          </w:p>
        </w:tc>
        <w:tc>
          <w:tcPr>
            <w:tcW w:w="680" w:type="dxa"/>
            <w:vAlign w:val="bottom"/>
          </w:tcPr>
          <w:p>
            <w:pPr>
              <w:jc w:val="center"/>
              <w:ind w:right="9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December 31, 2022</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20,663,736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545,362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(436,182)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109,180</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115,455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518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4,713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4,713</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2023</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(32,036)</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(32,036)</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2023</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20,813,612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551,045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(468,218)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82,827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December 31, 2021</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20,399,337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540,707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(394,754)</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(198)</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145,959</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121,945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Employee Stock Purchase Plan</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57,681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2,822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2,822</w:t>
            </w:r>
          </w:p>
        </w:tc>
        <w:tc>
          <w:tcPr>
            <w:tcW w:w="0" w:type="dxa"/>
            <w:vAlign w:val="bottom"/>
          </w:tcPr>
          <w:p>
            <w:pPr>
              <w:spacing w:after="0"/>
              <w:rPr>
                <w:sz w:val="1"/>
                <w:szCs w:val="1"/>
                <w:color w:val="auto"/>
              </w:rPr>
            </w:pP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 for the nine months ended September 30, 2022</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(30,892)</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(30,892)</w:t>
            </w:r>
          </w:p>
        </w:tc>
        <w:tc>
          <w:tcPr>
            <w:tcW w:w="0" w:type="dxa"/>
            <w:vAlign w:val="bottom"/>
          </w:tcPr>
          <w:p>
            <w:pPr>
              <w:spacing w:after="0"/>
              <w:rPr>
                <w:sz w:val="1"/>
                <w:szCs w:val="1"/>
                <w:color w:val="auto"/>
              </w:rPr>
            </w:pP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3"/>
                <w:szCs w:val="13"/>
                <w:color w:val="auto"/>
              </w:rPr>
              <w:t>Cumulative translation adjustment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Balances as of September 30, 2022</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20,578,963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543,903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(425,646)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(219)</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118,244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2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(32,036)</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(30,892)</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2,822</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Loss on disposal of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(2,737)</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(31,182)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(31,836)</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2"/>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8,404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(32,087)</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106,194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142,072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82,993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109,985</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57"/>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2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84"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2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94"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22"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2"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September 30, 2023 and December 31, 2022, cash equivalents consisted of money market funds, which are stated at cost and approximate fair value. Additionally, as of September 30, 2023 and December 31, 2022, a majority of our cash and cash equivalents were maintained with two financial institutions in the U.S., and our current deposits are likely in excess of insured limits.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22"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ind w:left="60" w:right="299"/>
        <w:spacing w:after="0" w:line="269"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6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79"/>
        <w:spacing w:after="0" w:line="260" w:lineRule="auto"/>
        <w:rPr>
          <w:sz w:val="20"/>
          <w:szCs w:val="20"/>
          <w:color w:val="auto"/>
        </w:rPr>
      </w:pPr>
      <w:r>
        <w:rPr>
          <w:rFonts w:ascii="Arial" w:cs="Arial" w:eastAsia="Arial" w:hAnsi="Arial"/>
          <w:sz w:val="18"/>
          <w:szCs w:val="18"/>
          <w:color w:val="auto"/>
        </w:rPr>
        <w:t>our equity-based compensation awards granted to employees on a straight-line basis over the associated service period, which is generally the period in which the related services are received.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2,390</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4,839</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10,887</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4,382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is determined using the straight-line method over the estimated useful lives of the respective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generally three to five years. Leasehold improvements are amortized on a straight-line basis over the</w:t>
      </w:r>
    </w:p>
    <w:p>
      <w:pPr>
        <w:ind w:left="60"/>
        <w:spacing w:after="0" w:line="234" w:lineRule="auto"/>
        <w:rPr>
          <w:sz w:val="20"/>
          <w:szCs w:val="20"/>
          <w:color w:val="auto"/>
        </w:rPr>
      </w:pPr>
      <w:r>
        <w:rPr>
          <w:rFonts w:ascii="Arial" w:cs="Arial" w:eastAsia="Arial" w:hAnsi="Arial"/>
          <w:sz w:val="18"/>
          <w:szCs w:val="18"/>
          <w:color w:val="auto"/>
        </w:rPr>
        <w:t>shorter of their estimated useful lives or the term of the lease. Depreciation expense was $137,000 and</w:t>
      </w:r>
    </w:p>
    <w:p>
      <w:pPr>
        <w:ind w:left="60"/>
        <w:spacing w:after="0" w:line="235" w:lineRule="auto"/>
        <w:rPr>
          <w:sz w:val="20"/>
          <w:szCs w:val="20"/>
          <w:color w:val="auto"/>
        </w:rPr>
      </w:pPr>
      <w:r>
        <w:rPr>
          <w:rFonts w:ascii="Arial" w:cs="Arial" w:eastAsia="Arial" w:hAnsi="Arial"/>
          <w:sz w:val="18"/>
          <w:szCs w:val="18"/>
          <w:color w:val="auto"/>
        </w:rPr>
        <w:t>$127,000 for the three months ended September 30, 2023 and 2022, respectively, and $393,000 and $284,000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2023 and 2022, respectively.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Bonuses</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Paid time off</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professional fees</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Taxes</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6,274</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00" w:type="dxa"/>
            <w:vAlign w:val="bottom"/>
            <w:vMerge w:val="restart"/>
          </w:tcPr>
          <w:p>
            <w:pPr>
              <w:jc w:val="right"/>
              <w:ind w:right="19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2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31, 2022, the Company entered into a Loan and Security Agreement (the “Loan Agreement”) with Innovatus Life Sciences Fund I, LP, as the collateral agent and a lender, under which the Company may borrow, subject to the Company’s achievement of certain milestones, up to a total of $50.0 million in a series of term loans. On the closing date, the Company borrowed the minimum amount of $7.5 million under the Loan Agreement. On March 10, 2023, the Company borrowed the $7.5 million remaining under the first tranche of the Loan Agreement, with $4.0 million received on March 13, 2023, and $ 3.5 million received on March 15, 2023. The Loan Agreement initially requires interest only payments through November 2027, followed by three monthly principal and interest payments. A final payment of $0.7 million, equal to 4.5% of the original borrowed principal, is due in January 2028. The term loans advanced pursuant to the Loan Agreement (collectively, the “Term Loans”) bear interest at a floating rate per annum equal to the sum of (a) the greater of (i) the prime rate and (ii) 5.50% plus (b) 2.65%. The Term Loans are secured by substantially all of the personal property of the Company. The Company has the option to draw down (i) up to $30.0 million less the amount funded from the first tranche between September 1, 2023 and December 15, 2023 if the Company achieves trailing three months revenue of $5.75 million prior to June 30, 2023 (which was achieved), and (ii) up to $20.0 million between September 1, 2024 and December 15, 2024 if the Company achieves trailing three months revenue of $9.0 million prior to June 30, 2024. A performance covenant takes effect at the earlier of September 30, 2025 or the third tranche funding, requiring that the Company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the Company’s capital stock, subject to limited exceptions. The Company was in compliance with these covenants as of September 30, 2023.</w:t>
      </w:r>
    </w:p>
    <w:p>
      <w:pPr>
        <w:spacing w:after="0" w:line="180" w:lineRule="exact"/>
        <w:rPr>
          <w:sz w:val="20"/>
          <w:szCs w:val="20"/>
          <w:color w:val="auto"/>
        </w:rPr>
      </w:pPr>
    </w:p>
    <w:p>
      <w:pPr>
        <w:ind w:left="60" w:right="779"/>
        <w:spacing w:after="0" w:line="260" w:lineRule="auto"/>
        <w:rPr>
          <w:sz w:val="20"/>
          <w:szCs w:val="20"/>
          <w:color w:val="auto"/>
        </w:rPr>
      </w:pPr>
      <w:r>
        <w:rPr>
          <w:rFonts w:ascii="Arial" w:cs="Arial" w:eastAsia="Arial" w:hAnsi="Arial"/>
          <w:sz w:val="18"/>
          <w:szCs w:val="18"/>
          <w:color w:val="auto"/>
        </w:rPr>
        <w:t>In connection with the Loan Agreement, the Company recorded $0.8 million of debt issuance costs and discounts as a reduction of long-term debt.</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2023</w:t>
            </w:r>
          </w:p>
        </w:tc>
      </w:tr>
      <w:tr>
        <w:trPr>
          <w:trHeight w:val="196"/>
        </w:trPr>
        <w:tc>
          <w:tcPr>
            <w:tcW w:w="7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7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r>
      <w:tr>
        <w:trPr>
          <w:trHeight w:val="203"/>
        </w:trPr>
        <w:tc>
          <w:tcPr>
            <w:tcW w:w="7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r>
      <w:tr>
        <w:trPr>
          <w:trHeight w:val="203"/>
        </w:trPr>
        <w:tc>
          <w:tcPr>
            <w:tcW w:w="77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14,294</w:t>
            </w: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2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We intend to add new facilities as we grow, and we believe that suitable additional or substitute space will be available as needed to accommodate any such expansion of our operations. Our operating lease agreement includes an option to renew for one additional period of three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years. The exercise of the lease renewal option is at our sole discretion and was not included in the lease term for the calculation of the ROU asset and lease liability, as it is not reasonably certain of exercise.</w:t>
      </w:r>
    </w:p>
    <w:p>
      <w:pPr>
        <w:spacing w:after="0" w:line="173" w:lineRule="exact"/>
        <w:rPr>
          <w:sz w:val="20"/>
          <w:szCs w:val="20"/>
          <w:color w:val="auto"/>
        </w:rPr>
      </w:pPr>
    </w:p>
    <w:p>
      <w:pPr>
        <w:jc w:val="both"/>
        <w:ind w:left="60" w:right="319"/>
        <w:spacing w:after="0" w:line="247" w:lineRule="auto"/>
        <w:rPr>
          <w:sz w:val="20"/>
          <w:szCs w:val="20"/>
          <w:color w:val="auto"/>
        </w:rPr>
      </w:pPr>
      <w:r>
        <w:rPr>
          <w:rFonts w:ascii="Arial" w:cs="Arial" w:eastAsia="Arial" w:hAnsi="Arial"/>
          <w:sz w:val="18"/>
          <w:szCs w:val="18"/>
          <w:color w:val="auto"/>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196"/>
        </w:trPr>
        <w:tc>
          <w:tcPr>
            <w:tcW w:w="67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our lease liability for our operating lease are as follows as of September 30,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73"/>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2023</w:t>
            </w:r>
          </w:p>
        </w:tc>
      </w:tr>
      <w:tr>
        <w:trPr>
          <w:trHeight w:val="196"/>
        </w:trPr>
        <w:tc>
          <w:tcPr>
            <w:tcW w:w="73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 remainder</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03"/>
        </w:trPr>
        <w:tc>
          <w:tcPr>
            <w:tcW w:w="7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r>
      <w:tr>
        <w:trPr>
          <w:trHeight w:val="203"/>
        </w:trPr>
        <w:tc>
          <w:tcPr>
            <w:tcW w:w="7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03"/>
        </w:trPr>
        <w:tc>
          <w:tcPr>
            <w:tcW w:w="73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196"/>
        </w:trPr>
        <w:tc>
          <w:tcPr>
            <w:tcW w:w="7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1,230</w:t>
            </w:r>
          </w:p>
        </w:tc>
      </w:tr>
      <w:tr>
        <w:trPr>
          <w:trHeight w:val="203"/>
        </w:trPr>
        <w:tc>
          <w:tcPr>
            <w:tcW w:w="76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196"/>
        </w:trPr>
        <w:tc>
          <w:tcPr>
            <w:tcW w:w="76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1,086</w:t>
            </w: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ind w:left="60" w:right="659"/>
        <w:spacing w:after="0" w:line="247" w:lineRule="auto"/>
        <w:rPr>
          <w:sz w:val="20"/>
          <w:szCs w:val="20"/>
          <w:color w:val="auto"/>
        </w:rPr>
      </w:pPr>
      <w:r>
        <w:rPr>
          <w:rFonts w:ascii="Arial" w:cs="Arial" w:eastAsia="Arial" w:hAnsi="Arial"/>
          <w:sz w:val="18"/>
          <w:szCs w:val="18"/>
          <w:color w:val="auto"/>
        </w:rPr>
        <w:t>As of September 30, 2023, the remaining lease term was 4.9 years and the discount rate was 5.0%. The operating cash outflows from our operating lease were $0.3 million for each of the nine months ended September 30, 2023 and 2022.</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22"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The Company has common stock warrants exercisable for 716,131 shares of common stock upon conversion at a weighted average exercise price of $2.39 per share.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22"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1,033,186 shares being reserved for issuance under the 2021 Plan as of January 1, 2023.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September 30, 2023, there were 1,724,683 shares available for future issuance under the 2021 Plan.</w:t>
      </w:r>
    </w:p>
    <w:p>
      <w:pPr>
        <w:spacing w:after="0" w:line="199" w:lineRule="exact"/>
        <w:rPr>
          <w:sz w:val="20"/>
          <w:szCs w:val="20"/>
          <w:color w:val="auto"/>
        </w:rPr>
      </w:pPr>
    </w:p>
    <w:p>
      <w:pPr>
        <w:ind w:left="60" w:right="659"/>
        <w:spacing w:after="0" w:line="260"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73"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During the years 2008 through the initial public offering (the “IPO”),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w:t>
            </w:r>
          </w:p>
        </w:tc>
        <w:tc>
          <w:tcPr>
            <w:tcW w:w="114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6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3,756,835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36,616</w:t>
            </w: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1,086,876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14.06</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 / Forfeited</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(264,160)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(115,455)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Balance as of September 30, 2023</w:t>
            </w: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4,464,096</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9.66</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gridSpan w:val="2"/>
            <w:shd w:val="clear" w:color="auto" w:fill="CCEEFF"/>
          </w:tcPr>
          <w:p>
            <w:pPr>
              <w:ind w:left="660"/>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37,331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Options exercisable as of September 30, 2023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7.05</w:t>
            </w: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2,311,211</w:t>
            </w:r>
          </w:p>
        </w:tc>
        <w:tc>
          <w:tcPr>
            <w:tcW w:w="2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25,374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0" w:right="339"/>
        <w:spacing w:after="0" w:line="243" w:lineRule="auto"/>
        <w:rPr>
          <w:sz w:val="20"/>
          <w:szCs w:val="20"/>
          <w:color w:val="auto"/>
        </w:rPr>
      </w:pPr>
      <w:r>
        <w:rPr>
          <w:rFonts w:ascii="Arial" w:cs="Arial" w:eastAsia="Arial" w:hAnsi="Arial"/>
          <w:sz w:val="18"/>
          <w:szCs w:val="18"/>
          <w:color w:val="auto"/>
        </w:rPr>
        <w:t>As of September 30, 2023, stock options outstanding included 8,796 options that were not granted under the 2001 Plan or the 2021 Plan. For options outstanding as of September 30, 2023, the weighted average remaining contractual life was 7.5 years. For options exercisable as of September 30, 2023, the weighted average remaining contractual life was 6.4 years.</w:t>
      </w:r>
    </w:p>
    <w:p>
      <w:pPr>
        <w:spacing w:after="0" w:line="18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Company’s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206,637 shares being reserved for issuance under the ESPP as of January 1, 2023. The ESPP permits certain of the Company’s U.S. employees to purchase shares of the Company’s common stock at a price per share not less than 85% of the lower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19" w:hanging="10"/>
        <w:spacing w:after="0" w:line="239"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closing market price per share of the Company’s common stock on the first day of the applicable purchase period or (ii) the closing market price per share of the Company’s common stock on the purchase date at the end of the applicable six-month purchase period. The first purchase date under the ESPP was September 30, 2022. For the nine months ended September 30, 2023, 34,421 shares of common stock were purchased under the ESPP for $0.5 million of employee contributions. As of September 30, 2023, there were 540,489 shares available for issuance under the ESPP.</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2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The Company accounts for forfeitures as they occur.</w:t>
      </w:r>
    </w:p>
    <w:p>
      <w:pPr>
        <w:spacing w:after="0" w:line="194" w:lineRule="exact"/>
        <w:rPr>
          <w:sz w:val="20"/>
          <w:szCs w:val="20"/>
          <w:color w:val="auto"/>
        </w:rPr>
      </w:pPr>
    </w:p>
    <w:p>
      <w:pPr>
        <w:jc w:val="both"/>
        <w:ind w:left="60" w:right="319"/>
        <w:spacing w:after="0" w:line="247" w:lineRule="auto"/>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nine months ended September 30, 2023 and 2022:</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9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2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9"/>
                <w:szCs w:val="19"/>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to 6.1</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 to 6.1</w:t>
            </w:r>
          </w:p>
        </w:tc>
      </w:tr>
      <w:tr>
        <w:trPr>
          <w:trHeight w:val="24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6.1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 to 6.1</w:t>
            </w:r>
          </w:p>
        </w:tc>
      </w:tr>
    </w:tbl>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3500" w:type="dxa"/>
            <w:vAlign w:val="bottom"/>
          </w:tcPr>
          <w:p>
            <w:pPr>
              <w:jc w:val="right"/>
              <w:spacing w:after="0"/>
              <w:rPr>
                <w:sz w:val="20"/>
                <w:szCs w:val="20"/>
                <w:color w:val="auto"/>
              </w:rPr>
            </w:pPr>
            <w:r>
              <w:rPr>
                <w:rFonts w:ascii="Arial" w:cs="Arial" w:eastAsia="Arial" w:hAnsi="Arial"/>
                <w:sz w:val="18"/>
                <w:szCs w:val="18"/>
                <w:color w:val="auto"/>
              </w:rPr>
              <w:t>77.2% to 79.6 %</w:t>
            </w:r>
          </w:p>
        </w:tc>
        <w:tc>
          <w:tcPr>
            <w:tcW w:w="1400" w:type="dxa"/>
            <w:vAlign w:val="bottom"/>
          </w:tcPr>
          <w:p>
            <w:pPr>
              <w:jc w:val="right"/>
              <w:spacing w:after="0"/>
              <w:rPr>
                <w:sz w:val="20"/>
                <w:szCs w:val="20"/>
                <w:color w:val="auto"/>
              </w:rPr>
            </w:pPr>
            <w:r>
              <w:rPr>
                <w:rFonts w:ascii="Arial" w:cs="Arial" w:eastAsia="Arial" w:hAnsi="Arial"/>
                <w:sz w:val="18"/>
                <w:szCs w:val="18"/>
                <w:color w:val="auto"/>
              </w:rPr>
              <w:t>56.3% to 58.6 %</w:t>
            </w: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tcPr>
          <w:p>
            <w:pPr>
              <w:jc w:val="right"/>
              <w:spacing w:after="0"/>
              <w:rPr>
                <w:sz w:val="20"/>
                <w:szCs w:val="20"/>
                <w:color w:val="auto"/>
              </w:rPr>
            </w:pPr>
            <w:r>
              <w:rPr>
                <w:rFonts w:ascii="Arial" w:cs="Arial" w:eastAsia="Arial" w:hAnsi="Arial"/>
                <w:sz w:val="18"/>
                <w:szCs w:val="18"/>
                <w:color w:val="auto"/>
              </w:rPr>
              <w:t>3.40% to 4.61 %</w:t>
            </w:r>
          </w:p>
        </w:tc>
        <w:tc>
          <w:tcPr>
            <w:tcW w:w="1400" w:type="dxa"/>
            <w:vAlign w:val="bottom"/>
          </w:tcPr>
          <w:p>
            <w:pPr>
              <w:jc w:val="right"/>
              <w:spacing w:after="0"/>
              <w:rPr>
                <w:sz w:val="20"/>
                <w:szCs w:val="20"/>
                <w:color w:val="auto"/>
              </w:rPr>
            </w:pPr>
            <w:r>
              <w:rPr>
                <w:rFonts w:ascii="Arial" w:cs="Arial" w:eastAsia="Arial" w:hAnsi="Arial"/>
                <w:sz w:val="18"/>
                <w:szCs w:val="18"/>
                <w:color w:val="auto"/>
              </w:rPr>
              <w:t>1.75% to 3.97 %</w:t>
            </w:r>
          </w:p>
        </w:tc>
      </w:tr>
    </w:tbl>
    <w:p>
      <w:pPr>
        <w:spacing w:after="0" w:line="379"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The following table provides the weighted average fair value of ESPP purchase rights and the related assumptions used in the Black-Scholes option pricing model for the nine months ended September 30, 2023 and 2022:</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9"/>
                <w:szCs w:val="19"/>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per ESPP purchase right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9"/>
                <w:szCs w:val="19"/>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 xml:space="preserve">Expected term (in years)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76.2% to 84.6 %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51.3% to 62.9 %</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4.77% to 5.53 %</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0.22% to 2.52 %</w:t>
            </w:r>
          </w:p>
        </w:tc>
      </w:tr>
    </w:tbl>
    <w:p>
      <w:pPr>
        <w:spacing w:after="0" w:line="19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5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4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1,419</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of September 30, 2023, unrecognized compensation expense related to unvested stock-based compensation arrangements was $14.1 million. As of September 30, 2023, the related weighted average period over which the expense is expected to be recognized is approximately 2.5 years.</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2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As of September 30, 2023 and December 31, 2022, a valuation allowance was recorded against all deferred tax assets due to the Company’s cumulative net loss position. Provision for income taxes for the three months ended September 30, 2023 and 2022 was $40,000 and $32,000, respectively. Provision for income taxes for the nine months ended September 30, 2023 and 2022 was $108,000 and $81,000, respectively.</w:t>
      </w:r>
    </w:p>
    <w:p>
      <w:pPr>
        <w:spacing w:after="0" w:line="188" w:lineRule="exact"/>
        <w:rPr>
          <w:sz w:val="20"/>
          <w:szCs w:val="20"/>
          <w:color w:val="auto"/>
        </w:rPr>
      </w:pPr>
    </w:p>
    <w:p>
      <w:pPr>
        <w:ind w:left="60" w:right="279"/>
        <w:spacing w:after="0" w:line="241" w:lineRule="auto"/>
        <w:rPr>
          <w:sz w:val="20"/>
          <w:szCs w:val="20"/>
          <w:color w:val="auto"/>
        </w:rPr>
      </w:pPr>
      <w:r>
        <w:rPr>
          <w:rFonts w:ascii="Arial" w:cs="Arial" w:eastAsia="Arial" w:hAnsi="Arial"/>
          <w:sz w:val="18"/>
          <w:szCs w:val="18"/>
          <w:color w:val="auto"/>
        </w:rPr>
        <w:t>As of December 31, 2022, the Company had federal and state net operating loss carryforwards (“NOLs”) of approximately $361.0 million and $6.2 million, respectively. The federal NOLs began expiring in 2021 and the state NOLs began expiring in 2020. As of December 31, 2022, the Company had federal and state tax credit carryforwards of approximately $9.3 million and $1.8 million, respectively. The federal tax credit carryforwards began expiring in 2021 and the state tax credit carryforwards will begin expiring in 2028.</w:t>
      </w:r>
    </w:p>
    <w:p>
      <w:pPr>
        <w:spacing w:after="0" w:line="189"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26" w:lineRule="exact"/>
        <w:rPr>
          <w:sz w:val="20"/>
          <w:szCs w:val="20"/>
          <w:color w:val="auto"/>
        </w:rPr>
      </w:pPr>
    </w:p>
    <w:p>
      <w:pPr>
        <w:ind w:left="60" w:right="739"/>
        <w:spacing w:after="0" w:line="260"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ind w:left="40"/>
        <w:spacing w:after="0" w:line="234" w:lineRule="auto"/>
        <w:rPr>
          <w:sz w:val="20"/>
          <w:szCs w:val="20"/>
          <w:color w:val="auto"/>
        </w:rPr>
      </w:pPr>
      <w:r>
        <w:rPr>
          <w:rFonts w:ascii="Arial" w:cs="Arial" w:eastAsia="Arial" w:hAnsi="Arial"/>
          <w:sz w:val="18"/>
          <w:szCs w:val="18"/>
          <w:b w:val="1"/>
          <w:bCs w:val="1"/>
          <w:color w:val="auto"/>
        </w:rPr>
        <w:t>Denominator:</w:t>
      </w:r>
    </w:p>
    <w:p>
      <w:pPr>
        <w:spacing w:after="0" w:line="1"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Weighted average common shares outstanding — basic and diluted</w:t>
      </w:r>
    </w:p>
    <w:p>
      <w:pPr>
        <w:spacing w:after="0" w:line="1" w:lineRule="exact"/>
        <w:rPr>
          <w:sz w:val="20"/>
          <w:szCs w:val="20"/>
          <w:color w:val="auto"/>
        </w:rPr>
      </w:pPr>
    </w:p>
    <w:p>
      <w:pPr>
        <w:ind w:left="40" w:right="540"/>
        <w:spacing w:after="0" w:line="274" w:lineRule="auto"/>
        <w:rPr>
          <w:sz w:val="20"/>
          <w:szCs w:val="20"/>
          <w:color w:val="auto"/>
        </w:rPr>
      </w:pPr>
      <w:r>
        <w:rPr>
          <w:rFonts w:ascii="Arial" w:cs="Arial" w:eastAsia="Arial" w:hAnsi="Arial"/>
          <w:sz w:val="17"/>
          <w:szCs w:val="17"/>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140" w:type="dxa"/>
            <w:vAlign w:val="bottom"/>
          </w:tcPr>
          <w:p>
            <w:pPr>
              <w:spacing w:after="0"/>
              <w:rPr>
                <w:sz w:val="15"/>
                <w:szCs w:val="15"/>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22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r>
      <w:tr>
        <w:trPr>
          <w:trHeight w:val="41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(32,036)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(30,892)</w:t>
            </w:r>
          </w:p>
        </w:tc>
      </w:tr>
      <w:tr>
        <w:trPr>
          <w:trHeight w:val="581"/>
        </w:trPr>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20,801,350</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20,576,838</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20,730,024</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20,512,254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-925195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-659130</wp:posOffset>
            </wp:positionV>
            <wp:extent cx="564896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-273685</wp:posOffset>
            </wp:positionV>
            <wp:extent cx="56489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920" w:space="200"/>
            <w:col w:w="4899"/>
          </w:cols>
          <w:pgMar w:left="1440" w:top="517" w:right="1440" w:bottom="1440" w:gutter="0" w:footer="0" w:header="0"/>
          <w:type w:val="continuous"/>
        </w:sectPr>
      </w:pPr>
    </w:p>
    <w:p>
      <w:pPr>
        <w:jc w:val="both"/>
        <w:ind w:left="60" w:right="219"/>
        <w:spacing w:after="0" w:line="253" w:lineRule="auto"/>
        <w:rPr>
          <w:sz w:val="20"/>
          <w:szCs w:val="20"/>
          <w:color w:val="auto"/>
        </w:rPr>
      </w:pPr>
      <w:r>
        <w:rPr>
          <w:rFonts w:ascii="Arial" w:cs="Arial" w:eastAsia="Arial" w:hAnsi="Arial"/>
          <w:sz w:val="17"/>
          <w:szCs w:val="17"/>
          <w:color w:val="auto"/>
        </w:rPr>
        <w:t>The Company’s potentially dilutive securities, which include stock options and warrants to purchase shares of common stock, have been excluded from the computation of diluted net loss per share attributable to common stockholders, as the effect would be to reduce the net loss per share attributable to common stockholders.</w:t>
      </w:r>
    </w:p>
    <w:p>
      <w:pPr>
        <w:spacing w:after="0" w:line="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6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8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8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4,464,096</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3,723,499</w:t>
            </w:r>
          </w:p>
        </w:tc>
      </w:tr>
      <w:tr>
        <w:trPr>
          <w:trHeight w:val="203"/>
        </w:trPr>
        <w:tc>
          <w:tcPr>
            <w:tcW w:w="6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8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5,180,227</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4,439,630</w:t>
            </w:r>
          </w:p>
        </w:tc>
      </w:tr>
      <w:tr>
        <w:trPr>
          <w:trHeight w:val="20"/>
        </w:trPr>
        <w:tc>
          <w:tcPr>
            <w:tcW w:w="6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26"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September 30, 2023 or December 31, 2022.</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26"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2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w:t>
      </w:r>
    </w:p>
    <w:p>
      <w:pPr>
        <w:sectPr>
          <w:pgSz w:w="11900" w:h="16838" w:orient="portrait"/>
          <w:cols w:equalWidth="0" w:num="1">
            <w:col w:w="9019"/>
          </w:cols>
          <w:pgMar w:left="1440" w:top="517" w:right="1440"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and its Chief Executive Officer evaluate performance based primarily on revenue in the geographic locations in which the Company operates.</w:t>
      </w:r>
    </w:p>
    <w:p>
      <w:pPr>
        <w:spacing w:after="0" w:line="17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periods indicated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2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$ 24,818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12,035</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2,744</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r>
      <w:tr>
        <w:trPr>
          <w:trHeight w:val="196"/>
        </w:trPr>
        <w:tc>
          <w:tcPr>
            <w:tcW w:w="5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10,511</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6,186</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$ 27,990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15,293</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2023 and December 31, 2022, long-lived assets were located primarily in the U.S.</w:t>
      </w:r>
    </w:p>
    <w:p>
      <w:pPr>
        <w:spacing w:after="0" w:line="178" w:lineRule="exact"/>
        <w:rPr>
          <w:sz w:val="20"/>
          <w:szCs w:val="20"/>
          <w:color w:val="auto"/>
        </w:rPr>
      </w:pPr>
    </w:p>
    <w:p>
      <w:pPr>
        <w:ind w:left="60" w:right="259"/>
        <w:spacing w:after="0" w:line="27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2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U.S. Food and Drug Administration (“FDA”) to improve the symptoms of patients with HFrEF and is CE Marked for HFrEF and resistant hypertension.</w:t>
      </w:r>
    </w:p>
    <w:p>
      <w:pPr>
        <w:spacing w:after="0" w:line="197"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payors, physicians, and patients.</w:t>
      </w:r>
    </w:p>
    <w:p>
      <w:pPr>
        <w:spacing w:after="0" w:line="19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9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Centers for Medicare and Medicaid Services while simultaneously developing processes to engage commercial payors. All Medicare Administrative Contractors have retired their official automatic coverage denial policies for our Current Procedural Terminology codes, thereby allowing hospitals to submit payment requests for the Barostim procedure to be reviewed on a claim-</w:t>
      </w:r>
    </w:p>
    <w:p>
      <w:pPr>
        <w:sectPr>
          <w:pgSz w:w="11900" w:h="16838" w:orient="portrait"/>
          <w:cols w:equalWidth="0" w:num="1">
            <w:col w:w="9019"/>
          </w:cols>
          <w:pgMar w:left="1440" w:top="517" w:right="1440"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(“EEA”), such as Germany, where annual healthcare budgets for the hospital generally determine the number of patients to be treated and the prices to be paid for the related devices that may be purchased.</w:t>
      </w:r>
    </w:p>
    <w:p>
      <w:pPr>
        <w:spacing w:after="0" w:line="177"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81" w:lineRule="exact"/>
        <w:rPr>
          <w:sz w:val="20"/>
          <w:szCs w:val="20"/>
          <w:color w:val="auto"/>
        </w:rPr>
      </w:pPr>
    </w:p>
    <w:p>
      <w:pPr>
        <w:ind w:left="60" w:right="259"/>
        <w:spacing w:after="0" w:line="262" w:lineRule="auto"/>
        <w:rPr>
          <w:sz w:val="20"/>
          <w:szCs w:val="20"/>
          <w:color w:val="auto"/>
        </w:rPr>
      </w:pPr>
      <w:r>
        <w:rPr>
          <w:rFonts w:ascii="Arial" w:cs="Arial" w:eastAsia="Arial" w:hAnsi="Arial"/>
          <w:sz w:val="17"/>
          <w:szCs w:val="17"/>
          <w:color w:val="auto"/>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spacing w:after="0" w:line="172"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We used a portion of the IPO proceeds to continue funding the expansion of our direct sales force and commercial organization related to Barostim in the U.S. We have continued investing in research and development to improve clinical outcomes, optimize patient adoption and comfort, increase patient access, and enhance the physician and patient experience. Longer term, we plan to explore Barostim’s potential to expand its indications for use to other cardiovascular diseases.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October 31, 2022, we entered into a loan and security agreement under which we may borrow, subject to</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achievement of certain milestones, up to a total of $50.0 million in a series of Term Loans described in Note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to our condensed consolidated financial statements included elsewhere in this Quarterly Report on Form 10-</w:t>
      </w:r>
    </w:p>
    <w:p>
      <w:pPr>
        <w:ind w:left="60"/>
        <w:spacing w:after="0" w:line="234" w:lineRule="auto"/>
        <w:rPr>
          <w:sz w:val="20"/>
          <w:szCs w:val="20"/>
          <w:color w:val="auto"/>
        </w:rPr>
      </w:pPr>
      <w:r>
        <w:rPr>
          <w:rFonts w:ascii="Arial" w:cs="Arial" w:eastAsia="Arial" w:hAnsi="Arial"/>
          <w:sz w:val="18"/>
          <w:szCs w:val="18"/>
          <w:color w:val="auto"/>
        </w:rPr>
        <w:t>Q, and we borrowed $7.5 million of such total on that date to fund our commercial and investment efforts. On</w:t>
      </w:r>
    </w:p>
    <w:p>
      <w:pPr>
        <w:ind w:left="60"/>
        <w:spacing w:after="0" w:line="235" w:lineRule="auto"/>
        <w:rPr>
          <w:sz w:val="20"/>
          <w:szCs w:val="20"/>
          <w:color w:val="auto"/>
        </w:rPr>
      </w:pPr>
      <w:r>
        <w:rPr>
          <w:rFonts w:ascii="Arial" w:cs="Arial" w:eastAsia="Arial" w:hAnsi="Arial"/>
          <w:sz w:val="18"/>
          <w:szCs w:val="18"/>
          <w:color w:val="auto"/>
        </w:rPr>
        <w:t>March 10, 2023, we borrowed the $7.5 million remaining under the first tranche of the Loan Agreement, with</w:t>
      </w:r>
    </w:p>
    <w:p>
      <w:pPr>
        <w:ind w:left="60"/>
        <w:spacing w:after="0" w:line="235" w:lineRule="auto"/>
        <w:rPr>
          <w:sz w:val="20"/>
          <w:szCs w:val="20"/>
          <w:color w:val="auto"/>
        </w:rPr>
      </w:pPr>
      <w:r>
        <w:rPr>
          <w:rFonts w:ascii="Arial" w:cs="Arial" w:eastAsia="Arial" w:hAnsi="Arial"/>
          <w:sz w:val="18"/>
          <w:szCs w:val="18"/>
          <w:color w:val="auto"/>
        </w:rPr>
        <w:t>$4.0 million received on March 13, 2023, and $3.5 million received on March 15, 2023. Following this draw, we</w:t>
      </w:r>
    </w:p>
    <w:p>
      <w:pPr>
        <w:ind w:left="60"/>
        <w:spacing w:after="0" w:line="235" w:lineRule="auto"/>
        <w:rPr>
          <w:sz w:val="20"/>
          <w:szCs w:val="20"/>
          <w:color w:val="auto"/>
        </w:rPr>
      </w:pPr>
      <w:r>
        <w:rPr>
          <w:rFonts w:ascii="Arial" w:cs="Arial" w:eastAsia="Arial" w:hAnsi="Arial"/>
          <w:sz w:val="18"/>
          <w:szCs w:val="18"/>
          <w:color w:val="auto"/>
        </w:rPr>
        <w:t>have $15.0 million in outstanding Term Loans under the Loan Agreement. The Loan Agreement provides for up</w:t>
      </w:r>
    </w:p>
    <w:p>
      <w:pPr>
        <w:ind w:left="60"/>
        <w:spacing w:after="0"/>
        <w:rPr>
          <w:sz w:val="20"/>
          <w:szCs w:val="20"/>
          <w:color w:val="auto"/>
        </w:rPr>
      </w:pPr>
      <w:r>
        <w:rPr>
          <w:rFonts w:ascii="Arial" w:cs="Arial" w:eastAsia="Arial" w:hAnsi="Arial"/>
          <w:sz w:val="17"/>
          <w:szCs w:val="17"/>
          <w:color w:val="auto"/>
        </w:rPr>
        <w:t>to two additional tranches of loans totaling up to an additional $35.0 million based on timing, the achievement of</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certain trailing three months revenue targets and other conditions set forth in the Loan Agreement. As a result</w:t>
      </w:r>
    </w:p>
    <w:p>
      <w:pPr>
        <w:ind w:left="60"/>
        <w:spacing w:after="0" w:line="234" w:lineRule="auto"/>
        <w:rPr>
          <w:sz w:val="20"/>
          <w:szCs w:val="20"/>
          <w:color w:val="auto"/>
        </w:rPr>
      </w:pPr>
      <w:r>
        <w:rPr>
          <w:rFonts w:ascii="Arial" w:cs="Arial" w:eastAsia="Arial" w:hAnsi="Arial"/>
          <w:sz w:val="18"/>
          <w:szCs w:val="18"/>
          <w:color w:val="auto"/>
        </w:rPr>
        <w:t>of these investments and our commercialization efforts, we expect to continue to incur net losses for the next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several years, which may require additional funding and could include future equity and debt financing.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2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In February 2023, we were unblinded to the morbidity and mortality data from the BeAT-HF pivotal trial. The totality of the evidence from the trial shows long-term benefits for patients with HF. While the trial did not reach statistical significance on the primary endpoint, it did contain additional clinically meaningful prespecified analyses favoring Barostim. We filed a regulatory submission to the FDA for expanded labeling in early June 2023. If successful, this label expansion could expand our addressable patient population.</w:t>
      </w:r>
    </w:p>
    <w:p>
      <w:pPr>
        <w:spacing w:after="0" w:line="189"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In August 2023, we delivered a presentation before the Centers for Medicare &amp; Medicaid Services (“CMS”) Advisory Panel on Hospital Outpatient Payment, resulting in a unanimous non-binding vote in favor of mapping Barostim to the higher paying code, New Technology APC1580, which would offer an average reimbursement of $45,000 to hospitals in 2024. If CMS instead decides to map Barostim to APC5465 without the transitional passthrough payment for 2024, which is the basis for our plans, then the average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reimbursement to hospitals will be approximately $30,000. The final outpatient payment rule is expected to be published in late November.</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26"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73"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ind w:left="380" w:right="699" w:hanging="330"/>
        <w:spacing w:after="0" w:line="260"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Seeking expanded labeling for Barostim and promoting awareness among physicians, hospitals and patients to accelerate adoption of Barostim;</w:t>
      </w:r>
    </w:p>
    <w:p>
      <w:pPr>
        <w:spacing w:after="0" w:line="172" w:lineRule="exact"/>
        <w:rPr>
          <w:rFonts w:ascii="Arial" w:cs="Arial" w:eastAsia="Arial" w:hAnsi="Arial"/>
          <w:sz w:val="18"/>
          <w:szCs w:val="18"/>
          <w:color w:val="231F20"/>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the Barostim procedure;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2"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payors and by the expansion of our U.S. sales force, as well as by seeking expanded labeling for Barostim. As a result, we expect that U.S. sales will continue to account for the majority of our revenue going forward.</w:t>
      </w:r>
    </w:p>
    <w:p>
      <w:pPr>
        <w:spacing w:after="0" w:line="18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22"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89"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519"/>
        <w:spacing w:after="0" w:line="243" w:lineRule="auto"/>
        <w:rPr>
          <w:sz w:val="20"/>
          <w:szCs w:val="20"/>
          <w:color w:val="auto"/>
        </w:rPr>
      </w:pPr>
      <w:r>
        <w:rPr>
          <w:rFonts w:ascii="Arial" w:cs="Arial" w:eastAsia="Arial" w:hAnsi="Arial"/>
          <w:sz w:val="18"/>
          <w:szCs w:val="18"/>
          <w:color w:val="auto"/>
        </w:rPr>
        <w:t>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91"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financing costs.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2"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Other income, net consists primarily of interest income on our interest-bearing accounts, partially offset by the effect of exchange rates on our foreign currency-denominated asset and liability balances.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2" w:lineRule="exact"/>
        <w:rPr>
          <w:sz w:val="20"/>
          <w:szCs w:val="20"/>
          <w:color w:val="auto"/>
        </w:rPr>
      </w:pPr>
    </w:p>
    <w:p>
      <w:pPr>
        <w:ind w:left="60" w:right="479"/>
        <w:spacing w:after="0" w:line="247"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399"/>
        <w:spacing w:after="0" w:line="285"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September 30, 2023, compared to the three months ended September 30, 2022</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7"/>
          </w:tcPr>
          <w:p>
            <w:pPr>
              <w:ind w:lef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420" w:type="dxa"/>
            <w:vAlign w:val="bottom"/>
            <w:gridSpan w:val="6"/>
          </w:tcPr>
          <w:p>
            <w:pPr>
              <w:jc w:val="right"/>
              <w:ind w:right="4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320" w:type="dxa"/>
            <w:vAlign w:val="bottom"/>
            <w:gridSpan w:val="2"/>
            <w:vMerge w:val="continue"/>
          </w:tcPr>
          <w:p>
            <w:pPr>
              <w:spacing w:after="0"/>
              <w:rPr>
                <w:sz w:val="13"/>
                <w:szCs w:val="13"/>
                <w:color w:val="auto"/>
              </w:rPr>
            </w:pPr>
          </w:p>
        </w:tc>
        <w:tc>
          <w:tcPr>
            <w:tcW w:w="80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99"/>
              </w:rPr>
              <w:t>$ 10,511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6,186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9"/>
              </w:rPr>
              <w:t>$ 4,325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00" w:type="dxa"/>
            <w:vAlign w:val="bottom"/>
            <w:gridSpan w:val="3"/>
          </w:tcPr>
          <w:p>
            <w:pPr>
              <w:jc w:val="right"/>
              <w:ind w:right="2"/>
              <w:spacing w:after="0" w:line="202" w:lineRule="exact"/>
              <w:rPr>
                <w:sz w:val="20"/>
                <w:szCs w:val="20"/>
                <w:color w:val="auto"/>
              </w:rPr>
            </w:pPr>
            <w:r>
              <w:rPr>
                <w:rFonts w:ascii="Arial" w:cs="Arial" w:eastAsia="Arial" w:hAnsi="Arial"/>
                <w:sz w:val="18"/>
                <w:szCs w:val="18"/>
                <w:color w:val="auto"/>
              </w:rPr>
              <w:t>1,691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351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00" w:type="dxa"/>
            <w:vAlign w:val="bottom"/>
            <w:tcBorders>
              <w:top w:val="single" w:sz="8" w:color="auto"/>
              <w:bottom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8,820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4,846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3,974</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3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00" w:type="dxa"/>
            <w:vAlign w:val="bottom"/>
            <w:gridSpan w:val="3"/>
          </w:tcPr>
          <w:p>
            <w:pPr>
              <w:jc w:val="right"/>
              <w:ind w:right="2"/>
              <w:spacing w:after="0" w:line="196" w:lineRule="exact"/>
              <w:rPr>
                <w:sz w:val="20"/>
                <w:szCs w:val="20"/>
                <w:color w:val="auto"/>
              </w:rPr>
            </w:pPr>
            <w:r>
              <w:rPr>
                <w:rFonts w:ascii="Arial" w:cs="Arial" w:eastAsia="Arial" w:hAnsi="Arial"/>
                <w:sz w:val="18"/>
                <w:szCs w:val="18"/>
                <w:color w:val="auto"/>
              </w:rPr>
              <w:t>84</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00" w:type="dxa"/>
            <w:vAlign w:val="bottom"/>
            <w:gridSpan w:val="3"/>
          </w:tcPr>
          <w:p>
            <w:pPr>
              <w:jc w:val="right"/>
              <w:ind w:right="2"/>
              <w:spacing w:after="0" w:line="202" w:lineRule="exact"/>
              <w:rPr>
                <w:sz w:val="20"/>
                <w:szCs w:val="20"/>
                <w:color w:val="auto"/>
              </w:rPr>
            </w:pPr>
            <w:r>
              <w:rPr>
                <w:rFonts w:ascii="Arial" w:cs="Arial" w:eastAsia="Arial" w:hAnsi="Arial"/>
                <w:sz w:val="18"/>
                <w:szCs w:val="18"/>
                <w:color w:val="auto"/>
              </w:rPr>
              <w:t>2,696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00" w:type="dxa"/>
            <w:vAlign w:val="bottom"/>
            <w:gridSpan w:val="3"/>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15,652</w:t>
            </w:r>
          </w:p>
        </w:tc>
        <w:tc>
          <w:tcPr>
            <w:tcW w:w="2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bottom w:val="single" w:sz="8" w:color="auto"/>
            </w:tcBorders>
            <w:gridSpan w:val="3"/>
          </w:tcPr>
          <w:p>
            <w:pPr>
              <w:jc w:val="right"/>
              <w:ind w:right="2"/>
              <w:spacing w:after="0" w:line="196" w:lineRule="exact"/>
              <w:rPr>
                <w:sz w:val="20"/>
                <w:szCs w:val="20"/>
                <w:color w:val="auto"/>
              </w:rPr>
            </w:pPr>
            <w:r>
              <w:rPr>
                <w:rFonts w:ascii="Arial" w:cs="Arial" w:eastAsia="Arial" w:hAnsi="Arial"/>
                <w:sz w:val="18"/>
                <w:szCs w:val="18"/>
                <w:color w:val="auto"/>
              </w:rPr>
              <w:t>18,348</w:t>
            </w:r>
          </w:p>
        </w:tc>
        <w:tc>
          <w:tcPr>
            <w:tcW w:w="2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14,972</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3,376</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(9,528)</w:t>
            </w:r>
          </w:p>
        </w:tc>
        <w:tc>
          <w:tcPr>
            <w:tcW w:w="2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(10,126)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(499)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(499)</w:t>
            </w:r>
          </w:p>
        </w:tc>
        <w:tc>
          <w:tcPr>
            <w:tcW w:w="140" w:type="dxa"/>
            <w:vAlign w:val="bottom"/>
          </w:tcPr>
          <w:p>
            <w:pPr>
              <w:spacing w:after="0"/>
              <w:rPr>
                <w:sz w:val="17"/>
                <w:szCs w:val="17"/>
                <w:color w:val="auto"/>
              </w:rPr>
            </w:pP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800" w:type="dxa"/>
            <w:vAlign w:val="bottom"/>
            <w:gridSpan w:val="3"/>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1,056</w:t>
            </w:r>
          </w:p>
        </w:tc>
        <w:tc>
          <w:tcPr>
            <w:tcW w:w="2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(8,971)</w:t>
            </w: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(9,798)</w:t>
            </w: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(9,011)</w:t>
            </w:r>
          </w:p>
        </w:tc>
        <w:tc>
          <w:tcPr>
            <w:tcW w:w="260" w:type="dxa"/>
            <w:vAlign w:val="bottom"/>
            <w:vMerge w:val="continue"/>
          </w:tcPr>
          <w:p>
            <w:pPr>
              <w:spacing w:after="0"/>
              <w:rPr>
                <w:sz w:val="17"/>
                <w:szCs w:val="17"/>
                <w:color w:val="auto"/>
              </w:rPr>
            </w:pPr>
          </w:p>
        </w:tc>
        <w:tc>
          <w:tcPr>
            <w:tcW w:w="1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(9,830)</w:t>
            </w: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  819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28"/>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88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20" w:type="dxa"/>
            <w:vAlign w:val="bottom"/>
            <w:gridSpan w:val="2"/>
            <w:vMerge w:val="continue"/>
          </w:tcPr>
          <w:p>
            <w:pPr>
              <w:spacing w:after="0"/>
              <w:rPr>
                <w:sz w:val="13"/>
                <w:szCs w:val="13"/>
                <w:color w:val="auto"/>
              </w:rPr>
            </w:pPr>
          </w:p>
        </w:tc>
        <w:tc>
          <w:tcPr>
            <w:tcW w:w="340" w:type="dxa"/>
            <w:vAlign w:val="bottom"/>
            <w:gridSpan w:val="2"/>
          </w:tcPr>
          <w:p>
            <w:pPr>
              <w:spacing w:after="0"/>
              <w:rPr>
                <w:sz w:val="13"/>
                <w:szCs w:val="13"/>
                <w:color w:val="auto"/>
              </w:rPr>
            </w:pPr>
          </w:p>
        </w:tc>
        <w:tc>
          <w:tcPr>
            <w:tcW w:w="72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9,579</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$ 5,039</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$ 4,540</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932</w:t>
            </w:r>
          </w:p>
        </w:tc>
        <w:tc>
          <w:tcPr>
            <w:tcW w:w="1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$ 10,511</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$ 6,186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$ 4,325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0" w:right="479"/>
        <w:spacing w:after="0" w:line="260" w:lineRule="auto"/>
        <w:rPr>
          <w:sz w:val="20"/>
          <w:szCs w:val="20"/>
          <w:color w:val="auto"/>
        </w:rPr>
      </w:pPr>
      <w:r>
        <w:rPr>
          <w:rFonts w:ascii="Arial" w:cs="Arial" w:eastAsia="Arial" w:hAnsi="Arial"/>
          <w:sz w:val="18"/>
          <w:szCs w:val="18"/>
          <w:color w:val="auto"/>
        </w:rPr>
        <w:t>Revenue was $10.5 million for the three months ended September 30, 2023, an increase of $4.3 million, or 70%, over the three months ended September 30, 2022.</w:t>
      </w:r>
    </w:p>
    <w:p>
      <w:pPr>
        <w:spacing w:after="0" w:line="173" w:lineRule="exact"/>
        <w:rPr>
          <w:sz w:val="20"/>
          <w:szCs w:val="20"/>
          <w:color w:val="auto"/>
        </w:rPr>
      </w:pPr>
    </w:p>
    <w:p>
      <w:pPr>
        <w:ind w:left="60" w:right="159"/>
        <w:spacing w:after="0" w:line="256" w:lineRule="auto"/>
        <w:rPr>
          <w:sz w:val="20"/>
          <w:szCs w:val="20"/>
          <w:color w:val="auto"/>
        </w:rPr>
      </w:pPr>
      <w:r>
        <w:rPr>
          <w:rFonts w:ascii="Arial" w:cs="Arial" w:eastAsia="Arial" w:hAnsi="Arial"/>
          <w:sz w:val="17"/>
          <w:szCs w:val="17"/>
          <w:color w:val="auto"/>
        </w:rPr>
        <w:t>Revenue generated in the U.S. was $ 9.6 million for the three months ended September 30, 2023, an increase of $4.5 million, or 90%, over the three months ended September 30, 2022. HF revenue units in the U.S. totaled 303 and 167 for the three months ended September 30, 2023 and 2022, respectively. HF revenue in the U.S. totaled $9.4 million and $4.9 million for the three months ended September 30, 2023 and 2022, respectively. The increases were primarily driven by continued growth in the U.S. HF business as a result of the expansion into new sales territories, new accounts, and increased physician and patient awareness of Barostim.</w:t>
      </w:r>
    </w:p>
    <w:p>
      <w:pPr>
        <w:spacing w:after="0" w:line="180"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 of September 30, 2023, we had a total of 159 active implanting centers, as compared to 91 as of September 30, 2022. Active implanting centers are customers that have completed at least one commercial HF implant in the last 12 months. As of September 30, 2023, we had a total of 35 sales territories as compared to 23 as of September 30, 2022.</w:t>
      </w:r>
    </w:p>
    <w:p>
      <w:pPr>
        <w:spacing w:after="0" w:line="188"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Revenue generated in Europe was $0.9 million for the three months ended September 30, 2023, a decrease of $0.2 million, or 19%, over the three months ended September 30, 2022. Total revenue units in Europe decreased to 47 for the three months ended September 30, 2023, as compared to 61 in the prior year period. As of both September 30, 2023 and 2022, we had six sales territories in Europe.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8"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Cost of goods sold increased $0.4 million, or 26%, to $1.7 million for the three months ended September 30, 2023, compared to the three months ended September 30, 2022. This increase was primarily due to higher sales of Barostim.</w:t>
      </w:r>
    </w:p>
    <w:p>
      <w:pPr>
        <w:spacing w:after="0" w:line="184"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Gross profit was $8.8 million for the three months ended September 30, 2023, an increase of $4.0 million, or 82%, over the three months ended September 30, 2022. Gross margin increased to 84% for the three months ended September 30, 2023, compared to 78% for the three months ended September 30, 2022. This increase was due primarily to a decrease in the cost per unit driven by an increase in the production volume.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R&amp;D expenses increased $0.4 million, or 18%, to $2.7 million for the three months ended September 30, 2023, compared to the three months ended September 30, 2022. This change was driven by a $ 0.3 million increase in compensation expenses as a result of increased headcount and a $0.1 million increase in non-cash stock-based compensation expense.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p>
      <w:pPr>
        <w:ind w:left="60" w:right="99"/>
        <w:spacing w:after="0" w:line="258" w:lineRule="auto"/>
        <w:rPr>
          <w:sz w:val="20"/>
          <w:szCs w:val="20"/>
          <w:color w:val="auto"/>
        </w:rPr>
      </w:pPr>
      <w:r>
        <w:rPr>
          <w:rFonts w:ascii="Arial" w:cs="Arial" w:eastAsia="Arial" w:hAnsi="Arial"/>
          <w:sz w:val="17"/>
          <w:szCs w:val="17"/>
          <w:color w:val="auto"/>
        </w:rPr>
        <w:t>SG&amp;A expenses increased $ 3.0 million, or 23%, to $15.7 million for the three months ended September 30, 2023, compared to the three months ended September 30, 2022. This change was primarily driven by a $1.9 million increase in compensation expenses, mainly as a result of increased headcount, a $0.5 million increase in non-cash stock-based compensation expense, a $ 0.3 million increase in marketing and advertising expenses associated with the commercialization of Barostim in the U.S. and a $0.1 million increase in travel expenses.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Interest expense increased $0.5 million for the three months ended September 30, 2023, compared to the three months ended September 30, 2022. This increase was driven by the interest expense on borrowings under the Loan Agreement entered into on October 31,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p>
      <w:pPr>
        <w:ind w:left="60" w:right="459"/>
        <w:spacing w:after="0" w:line="247" w:lineRule="auto"/>
        <w:rPr>
          <w:sz w:val="20"/>
          <w:szCs w:val="20"/>
          <w:color w:val="auto"/>
        </w:rPr>
      </w:pPr>
      <w:r>
        <w:rPr>
          <w:rFonts w:ascii="Arial" w:cs="Arial" w:eastAsia="Arial" w:hAnsi="Arial"/>
          <w:sz w:val="18"/>
          <w:szCs w:val="18"/>
          <w:color w:val="auto"/>
        </w:rPr>
        <w:t>Other income, net increased $0.7 million for the three months ended September 30, 2023, compared to the three months ended September 30, 2022. This increase was primarily driven by higher interest rates on interest-bearing accounts partially offset by a lower cash balance.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8" w:lineRule="exact"/>
        <w:rPr>
          <w:sz w:val="20"/>
          <w:szCs w:val="20"/>
          <w:color w:val="auto"/>
        </w:rPr>
      </w:pPr>
    </w:p>
    <w:p>
      <w:pPr>
        <w:ind w:left="60" w:right="919"/>
        <w:spacing w:after="0" w:line="260" w:lineRule="auto"/>
        <w:rPr>
          <w:sz w:val="20"/>
          <w:szCs w:val="20"/>
          <w:color w:val="auto"/>
        </w:rPr>
      </w:pPr>
      <w:r>
        <w:rPr>
          <w:rFonts w:ascii="Arial" w:cs="Arial" w:eastAsia="Arial" w:hAnsi="Arial"/>
          <w:sz w:val="18"/>
          <w:szCs w:val="18"/>
          <w:color w:val="auto"/>
        </w:rPr>
        <w:t>Provision for income taxes was nominal for each of the three months ended September 30, 2023 and September 30, 2022.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59"/>
        <w:spacing w:after="0" w:line="285" w:lineRule="auto"/>
        <w:rPr>
          <w:sz w:val="20"/>
          <w:szCs w:val="20"/>
          <w:color w:val="auto"/>
        </w:rPr>
      </w:pPr>
      <w:r>
        <w:rPr>
          <w:rFonts w:ascii="Arial" w:cs="Arial" w:eastAsia="Arial" w:hAnsi="Arial"/>
          <w:sz w:val="18"/>
          <w:szCs w:val="18"/>
          <w:b w:val="1"/>
          <w:bCs w:val="1"/>
          <w:i w:val="1"/>
          <w:iCs w:val="1"/>
          <w:color w:val="auto"/>
        </w:rPr>
        <w:t>Consolidated results of operations for the nine months ended September 30, 2023, compared to the nine months ended September 30, 2022</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940" w:type="dxa"/>
            <w:vAlign w:val="bottom"/>
            <w:gridSpan w:val="4"/>
          </w:tcPr>
          <w:p>
            <w:pPr>
              <w:ind w:left="40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840" w:type="dxa"/>
            <w:vAlign w:val="bottom"/>
            <w:tcBorders>
              <w:top w:val="single" w:sz="8" w:color="auto"/>
            </w:tcBorders>
            <w:gridSpan w:val="3"/>
          </w:tcPr>
          <w:p>
            <w:pPr>
              <w:jc w:val="right"/>
              <w:ind w:right="18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98"/>
              </w:rPr>
              <w:t>$  27,990</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15,293</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9"/>
              </w:rPr>
              <w:t>$ 12,697</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40" w:type="dxa"/>
            <w:vAlign w:val="bottom"/>
            <w:gridSpan w:val="3"/>
          </w:tcPr>
          <w:p>
            <w:pPr>
              <w:jc w:val="right"/>
              <w:ind w:right="2"/>
              <w:spacing w:after="0" w:line="202" w:lineRule="exact"/>
              <w:rPr>
                <w:sz w:val="20"/>
                <w:szCs w:val="20"/>
                <w:color w:val="auto"/>
              </w:rPr>
            </w:pPr>
            <w:r>
              <w:rPr>
                <w:rFonts w:ascii="Arial" w:cs="Arial" w:eastAsia="Arial" w:hAnsi="Arial"/>
                <w:sz w:val="18"/>
                <w:szCs w:val="18"/>
                <w:color w:val="auto"/>
              </w:rPr>
              <w:t>4,536</w:t>
            </w:r>
          </w:p>
        </w:tc>
        <w:tc>
          <w:tcPr>
            <w:tcW w:w="2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3,490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bottom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23,454</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11,803</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11,651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40" w:type="dxa"/>
            <w:vAlign w:val="bottom"/>
            <w:gridSpan w:val="3"/>
          </w:tcPr>
          <w:p>
            <w:pPr>
              <w:jc w:val="right"/>
              <w:ind w:right="2"/>
              <w:spacing w:after="0" w:line="196" w:lineRule="exact"/>
              <w:rPr>
                <w:sz w:val="20"/>
                <w:szCs w:val="20"/>
                <w:color w:val="auto"/>
              </w:rPr>
            </w:pPr>
            <w:r>
              <w:rPr>
                <w:rFonts w:ascii="Arial" w:cs="Arial" w:eastAsia="Arial" w:hAnsi="Arial"/>
                <w:sz w:val="18"/>
                <w:szCs w:val="18"/>
                <w:color w:val="auto"/>
              </w:rPr>
              <w:t>84</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77</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gridSpan w:val="3"/>
          </w:tcPr>
          <w:p>
            <w:pPr>
              <w:jc w:val="right"/>
              <w:ind w:right="2"/>
              <w:spacing w:after="0" w:line="202" w:lineRule="exact"/>
              <w:rPr>
                <w:sz w:val="20"/>
                <w:szCs w:val="20"/>
                <w:color w:val="auto"/>
              </w:rPr>
            </w:pPr>
            <w:r>
              <w:rPr>
                <w:rFonts w:ascii="Arial" w:cs="Arial" w:eastAsia="Arial" w:hAnsi="Arial"/>
                <w:sz w:val="18"/>
                <w:szCs w:val="18"/>
                <w:color w:val="auto"/>
              </w:rPr>
              <w:t>9,392</w:t>
            </w:r>
          </w:p>
        </w:tc>
        <w:tc>
          <w:tcPr>
            <w:tcW w:w="26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6,906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2,486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40" w:type="dxa"/>
            <w:vAlign w:val="bottom"/>
            <w:gridSpan w:val="3"/>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47,504</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35,945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11,559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gridSpan w:val="3"/>
          </w:tcPr>
          <w:p>
            <w:pPr>
              <w:jc w:val="right"/>
              <w:ind w:right="2"/>
              <w:spacing w:after="0" w:line="196" w:lineRule="exact"/>
              <w:rPr>
                <w:sz w:val="20"/>
                <w:szCs w:val="20"/>
                <w:color w:val="auto"/>
              </w:rPr>
            </w:pPr>
            <w:r>
              <w:rPr>
                <w:rFonts w:ascii="Arial" w:cs="Arial" w:eastAsia="Arial" w:hAnsi="Arial"/>
                <w:sz w:val="18"/>
                <w:szCs w:val="18"/>
                <w:color w:val="auto"/>
              </w:rPr>
              <w:t>56,896</w:t>
            </w:r>
          </w:p>
        </w:tc>
        <w:tc>
          <w:tcPr>
            <w:tcW w:w="2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42,851</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14,045</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2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(33,442)</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(31,048)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(2,394)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(1,220)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(1,220)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840" w:type="dxa"/>
            <w:vAlign w:val="bottom"/>
            <w:gridSpan w:val="3"/>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2,734</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2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8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(31,928)</w:t>
            </w:r>
          </w:p>
        </w:tc>
        <w:tc>
          <w:tcPr>
            <w:tcW w:w="260" w:type="dxa"/>
            <w:vAlign w:val="bottom"/>
          </w:tcPr>
          <w:p>
            <w:pPr>
              <w:spacing w:after="0"/>
              <w:rPr>
                <w:sz w:val="17"/>
                <w:szCs w:val="17"/>
                <w:color w:val="auto"/>
              </w:rPr>
            </w:pPr>
          </w:p>
        </w:tc>
        <w:tc>
          <w:tcPr>
            <w:tcW w:w="8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(30,811)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0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(108)</w:t>
            </w:r>
          </w:p>
        </w:tc>
        <w:tc>
          <w:tcPr>
            <w:tcW w:w="980" w:type="dxa"/>
            <w:vAlign w:val="bottom"/>
            <w:gridSpan w:val="4"/>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96"/>
        </w:trPr>
        <w:tc>
          <w:tcPr>
            <w:tcW w:w="52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 (32,036)</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9"/>
              </w:rPr>
              <w:t>$ (30,892)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(1,144)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8"/>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following table provides revenue by geography: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94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360" w:type="dxa"/>
            <w:vAlign w:val="bottom"/>
            <w:gridSpan w:val="2"/>
          </w:tcPr>
          <w:p>
            <w:pPr>
              <w:spacing w:after="0"/>
              <w:rPr>
                <w:sz w:val="13"/>
                <w:szCs w:val="13"/>
                <w:color w:val="auto"/>
              </w:rPr>
            </w:pPr>
          </w:p>
        </w:tc>
        <w:tc>
          <w:tcPr>
            <w:tcW w:w="74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2023</w:t>
            </w:r>
          </w:p>
        </w:tc>
        <w:tc>
          <w:tcPr>
            <w:tcW w:w="8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Borders>
              <w:top w:val="single" w:sz="8" w:color="auto"/>
            </w:tcBorders>
            <w:gridSpan w:val="2"/>
          </w:tcPr>
          <w:p>
            <w:pPr>
              <w:jc w:val="right"/>
              <w:ind w:right="276"/>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$ 24,818</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$ 12,035</w:t>
            </w: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$ 12,783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3,172</w:t>
            </w:r>
          </w:p>
        </w:tc>
        <w:tc>
          <w:tcPr>
            <w:tcW w:w="9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3,258</w:t>
            </w:r>
          </w:p>
        </w:tc>
        <w:tc>
          <w:tcPr>
            <w:tcW w:w="40" w:type="dxa"/>
            <w:vAlign w:val="bottom"/>
          </w:tcPr>
          <w:p>
            <w:pPr>
              <w:spacing w:after="0"/>
              <w:rPr>
                <w:sz w:val="17"/>
                <w:szCs w:val="17"/>
                <w:color w:val="auto"/>
              </w:rPr>
            </w:pPr>
          </w:p>
        </w:tc>
        <w:tc>
          <w:tcPr>
            <w:tcW w:w="8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$ 27,990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$ 15,293</w:t>
            </w: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$ 12,697</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Revenue was $28.0 million for the nine months ended September 30, 2023, an increase of $12.7 million, or 83%, over the nine months ended September 30, 2022.</w:t>
      </w:r>
    </w:p>
    <w:p>
      <w:pPr>
        <w:spacing w:after="0" w:line="17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Revenue generated in the U.S. was $24.8 million for the nine months ended September 30, 2023, an increase of $12.8 million, or 106%, over the nine months ended September 30, 2022. HF revenue units in the U.S. totaled 793 and 394 for the nine months ended September 30, 2023 and 2022, respectively. HF revenue in the U.S. totaled $24.5 million and $11.6 million for the nine months ended September 30, 2023 and 2022, respectively. The increases were primarily driven by continued growth in the U.S. HF business as a result of the expansion into new sales territories, new accounts, and increased physician and patient awareness of Barostim.</w:t>
      </w:r>
    </w:p>
    <w:p>
      <w:pPr>
        <w:spacing w:after="0" w:line="191"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 of September 30, 2023, we had a total of 159 active implanting centers, as compared to 91 as of September 30, 2022. Active implanting centers are customers that have completed at least one commercial HF implant in the last 12 months. As of September 30, 2023, we had a total of 35 sales territories as compared to 23 as of September 30, 2022.</w:t>
      </w:r>
    </w:p>
    <w:p>
      <w:pPr>
        <w:spacing w:after="0" w:line="188" w:lineRule="exact"/>
        <w:rPr>
          <w:sz w:val="20"/>
          <w:szCs w:val="20"/>
          <w:color w:val="auto"/>
        </w:rPr>
      </w:pPr>
    </w:p>
    <w:p>
      <w:pPr>
        <w:jc w:val="both"/>
        <w:ind w:left="60" w:right="159"/>
        <w:spacing w:after="0" w:line="243" w:lineRule="auto"/>
        <w:rPr>
          <w:sz w:val="20"/>
          <w:szCs w:val="20"/>
          <w:color w:val="auto"/>
        </w:rPr>
      </w:pPr>
      <w:r>
        <w:rPr>
          <w:rFonts w:ascii="Arial" w:cs="Arial" w:eastAsia="Arial" w:hAnsi="Arial"/>
          <w:sz w:val="18"/>
          <w:szCs w:val="18"/>
          <w:color w:val="auto"/>
        </w:rPr>
        <w:t>Revenue generated in Europe was $3.2 million for the nine months ended September 30, 2023, a decrease of $0.1 million, or 3%, over the nine months ended September 30, 2022. Total revenue units in Europe decreased to 155 for the nine months ended September 30, 2023, as compared to 163 in the prior year period. As of both September 30, 2023 and 2022, we had six sales territories in Europe.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8"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Cost of goods sold increased $1.0 million, or 30%, to $ 4.5 million for the nine months ended September 30, 2023, compared to the nine months ended September 30, 2022. This increase was primarily due to higher sales of Barostim.</w:t>
      </w:r>
    </w:p>
    <w:p>
      <w:pPr>
        <w:spacing w:after="0" w:line="184"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Gross profit was $23.5 million for the nine months ended September 30, 2023, an increase of $ 11.7 million, or 99%, over the nine months ended September 30, 2022. Gross margin increased to 84% for the nine months ended September 30, 2023, compared to 77% for the nine months ended September 30, 2022. This increase was due primarily to a decrease in the cost per unit driven by an increase in the production volume.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R&amp;D expenses increased $2.5 million, or 36%, to $9.4 million for the nine months ended September 30, 2023, compared to the nine months ended September 30, 2022. This change was driven by a $1.4 million increase in compensation expenses as a result of increased headcount, a $ 0.6 million increase in non-cash stock-based compensation expense and a $0.4 million increase in consulting fees.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SG&amp;A expenses increased $11.6 million, or 32%, to $47.5 million for the nine months ended September 30, 2023, compared to the nine months ended September 30, 2022. This change was primarily driven by a $6.9 million increase in compensation expenses, mainly as a result of increased headcount, a $1.6 million increase in marketing and advertising expenses associated with the commercialization of Barostim in the U.S, a $1.3 million increase in travel expenses, a $1.3 million increase in non-cash stock-based compensation expense and a $0.6 million increase in consulting fees.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Interest expense increased $1.2 million for the nine months ended September 30, 2023, compared to the nine months ended September 30, 2022. This increase was driven by the interest expense on borrowings under the Loan Agreement entered into on October 31,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Other income, net increased $ 2.5 million for the nine months ended September 30, 2023, compared to the nine months ended September 30, 2022. This increase was primarily driven by higher interest rates on interest-bearing accounts partially offset by a lower cash balance.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8"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Provision for income taxes was nominal for each of the nine months ended September 30, 2023 and September 30, 2022.</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2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2023 and December 31, 2022, we had cash and cash equivalents of $83.0 million and $106.2 million, respectively. For the three months ended September 30, 2023 and 2022, our net losses were $9.0 million and $9.8 million, respectively. For the nine months ended September 30, 2023 and 2022, our net losses were $32.0 million and $30.9 million, respectively. Our net cash used in operating activities for the nine months ended September 30, 2023 and 2022 was $31.2 million and $31.8 million,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October 31, 2022, we entered into the Loan Agreement under which we may borrow, subject to our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achievement of certain milestones, up to a total of $50.0 million in a series of Term Loans described in Note 4 to</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condensed consolidated financial statements included elsewhere in this Quarterly Report on Form 10-Q,</w:t>
      </w:r>
    </w:p>
    <w:p>
      <w:pPr>
        <w:ind w:left="60"/>
        <w:spacing w:after="0" w:line="234" w:lineRule="auto"/>
        <w:rPr>
          <w:sz w:val="20"/>
          <w:szCs w:val="20"/>
          <w:color w:val="auto"/>
        </w:rPr>
      </w:pPr>
      <w:r>
        <w:rPr>
          <w:rFonts w:ascii="Arial" w:cs="Arial" w:eastAsia="Arial" w:hAnsi="Arial"/>
          <w:sz w:val="18"/>
          <w:szCs w:val="18"/>
          <w:color w:val="auto"/>
        </w:rPr>
        <w:t>and we borrowed $7.5 million of such total on that date to fund our commercial and investment efforts. On</w:t>
      </w:r>
    </w:p>
    <w:p>
      <w:pPr>
        <w:ind w:left="60"/>
        <w:spacing w:after="0" w:line="235" w:lineRule="auto"/>
        <w:rPr>
          <w:sz w:val="20"/>
          <w:szCs w:val="20"/>
          <w:color w:val="auto"/>
        </w:rPr>
      </w:pPr>
      <w:r>
        <w:rPr>
          <w:rFonts w:ascii="Arial" w:cs="Arial" w:eastAsia="Arial" w:hAnsi="Arial"/>
          <w:sz w:val="18"/>
          <w:szCs w:val="18"/>
          <w:color w:val="auto"/>
        </w:rPr>
        <w:t>March 10, 2023, we borrowed the $7.5 million remaining under the first tranche of the Loan Agreement, with</w:t>
      </w:r>
    </w:p>
    <w:p>
      <w:pPr>
        <w:ind w:left="60"/>
        <w:spacing w:after="0" w:line="235" w:lineRule="auto"/>
        <w:rPr>
          <w:sz w:val="20"/>
          <w:szCs w:val="20"/>
          <w:color w:val="auto"/>
        </w:rPr>
      </w:pPr>
      <w:r>
        <w:rPr>
          <w:rFonts w:ascii="Arial" w:cs="Arial" w:eastAsia="Arial" w:hAnsi="Arial"/>
          <w:sz w:val="18"/>
          <w:szCs w:val="18"/>
          <w:color w:val="auto"/>
        </w:rPr>
        <w:t>$4.0 million received on March 13, 2023, and $3.5 million received on March 15, 2023. Following this draw, we</w:t>
      </w:r>
    </w:p>
    <w:p>
      <w:pPr>
        <w:ind w:left="60"/>
        <w:spacing w:after="0" w:line="235" w:lineRule="auto"/>
        <w:rPr>
          <w:sz w:val="20"/>
          <w:szCs w:val="20"/>
          <w:color w:val="auto"/>
        </w:rPr>
      </w:pPr>
      <w:r>
        <w:rPr>
          <w:rFonts w:ascii="Arial" w:cs="Arial" w:eastAsia="Arial" w:hAnsi="Arial"/>
          <w:sz w:val="18"/>
          <w:szCs w:val="18"/>
          <w:color w:val="auto"/>
        </w:rPr>
        <w:t>have $15.0 million in outstanding Term Loans under the Loan Agreement. The Loan Agreement provides for up</w:t>
      </w:r>
    </w:p>
    <w:p>
      <w:pPr>
        <w:ind w:left="60"/>
        <w:spacing w:after="0" w:line="235" w:lineRule="auto"/>
        <w:rPr>
          <w:sz w:val="20"/>
          <w:szCs w:val="20"/>
          <w:color w:val="auto"/>
        </w:rPr>
      </w:pPr>
      <w:r>
        <w:rPr>
          <w:rFonts w:ascii="Arial" w:cs="Arial" w:eastAsia="Arial" w:hAnsi="Arial"/>
          <w:sz w:val="18"/>
          <w:szCs w:val="18"/>
          <w:color w:val="auto"/>
        </w:rPr>
        <w:t>to two additional tranches of loans totaling up to an additional $35.0 million, based on timing, the achievement</w:t>
      </w:r>
    </w:p>
    <w:p>
      <w:pPr>
        <w:ind w:left="60"/>
        <w:spacing w:after="0"/>
        <w:rPr>
          <w:sz w:val="20"/>
          <w:szCs w:val="20"/>
          <w:color w:val="auto"/>
        </w:rPr>
      </w:pPr>
      <w:r>
        <w:rPr>
          <w:rFonts w:ascii="Arial" w:cs="Arial" w:eastAsia="Arial" w:hAnsi="Arial"/>
          <w:sz w:val="18"/>
          <w:szCs w:val="18"/>
          <w:color w:val="auto"/>
        </w:rPr>
        <w:t>of certain trailing three months revenue targets and other conditions set forth in the Loan Agreement.</w:t>
      </w:r>
    </w:p>
    <w:p>
      <w:pPr>
        <w:spacing w:after="0" w:line="200"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$50.0 million in an “at-the-market” or ATM offering, to or through the agent. As of September 30, 2023, no shares have been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999" w:hanging="330"/>
        <w:spacing w:after="0" w:line="260"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72"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60"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72"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believe that our existing cash resources and Loan Agreement for Term Loans together with revenue will be sufficient to meet our forecasted requirements for operating liquidity, capital expenditures and debt services for at least the next three years. If these sources are insufficient to satisfy our liquidity requirements or provide funding to execute or accelerate our growth strategies, however, we may seek to sell additional equity or enter into an additional loan agreement. If we were to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194"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indicated below:</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(31,182)</w:t>
            </w:r>
          </w:p>
        </w:tc>
        <w:tc>
          <w:tcPr>
            <w:tcW w:w="18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(31,836)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2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8,404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(23,201)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Net cash used in operating activities for the nine months ended September 30, 2023 was $31.2 million and consisted primarily of a net loss of $ 32.0 million and a change in net operating assets of $4.4 million, partially offset by a non-cash charge of $4.7 million related to stock-based compensation expense. Net operating assets consisted primarily of accounts receivable, inventory, prepaid expenses and other current assets, accounts payable and accrued expenses to support the growth of our operations.</w:t>
      </w:r>
    </w:p>
    <w:p>
      <w:pPr>
        <w:spacing w:after="0" w:line="189"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Net cash used in operating activities for the nine months ended September 30, 2022 was $31.8 million and consisted primarily of a net loss of $ 30.9 million and a change in net operating assets of $4.1 million, partially offset by a non-cash charge of $2.8 million related to stock-based compensation expense. Net operating assets consisted primarily of inventory, accounts receivable, prepaid expenses and other current assets, accounts payable and accrued expenses to support the growth of our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8"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Cash used in investing activities was $0.4 million and $0.6 million for each of the nine months ended September 30, 2023 and 2022, respectively, and consisted of purchases of property and equipment.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8"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Net cash provided by financing activities for the nine months ended September 30, 2023 was $ 8.4 million and consisted of $7.5 million related to proceeds under the Loan Agreement, $0.5 million related to proceeds from the ESPP and $0.5 million related to proceeds from the exercise of common stock options, partially offset by $0.1 million related to debt financing costs.</w:t>
      </w:r>
    </w:p>
    <w:p>
      <w:pPr>
        <w:spacing w:after="0" w:line="188"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2022 was $0.4 million and consisted of $0.3 million related to proceeds from the ESPP and $0.1 million related to proceeds from the exercise of common stock options.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26"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There have been no material changes to our contractual obligations as of September 30, 2023, as compared to those disclosed in our Annual Report on Form 10-K for the year ended December 31,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26" w:lineRule="exact"/>
        <w:rPr>
          <w:sz w:val="20"/>
          <w:szCs w:val="20"/>
          <w:color w:val="auto"/>
        </w:rPr>
      </w:pPr>
    </w:p>
    <w:p>
      <w:pPr>
        <w:ind w:left="60" w:right="299"/>
        <w:spacing w:after="0" w:line="269" w:lineRule="auto"/>
        <w:rPr>
          <w:sz w:val="20"/>
          <w:szCs w:val="20"/>
          <w:color w:val="auto"/>
        </w:rPr>
      </w:pPr>
      <w:r>
        <w:rPr>
          <w:rFonts w:ascii="Arial" w:cs="Arial" w:eastAsia="Arial" w:hAnsi="Arial"/>
          <w:sz w:val="17"/>
          <w:szCs w:val="17"/>
          <w:color w:val="auto"/>
        </w:rPr>
        <w:t>For a discussion of our potential risks and uncertainties, see the information in Part II, Item 7. “Management's Discussion and Analysis of Financial Condition and Results of Operations—Critical accounting policies and estimates" in our Annual Report on Form 10-K for the fiscal year ended December 31, 2022. We have</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419"/>
        <w:spacing w:after="0" w:line="260" w:lineRule="auto"/>
        <w:rPr>
          <w:sz w:val="20"/>
          <w:szCs w:val="20"/>
          <w:color w:val="auto"/>
        </w:rPr>
      </w:pPr>
      <w:r>
        <w:rPr>
          <w:rFonts w:ascii="Arial" w:cs="Arial" w:eastAsia="Arial" w:hAnsi="Arial"/>
          <w:sz w:val="18"/>
          <w:szCs w:val="18"/>
          <w:color w:val="auto"/>
        </w:rPr>
        <w:t>reviewed and determined that those critical accounting policies and estimates remain our critical accounting policies and estimates as of and for the nine months ended September 30,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2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26" w:lineRule="exact"/>
        <w:rPr>
          <w:sz w:val="20"/>
          <w:szCs w:val="20"/>
          <w:color w:val="auto"/>
        </w:rPr>
      </w:pPr>
    </w:p>
    <w:p>
      <w:pPr>
        <w:ind w:left="60" w:right="719"/>
        <w:spacing w:after="0" w:line="260"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2"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22" w:lineRule="exact"/>
        <w:rPr>
          <w:sz w:val="20"/>
          <w:szCs w:val="20"/>
          <w:color w:val="auto"/>
        </w:rPr>
      </w:pPr>
    </w:p>
    <w:p>
      <w:pPr>
        <w:ind w:left="60" w:right="239"/>
        <w:spacing w:after="0" w:line="252"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1"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2" w:lineRule="exact"/>
        <w:rPr>
          <w:sz w:val="20"/>
          <w:szCs w:val="20"/>
          <w:color w:val="auto"/>
        </w:rPr>
      </w:pPr>
    </w:p>
    <w:p>
      <w:pPr>
        <w:jc w:val="both"/>
        <w:ind w:left="60" w:right="539"/>
        <w:spacing w:after="0" w:line="243" w:lineRule="auto"/>
        <w:rPr>
          <w:sz w:val="20"/>
          <w:szCs w:val="20"/>
          <w:color w:val="auto"/>
        </w:rPr>
      </w:pPr>
      <w:r>
        <w:rPr>
          <w:rFonts w:ascii="Arial" w:cs="Arial" w:eastAsia="Arial" w:hAnsi="Arial"/>
          <w:sz w:val="18"/>
          <w:szCs w:val="18"/>
          <w:color w:val="auto"/>
        </w:rPr>
        <w:t>As of September 30, 2023 and December 31, 2022,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18"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18"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For a discussion of our potential risks and uncertainties, see the information in Part I, Item IA. “Risk Factors” in our Annual Report on Form 10-K for the year ended December 31, 2022. Other than the risk factors set forth below, there have been no material changes to the risk factors disclosed in our Annual Report on Form 10-K.</w:t>
      </w:r>
    </w:p>
    <w:p>
      <w:pPr>
        <w:spacing w:after="0" w:line="48" w:lineRule="exact"/>
        <w:rPr>
          <w:sz w:val="20"/>
          <w:szCs w:val="20"/>
          <w:color w:val="auto"/>
        </w:rPr>
      </w:pPr>
    </w:p>
    <w:p>
      <w:pPr>
        <w:ind w:left="60" w:right="159"/>
        <w:spacing w:after="0" w:line="285"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39"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Medicare reimbursement levels are important to increasing adoption of Barostim because nearly two-thirds of the target patient population for Barostim is over the age of 65. Effective January 2021, CMS awarded Barostim a TPT payment for outpatient procedures that adds the device cost as a pass-through payment to the calculated procedure payment, which will remain in place through 2023. The calculated procedure payment depends on many factors, including the location of the hospitals and their billing practices, and may not adequately cover hospital costs associated with the procedure. CMS recently released the proposed Outpatient Prospective Payment System (or “OPPS”), for 2024, which did not address our March 2023 submission requesting assignment to one of the New Technology APC payment codes for 2024. We submitted formal comments on the proposed OPPS package to advocate for inclusion in the 2024 final rule to be released later</w:t>
      </w:r>
    </w:p>
    <w:p>
      <w:pPr>
        <w:spacing w:after="0" w:line="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year. In August 2023, we delivered a presentation before the CMS Advisory Panel on Hospital Outpatient Payment, resulting in a unanimous non-binding vote in favor of mapping Barostim to the higher paying code, New Technology APC1580, which would offer an average reimbursement of $45,000 to hospitals in 2024. If CMS instead decides to map Barostim to APC5465 without the transitional passthrough payment for 2024, which is the basis for our plans, then the average reimbursement to hospitals will be approximately $30,000. The final outpatient payment rule is expected to be published in late November. There can be no assurance that our efforts to request the higher paying code or the CMS Advisory Panel’s vote will be successful in securing the higher paying code.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spacing w:after="0" w:line="170" w:lineRule="exact"/>
        <w:rPr>
          <w:sz w:val="20"/>
          <w:szCs w:val="20"/>
          <w:color w:val="auto"/>
        </w:rPr>
      </w:pPr>
    </w:p>
    <w:p>
      <w:pPr>
        <w:jc w:val="both"/>
        <w:ind w:left="100" w:right="739"/>
        <w:spacing w:after="0" w:line="260"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5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will likely need to conduct additional clinical studies in the future to support approval for new indications. For example, in February of 2023, we were unblinded to the morbidity and mortality data from the BeAT-HF pivotal trial that began in 2016. While the trial did not reach statistical significance on the primary endpoint, it did contain additional clinically meaningful prespecified analyses favoring Barostim. We filed a regulatory submission to the FDA for expanded labeling in early June 2023; however, the timing and scope of any such expansion is currently uncertain.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right="279"/>
        <w:spacing w:after="0" w:line="247" w:lineRule="auto"/>
        <w:rPr>
          <w:sz w:val="20"/>
          <w:szCs w:val="20"/>
          <w:color w:val="auto"/>
        </w:rPr>
      </w:pPr>
      <w:r>
        <w:rPr>
          <w:rFonts w:ascii="Arial" w:cs="Arial" w:eastAsia="Arial" w:hAnsi="Arial"/>
          <w:sz w:val="18"/>
          <w:szCs w:val="18"/>
          <w:color w:val="auto"/>
        </w:rPr>
        <w:t>More generally, clinical testing takes many years, is expensive and carries uncertain outcomes. The initiation and completion of studies may be prevented, delayed, or halted for numerous reasons, including, but not limited to, the following:</w:t>
      </w:r>
    </w:p>
    <w:p>
      <w:pPr>
        <w:spacing w:after="0" w:line="76" w:lineRule="exact"/>
        <w:rPr>
          <w:sz w:val="20"/>
          <w:szCs w:val="20"/>
          <w:color w:val="auto"/>
        </w:rPr>
      </w:pPr>
    </w:p>
    <w:p>
      <w:pPr>
        <w:jc w:val="both"/>
        <w:ind w:left="560" w:right="559" w:hanging="132"/>
        <w:spacing w:after="0" w:line="247" w:lineRule="auto"/>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the FDA, institutional review boards (“IRBs”), ethics committees, European Union (“EU”) competent authorities or other regulatory authorities do not approve a clinical study protocol, force us to modify a previously approved protocol, or place a clinical study on hold;</w:t>
      </w:r>
    </w:p>
    <w:p>
      <w:pPr>
        <w:spacing w:after="0" w:line="76"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03" w:lineRule="exact"/>
        <w:rPr>
          <w:rFonts w:ascii="Arial" w:cs="Arial" w:eastAsia="Arial" w:hAnsi="Arial"/>
          <w:sz w:val="18"/>
          <w:szCs w:val="18"/>
          <w:color w:val="231F20"/>
        </w:rPr>
      </w:pPr>
    </w:p>
    <w:p>
      <w:pPr>
        <w:ind w:left="560" w:right="159" w:hanging="132"/>
        <w:spacing w:after="0" w:line="24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76" w:lineRule="exact"/>
        <w:rPr>
          <w:rFonts w:ascii="Arial" w:cs="Arial" w:eastAsia="Arial" w:hAnsi="Arial"/>
          <w:sz w:val="18"/>
          <w:szCs w:val="18"/>
          <w:color w:val="auto"/>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03" w:lineRule="exact"/>
        <w:rPr>
          <w:rFonts w:ascii="Arial" w:cs="Arial" w:eastAsia="Arial" w:hAnsi="Arial"/>
          <w:sz w:val="18"/>
          <w:szCs w:val="18"/>
          <w:color w:val="231F20"/>
        </w:rPr>
      </w:pPr>
    </w:p>
    <w:p>
      <w:pPr>
        <w:ind w:left="560" w:right="99" w:hanging="132"/>
        <w:spacing w:after="0" w:line="243" w:lineRule="auto"/>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79"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60" w:right="999" w:hanging="132"/>
        <w:spacing w:after="0" w:line="260" w:lineRule="auto"/>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64"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efficacy;</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efficacy; or</w:t>
      </w:r>
    </w:p>
    <w:p>
      <w:pPr>
        <w:spacing w:after="0" w:line="103" w:lineRule="exact"/>
        <w:rPr>
          <w:rFonts w:ascii="Arial" w:cs="Arial" w:eastAsia="Arial" w:hAnsi="Arial"/>
          <w:sz w:val="18"/>
          <w:szCs w:val="18"/>
          <w:color w:val="231F20"/>
        </w:rPr>
      </w:pPr>
    </w:p>
    <w:p>
      <w:pPr>
        <w:ind w:left="560" w:hanging="132"/>
        <w:spacing w:after="0"/>
        <w:tabs>
          <w:tab w:leader="none" w:pos="56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100" w:right="179"/>
        <w:spacing w:after="0" w:line="238" w:lineRule="auto"/>
        <w:rPr>
          <w:sz w:val="20"/>
          <w:szCs w:val="20"/>
          <w:color w:val="auto"/>
        </w:rPr>
      </w:pPr>
      <w:r>
        <w:rPr>
          <w:rFonts w:ascii="Arial" w:cs="Arial" w:eastAsia="Arial" w:hAnsi="Arial"/>
          <w:sz w:val="18"/>
          <w:szCs w:val="18"/>
          <w:color w:val="auto"/>
        </w:rPr>
        <w:t>Clinical trials can fail at any stage. Our clinical studies may produce negative or inconclusive results and we may decide, or regulators may require us, to conduct additional clinical or non-clinical studies in addition to those we have planned. The impacts of the COVID-19 pandemic, which may have affected certain participants in the post-market pivotal trial, are being analyzed, and they may exacerbate certain risks described above. In addition, if the FDA determines for any reason, including safety or their risk-benefit analysis, that the results of a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spacing w:after="0" w:line="83" w:lineRule="exact"/>
        <w:rPr>
          <w:sz w:val="20"/>
          <w:szCs w:val="20"/>
          <w:color w:val="auto"/>
        </w:rPr>
      </w:pPr>
    </w:p>
    <w:p>
      <w:pPr>
        <w:ind w:left="100" w:right="199"/>
        <w:spacing w:after="0" w:line="238"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83" w:lineRule="exact"/>
        <w:rPr>
          <w:sz w:val="20"/>
          <w:szCs w:val="20"/>
          <w:color w:val="auto"/>
        </w:rPr>
      </w:pPr>
    </w:p>
    <w:p>
      <w:pPr>
        <w:ind w:left="100" w:right="459"/>
        <w:spacing w:after="0" w:line="247" w:lineRule="auto"/>
        <w:rPr>
          <w:sz w:val="20"/>
          <w:szCs w:val="20"/>
          <w:color w:val="auto"/>
        </w:rPr>
      </w:pPr>
      <w:r>
        <w:rPr>
          <w:rFonts w:ascii="Arial" w:cs="Arial" w:eastAsia="Arial" w:hAnsi="Arial"/>
          <w:sz w:val="18"/>
          <w:szCs w:val="18"/>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0" w:right="339"/>
        <w:spacing w:after="0" w:line="247" w:lineRule="auto"/>
        <w:rPr>
          <w:sz w:val="20"/>
          <w:szCs w:val="20"/>
          <w:color w:val="auto"/>
        </w:rPr>
      </w:pPr>
      <w:r>
        <w:rPr>
          <w:rFonts w:ascii="Arial" w:cs="Arial" w:eastAsia="Arial" w:hAnsi="Arial"/>
          <w:sz w:val="18"/>
          <w:szCs w:val="18"/>
          <w:color w:val="auto"/>
        </w:rPr>
        <w:t>periods different from, and greater than, those in the U.S. or the EEA, including additional preclinical studies or clinical trials. Any of these occurrences may harm our business, financial condition, and prospects significantly.</w:t>
      </w:r>
    </w:p>
    <w:p>
      <w:pPr>
        <w:spacing w:after="0" w:line="66" w:lineRule="exact"/>
        <w:rPr>
          <w:sz w:val="20"/>
          <w:szCs w:val="20"/>
          <w:color w:val="auto"/>
        </w:rPr>
      </w:pPr>
    </w:p>
    <w:p>
      <w:pPr>
        <w:ind w:left="100" w:right="459"/>
        <w:spacing w:after="0" w:line="316" w:lineRule="auto"/>
        <w:rPr>
          <w:sz w:val="20"/>
          <w:szCs w:val="20"/>
          <w:color w:val="auto"/>
        </w:rPr>
      </w:pPr>
      <w:r>
        <w:rPr>
          <w:rFonts w:ascii="Arial" w:cs="Arial" w:eastAsia="Arial" w:hAnsi="Arial"/>
          <w:sz w:val="17"/>
          <w:szCs w:val="17"/>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8" w:lineRule="exact"/>
        <w:rPr>
          <w:sz w:val="20"/>
          <w:szCs w:val="20"/>
          <w:color w:val="auto"/>
        </w:rPr>
      </w:pPr>
    </w:p>
    <w:p>
      <w:pPr>
        <w:ind w:left="100" w:right="219"/>
        <w:spacing w:after="0" w:line="236" w:lineRule="auto"/>
        <w:rPr>
          <w:sz w:val="20"/>
          <w:szCs w:val="20"/>
          <w:color w:val="auto"/>
        </w:rPr>
      </w:pPr>
      <w:r>
        <w:rPr>
          <w:rFonts w:ascii="Arial" w:cs="Arial" w:eastAsia="Arial" w:hAnsi="Arial"/>
          <w:sz w:val="18"/>
          <w:szCs w:val="18"/>
          <w:color w:val="auto"/>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Quality Management System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92" w:lineRule="exact"/>
        <w:rPr>
          <w:sz w:val="20"/>
          <w:szCs w:val="20"/>
          <w:color w:val="auto"/>
        </w:rPr>
      </w:pPr>
    </w:p>
    <w:p>
      <w:pPr>
        <w:ind w:left="100" w:right="159"/>
        <w:spacing w:after="0" w:line="250"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2" w:lineRule="exact"/>
        <w:rPr>
          <w:sz w:val="20"/>
          <w:szCs w:val="20"/>
          <w:color w:val="auto"/>
        </w:rPr>
      </w:pPr>
    </w:p>
    <w:p>
      <w:pPr>
        <w:ind w:left="100" w:right="219" w:firstLine="4"/>
        <w:spacing w:after="0" w:line="237" w:lineRule="auto"/>
        <w:tabs>
          <w:tab w:leader="none" w:pos="37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8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continue to sell Barostim in Europe, we must comply with the Medical Devices Regulation (Regulation (EU) 2017/745 — “MDR”) and its evolving transition requirements. We have submitted our application for Barostim to comply with the general safety and performance requirements of the EU MDR (which are similar to the Essential Requirements of the Active Implantable Medical Device Directive (“AIMDD”)), and it is currently under review. Additionally, the EU did approve an amendment to the MDR which allows qualifying AIMDD CE certificates to be accepted through December of 2027. We have already met the qualifications identified within this amendment to allow continued distribution of Barostim through this time.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right="1179" w:hanging="323"/>
        <w:spacing w:after="0" w:line="276" w:lineRule="auto"/>
        <w:rPr>
          <w:sz w:val="20"/>
          <w:szCs w:val="20"/>
          <w:color w:val="auto"/>
        </w:rPr>
      </w:pPr>
      <w:r>
        <w:rPr>
          <w:rFonts w:ascii="Arial" w:cs="Arial" w:eastAsia="Arial" w:hAnsi="Arial"/>
          <w:sz w:val="22"/>
          <w:szCs w:val="22"/>
          <w:b w:val="1"/>
          <w:bCs w:val="1"/>
          <w:color w:val="auto"/>
        </w:rPr>
        <w:t>Item 2. Unregistered Sales of Equity Securities, Use of Proceeds, and Issuer Purchases of Equity Securities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301"/>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9"/>
          </w:tcPr>
          <w:p>
            <w:pPr>
              <w:ind w:left="268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33"/>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0"/>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7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9"/>
          </w:tcPr>
          <w:p>
            <w:pPr>
              <w:spacing w:after="0"/>
              <w:rPr>
                <w:rFonts w:ascii="Arial" w:cs="Arial" w:eastAsia="Arial" w:hAnsi="Arial"/>
                <w:sz w:val="18"/>
                <w:szCs w:val="18"/>
                <w:color w:val="0000EE"/>
              </w:rPr>
            </w:pPr>
            <w:hyperlink r:id="rId51">
              <w:r>
                <w:rPr>
                  <w:rFonts w:ascii="Arial" w:cs="Arial" w:eastAsia="Arial" w:hAnsi="Arial"/>
                  <w:sz w:val="18"/>
                  <w:szCs w:val="18"/>
                  <w:color w:val="0000EE"/>
                </w:rPr>
                <w:t>Amended and Restated Certificate of Incorporation of CVRx, Inc. (incorporated by reference to</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Exhibit 3.1 to the Company’s Current Report on Form 8-K filed on July 7, 2021)</w:t>
              </w:r>
            </w:hyperlink>
          </w:p>
        </w:tc>
        <w:tc>
          <w:tcPr>
            <w:tcW w:w="4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500" w:type="dxa"/>
            <w:vAlign w:val="bottom"/>
            <w:tcBorders>
              <w:bottom w:val="single" w:sz="8" w:color="0000EE"/>
            </w:tcBorders>
            <w:gridSpan w:val="4"/>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Company’s Current Report on Form 8-K filed on July 7, 2021)</w:t>
              </w:r>
            </w:hyperlink>
          </w:p>
        </w:tc>
        <w:tc>
          <w:tcPr>
            <w:tcW w:w="30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0000EE"/>
              </w:rPr>
              <w:t>Certification of Chief Financial Officer Pursuant to 18 U.S.C. Section 1350, as adopted pursuant to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40" w:right="279" w:hanging="983"/>
        <w:spacing w:after="0" w:line="277" w:lineRule="auto"/>
        <w:tabs>
          <w:tab w:leader="none" w:pos="102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3"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31, 2023</w:t>
      </w:r>
    </w:p>
    <w:p>
      <w:pPr>
        <w:spacing w:after="0" w:line="21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3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spacing w:after="0" w:line="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79"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2023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2023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1" Type="http://schemas.openxmlformats.org/officeDocument/2006/relationships/hyperlink" Target="https://www.sec.gov/Archives/edgar/data/1235912/000110465921089779/tm2121505d1_ex3-1.htm" TargetMode="External"/><Relationship Id="rId52"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2023-10-31T15:17:09Z</dcterms:created>
  <dcterms:modified xsi:type="dcterms:W3CDTF">2023-10-31T15:17:09Z</dcterms:modified>
</cp:coreProperties>
</file>