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cvrx-20230331x10q.htm"/>
        <w:bookmarkStart w:id="1" w:name="kscvrx2023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Arial;Helvetica;sans-serif" w:hAnsi="Arial;Helvetica;sans-serif"/>
          <w:b/>
          <w:sz w:val="18"/>
        </w:rPr>
      </w:pPr>
      <w:bookmarkStart w:id="2" w:name="_ac1725d4_b8c7_4fe9_9f21_bee7899abd17"/>
      <w:bookmarkEnd w:id="2"/>
      <w:r>
        <w:rPr>
          <w:rFonts w:ascii="Arial;Helvetica;sans-serif" w:hAnsi="Arial;Helvetica;sans-serif"/>
          <w:b/>
          <w:sz w:val="18"/>
        </w:rPr>
        <w:t>UNITED STATES</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SECURITIES AND EXCHANGE COMMISSION</w:t>
      </w:r>
    </w:p>
    <w:p>
      <w:pPr>
        <w:pStyle w:val="TextBody"/>
        <w:bidi w:val="0"/>
        <w:spacing w:before="0" w:after="60"/>
        <w:ind w:left="0" w:right="0" w:hanging="0"/>
        <w:jc w:val="center"/>
        <w:rPr>
          <w:rFonts w:ascii="Arial;Helvetica;sans-serif" w:hAnsi="Arial;Helvetica;sans-serif"/>
          <w:b/>
          <w:sz w:val="18"/>
        </w:rPr>
      </w:pPr>
      <w:r>
        <w:rPr>
          <w:rFonts w:ascii="Arial;Helvetica;sans-serif" w:hAnsi="Arial;Helvetica;sans-serif"/>
          <w:b/>
          <w:sz w:val="18"/>
        </w:rPr>
        <w:t>Washington, D.C. 20549</w:t>
      </w:r>
    </w:p>
    <w:p>
      <w:pPr>
        <w:pStyle w:val="TextBody"/>
        <w:bidi w:val="0"/>
        <w:spacing w:before="0" w:after="60"/>
        <w:ind w:left="0" w:right="0" w:hanging="0"/>
        <w:jc w:val="center"/>
        <w:rPr>
          <w:rFonts w:ascii="Arial;Helvetica;sans-serif" w:hAnsi="Arial;Helvetica;sans-serif"/>
          <w:b/>
          <w:sz w:val="18"/>
        </w:rPr>
      </w:pPr>
      <w:r>
        <w:rPr>
          <w:rFonts w:ascii="Arial;Helvetica;sans-serif" w:hAnsi="Arial;Helvetica;sans-serif"/>
          <w:b/>
          <w:sz w:val="18"/>
        </w:rPr>
        <w:t>FORM 10-Q</w:t>
      </w:r>
    </w:p>
    <w:p>
      <w:pPr>
        <w:pStyle w:val="TextBody"/>
        <w:bidi w:val="0"/>
        <w:spacing w:before="0" w:after="0"/>
        <w:ind w:left="720" w:right="0" w:hanging="0"/>
        <w:jc w:val="left"/>
        <w:rPr>
          <w:rFonts w:ascii="Arial;Helvetica;sans-serif" w:hAnsi="Arial;Helvetica;sans-serif"/>
          <w:b/>
          <w:sz w:val="18"/>
        </w:rPr>
      </w:pPr>
      <w:r>
        <w:rPr>
          <w:rFonts w:ascii="Arial;Helvetica;sans-serif" w:hAnsi="Arial;Helvetica;sans-serif"/>
          <w:b/>
          <w:sz w:val="18"/>
        </w:rPr>
        <w:t>(Mark One)</w:t>
      </w:r>
    </w:p>
    <w:tbl>
      <w:tblPr>
        <w:tblW w:w="9816" w:type="dxa"/>
        <w:jc w:val="left"/>
        <w:tblInd w:w="0" w:type="dxa"/>
        <w:tblLayout w:type="fixed"/>
        <w:tblCellMar>
          <w:top w:w="0" w:type="dxa"/>
          <w:left w:w="0" w:type="dxa"/>
          <w:bottom w:w="0" w:type="dxa"/>
          <w:right w:w="0" w:type="dxa"/>
        </w:tblCellMar>
      </w:tblPr>
      <w:tblGrid>
        <w:gridCol w:w="124"/>
        <w:gridCol w:w="316"/>
        <w:gridCol w:w="937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9376" w:type="dxa"/>
            <w:tcBorders/>
            <w:vAlign w:val="center"/>
          </w:tcPr>
          <w:p>
            <w:pPr>
              <w:pStyle w:val="TableContents"/>
              <w:bidi w:val="0"/>
              <w:spacing w:before="0" w:after="0"/>
              <w:jc w:val="left"/>
              <w:rPr>
                <w:rFonts w:ascii="Arial;Helvetica;sans-serif" w:hAnsi="Arial;Helvetica;sans-serif"/>
                <w:b/>
                <w:sz w:val="18"/>
              </w:rPr>
            </w:pPr>
            <w:r>
              <w:rPr>
                <w:rFonts w:ascii="Arial;Helvetica;sans-serif" w:hAnsi="Arial;Helvetica;sans-serif"/>
                <w:b/>
                <w:sz w:val="18"/>
              </w:rPr>
              <w:t>QUARTERLY REPORT PURSUANT TO SECTION 13 OR 15(d) OF THE SECURITIES EXCHANGE ACT OF 1934</w:t>
            </w:r>
          </w:p>
        </w:tc>
      </w:tr>
    </w:tbl>
    <w:p>
      <w:pPr>
        <w:pStyle w:val="TextBody"/>
        <w:bidi w:val="0"/>
        <w:spacing w:before="0" w:after="60"/>
        <w:ind w:left="0" w:right="0" w:hanging="0"/>
        <w:jc w:val="center"/>
        <w:rPr>
          <w:rFonts w:ascii="Arial;Helvetica;sans-serif" w:hAnsi="Arial;Helvetica;sans-serif"/>
          <w:sz w:val="20"/>
        </w:rPr>
      </w:pPr>
      <w:r>
        <w:rPr>
          <w:rFonts w:ascii="Arial;Helvetica;sans-serif" w:hAnsi="Arial;Helvetica;sans-serif"/>
          <w:b/>
          <w:sz w:val="16"/>
        </w:rPr>
        <w:t>For the quarterly period ended March 31, 2023</w:t>
      </w:r>
      <w:r>
        <w:rPr>
          <w:rFonts w:ascii="Arial;Helvetica;sans-serif" w:hAnsi="Arial;Helvetica;sans-serif"/>
          <w:sz w:val="20"/>
        </w:rPr>
        <w:t xml:space="preserve"> </w:t>
      </w:r>
    </w:p>
    <w:p>
      <w:pPr>
        <w:pStyle w:val="TextBody"/>
        <w:bidi w:val="0"/>
        <w:spacing w:before="0" w:after="60"/>
        <w:ind w:left="0" w:right="0" w:hanging="0"/>
        <w:jc w:val="center"/>
        <w:rPr>
          <w:rFonts w:ascii="Arial;Helvetica;sans-serif" w:hAnsi="Arial;Helvetica;sans-serif"/>
          <w:b/>
          <w:sz w:val="16"/>
        </w:rPr>
      </w:pPr>
      <w:r>
        <w:rPr>
          <w:rFonts w:ascii="Arial;Helvetica;sans-serif" w:hAnsi="Arial;Helvetica;sans-serif"/>
          <w:b/>
          <w:sz w:val="16"/>
        </w:rPr>
        <w:t>or</w:t>
      </w:r>
    </w:p>
    <w:tbl>
      <w:tblPr>
        <w:tblW w:w="9786" w:type="dxa"/>
        <w:jc w:val="left"/>
        <w:tblInd w:w="0" w:type="dxa"/>
        <w:tblLayout w:type="fixed"/>
        <w:tblCellMar>
          <w:top w:w="0" w:type="dxa"/>
          <w:left w:w="0" w:type="dxa"/>
          <w:bottom w:w="0" w:type="dxa"/>
          <w:right w:w="0" w:type="dxa"/>
        </w:tblCellMar>
      </w:tblPr>
      <w:tblGrid>
        <w:gridCol w:w="124"/>
        <w:gridCol w:w="316"/>
        <w:gridCol w:w="934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9346" w:type="dxa"/>
            <w:tcBorders/>
            <w:vAlign w:val="center"/>
          </w:tcPr>
          <w:p>
            <w:pPr>
              <w:pStyle w:val="TableContents"/>
              <w:bidi w:val="0"/>
              <w:spacing w:before="0" w:after="0"/>
              <w:jc w:val="left"/>
              <w:rPr>
                <w:rFonts w:ascii="Arial;Helvetica;sans-serif" w:hAnsi="Arial;Helvetica;sans-serif"/>
                <w:b/>
                <w:sz w:val="18"/>
              </w:rPr>
            </w:pPr>
            <w:r>
              <w:rPr>
                <w:rFonts w:ascii="Arial;Helvetica;sans-serif" w:hAnsi="Arial;Helvetica;sans-serif"/>
                <w:b/>
                <w:sz w:val="18"/>
              </w:rPr>
              <w:t>TRANSITION REPORT PURSUANT TO SECTION 13 OR 15(d) OF THE SECURITIES EXCHANGE ACT OF 1934</w:t>
            </w:r>
          </w:p>
        </w:tc>
      </w:tr>
    </w:tbl>
    <w:p>
      <w:pPr>
        <w:pStyle w:val="TextBody"/>
        <w:bidi w:val="0"/>
        <w:spacing w:before="0" w:after="120"/>
        <w:ind w:left="0" w:right="0" w:hanging="0"/>
        <w:jc w:val="center"/>
        <w:rPr>
          <w:rFonts w:ascii="Arial;Helvetica;sans-serif" w:hAnsi="Arial;Helvetica;sans-serif"/>
          <w:sz w:val="16"/>
        </w:rPr>
      </w:pPr>
      <w:r>
        <w:rPr>
          <w:rFonts w:ascii="Arial;Helvetica;sans-serif" w:hAnsi="Arial;Helvetica;sans-serif"/>
          <w:b/>
          <w:sz w:val="16"/>
        </w:rPr>
        <w:t xml:space="preserve">For the transition period from </w:t>
      </w:r>
      <w:r>
        <w:rPr>
          <w:rFonts w:ascii="Arial;Helvetica;sans-serif" w:hAnsi="Arial;Helvetica;sans-serif"/>
          <w:sz w:val="16"/>
        </w:rPr>
        <w:t xml:space="preserve">                     </w:t>
      </w:r>
      <w:r>
        <w:rPr>
          <w:rFonts w:ascii="Arial;Helvetica;sans-serif" w:hAnsi="Arial;Helvetica;sans-serif"/>
          <w:b/>
          <w:sz w:val="16"/>
        </w:rPr>
        <w:t xml:space="preserve">to </w:t>
      </w:r>
      <w:r>
        <w:rPr>
          <w:rFonts w:ascii="Arial;Helvetica;sans-serif" w:hAnsi="Arial;Helvetica;sans-serif"/>
          <w:sz w:val="16"/>
        </w:rPr>
        <w:t>                    </w:t>
      </w:r>
    </w:p>
    <w:p>
      <w:pPr>
        <w:pStyle w:val="TextBody"/>
        <w:bidi w:val="0"/>
        <w:spacing w:before="0" w:after="100"/>
        <w:ind w:left="0" w:right="0" w:hanging="0"/>
        <w:jc w:val="center"/>
        <w:rPr>
          <w:rFonts w:ascii="Arial;Helvetica;sans-serif" w:hAnsi="Arial;Helvetica;sans-serif"/>
          <w:b/>
          <w:sz w:val="16"/>
        </w:rPr>
      </w:pPr>
      <w:r>
        <w:rPr>
          <w:rFonts w:ascii="Arial;Helvetica;sans-serif" w:hAnsi="Arial;Helvetica;sans-serif"/>
          <w:b/>
          <w:sz w:val="16"/>
        </w:rPr>
        <w:t>Commission File Number: 001-40545</w:t>
      </w:r>
    </w:p>
    <w:p>
      <w:pPr>
        <w:pStyle w:val="TextBody"/>
        <w:bidi w:val="0"/>
        <w:spacing w:before="0" w:after="0"/>
        <w:ind w:left="0" w:right="0" w:hanging="0"/>
        <w:jc w:val="center"/>
        <w:rPr>
          <w:rFonts w:ascii="Arial;Helvetica;sans-serif" w:hAnsi="Arial;Helvetica;sans-serif"/>
          <w:b/>
          <w:sz w:val="24"/>
        </w:rPr>
      </w:pPr>
      <w:r>
        <w:rPr>
          <w:rFonts w:ascii="Arial;Helvetica;sans-serif" w:hAnsi="Arial;Helvetica;sans-serif"/>
          <w:b/>
          <w:sz w:val="24"/>
        </w:rPr>
        <w:t>CVRx, Inc.</w:t>
      </w:r>
    </w:p>
    <w:p>
      <w:pPr>
        <w:pStyle w:val="TextBody"/>
        <w:bidi w:val="0"/>
        <w:spacing w:before="0" w:after="100"/>
        <w:ind w:left="0" w:right="0" w:hanging="0"/>
        <w:jc w:val="center"/>
        <w:rPr>
          <w:rFonts w:ascii="Arial;Helvetica;sans-serif" w:hAnsi="Arial;Helvetica;sans-serif"/>
          <w:b/>
          <w:sz w:val="18"/>
        </w:rPr>
      </w:pPr>
      <w:r>
        <w:rPr>
          <w:rFonts w:ascii="Arial;Helvetica;sans-serif" w:hAnsi="Arial;Helvetica;sans-serif"/>
          <w:b/>
          <w:sz w:val="18"/>
        </w:rPr>
        <w:t>(Exact name of registrant as specified in its charter)</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 w:name="Tc_m3OqB8x-H0aKY55JMqGgyQ_2_1"/>
      <w:bookmarkStart w:id="4" w:name="Tc_oWUuUKs2tUSQSi4fksEySg_2_0"/>
      <w:bookmarkStart w:id="5" w:name="_819b9bde_8cd4_4de4_9076_e2d9865fa0d4"/>
      <w:bookmarkStart w:id="6" w:name="Tc_m3OqB8x-H0aKY55JMqGgyQ_2_1"/>
      <w:bookmarkStart w:id="7" w:name="Tc_oWUuUKs2tUSQSi4fksEySg_2_0"/>
      <w:bookmarkStart w:id="8" w:name="_819b9bde_8cd4_4de4_9076_e2d9865fa0d4"/>
      <w:bookmarkEnd w:id="6"/>
      <w:bookmarkEnd w:id="7"/>
      <w:bookmarkEnd w:id="8"/>
    </w:p>
    <w:tbl>
      <w:tblPr>
        <w:tblW w:w="4097" w:type="dxa"/>
        <w:jc w:val="left"/>
        <w:tblInd w:w="0" w:type="dxa"/>
        <w:tblLayout w:type="fixed"/>
        <w:tblCellMar>
          <w:top w:w="0" w:type="dxa"/>
          <w:left w:w="0" w:type="dxa"/>
          <w:bottom w:w="0" w:type="dxa"/>
          <w:right w:w="0" w:type="dxa"/>
        </w:tblCellMar>
      </w:tblPr>
      <w:tblGrid>
        <w:gridCol w:w="2521"/>
        <w:gridCol w:w="1576"/>
      </w:tblGrid>
      <w:tr>
        <w:trPr/>
        <w:tc>
          <w:tcPr>
            <w:tcW w:w="2521" w:type="dxa"/>
            <w:tcBorders/>
            <w:vAlign w:val="center"/>
          </w:tcPr>
          <w:p>
            <w:pPr>
              <w:pStyle w:val="TableContents"/>
              <w:bidi w:val="0"/>
              <w:spacing w:before="0" w:after="240"/>
              <w:ind w:left="0" w:right="0" w:hanging="0"/>
              <w:jc w:val="left"/>
              <w:rPr/>
            </w:pPr>
            <w:r>
              <w:rPr/>
              <w:t>​</w:t>
            </w:r>
          </w:p>
        </w:tc>
        <w:tc>
          <w:tcPr>
            <w:tcW w:w="1576" w:type="dxa"/>
            <w:tcBorders/>
            <w:vAlign w:val="center"/>
          </w:tcPr>
          <w:p>
            <w:pPr>
              <w:pStyle w:val="TableContents"/>
              <w:bidi w:val="0"/>
              <w:spacing w:before="0" w:after="240"/>
              <w:ind w:left="0" w:right="0" w:hanging="0"/>
              <w:jc w:val="left"/>
              <w:rPr/>
            </w:pPr>
            <w:r>
              <w:rPr/>
              <w:t>​</w:t>
            </w:r>
          </w:p>
        </w:tc>
      </w:tr>
      <w:tr>
        <w:trPr/>
        <w:tc>
          <w:tcPr>
            <w:tcW w:w="2521" w:type="dxa"/>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Delaware</w:t>
            </w:r>
          </w:p>
        </w:tc>
        <w:tc>
          <w:tcPr>
            <w:tcW w:w="157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41-1983744</w:t>
            </w:r>
          </w:p>
        </w:tc>
      </w:tr>
      <w:tr>
        <w:trPr/>
        <w:tc>
          <w:tcPr>
            <w:tcW w:w="252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(State or other jurisdiction of</w:t>
            </w:r>
          </w:p>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incorporation or organization)</w:t>
            </w:r>
          </w:p>
        </w:tc>
        <w:tc>
          <w:tcPr>
            <w:tcW w:w="157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(I.R.S. Employer</w:t>
            </w:r>
          </w:p>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Identification No.)</w:t>
            </w:r>
          </w:p>
        </w:tc>
      </w:tr>
    </w:tbl>
    <w:p>
      <w:pPr>
        <w:pStyle w:val="TextBody"/>
        <w:bidi w:val="0"/>
        <w:spacing w:before="0" w:after="240"/>
        <w:ind w:left="0" w:right="0" w:hanging="0"/>
        <w:jc w:val="left"/>
        <w:rPr/>
      </w:pPr>
      <w:r>
        <w:rPr/>
        <w:t>​</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9201 West Broadway Avenue</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Suite 650</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b/>
          <w:sz w:val="18"/>
        </w:rPr>
        <w:t>Minneapolis, MN</w:t>
      </w:r>
      <w:r>
        <w:rPr>
          <w:rFonts w:ascii="Arial;Helvetica;sans-serif" w:hAnsi="Arial;Helvetica;sans-serif"/>
          <w:sz w:val="20"/>
        </w:rPr>
        <w:t xml:space="preserve"> </w:t>
      </w:r>
      <w:r>
        <w:rPr>
          <w:rFonts w:ascii="Arial;Helvetica;sans-serif" w:hAnsi="Arial;Helvetica;sans-serif"/>
          <w:b/>
          <w:sz w:val="18"/>
        </w:rPr>
        <w:t>55445</w:t>
      </w:r>
      <w:r>
        <w:rPr>
          <w:rFonts w:ascii="Arial;Helvetica;sans-serif" w:hAnsi="Arial;Helvetica;sans-serif"/>
          <w:sz w:val="20"/>
        </w:rPr>
        <w:t xml:space="preserve"> </w:t>
      </w:r>
    </w:p>
    <w:p>
      <w:pPr>
        <w:pStyle w:val="TextBody"/>
        <w:bidi w:val="0"/>
        <w:spacing w:before="0" w:after="120"/>
        <w:ind w:left="0" w:right="0" w:hanging="0"/>
        <w:jc w:val="center"/>
        <w:rPr>
          <w:rFonts w:ascii="Arial;Helvetica;sans-serif" w:hAnsi="Arial;Helvetica;sans-serif"/>
          <w:b/>
          <w:sz w:val="16"/>
        </w:rPr>
      </w:pPr>
      <w:r>
        <w:rPr>
          <w:rFonts w:ascii="Arial;Helvetica;sans-serif" w:hAnsi="Arial;Helvetica;sans-serif"/>
          <w:b/>
          <w:sz w:val="16"/>
        </w:rPr>
        <w:t>(Address of Principal Executive Offices)</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(763) 416-2840</w:t>
      </w:r>
    </w:p>
    <w:p>
      <w:pPr>
        <w:pStyle w:val="TextBody"/>
        <w:bidi w:val="0"/>
        <w:spacing w:before="0" w:after="120"/>
        <w:ind w:left="0" w:right="0" w:hanging="0"/>
        <w:jc w:val="center"/>
        <w:rPr>
          <w:rFonts w:ascii="Arial;Helvetica;sans-serif" w:hAnsi="Arial;Helvetica;sans-serif"/>
          <w:b/>
          <w:sz w:val="16"/>
        </w:rPr>
      </w:pPr>
      <w:r>
        <w:rPr>
          <w:rFonts w:ascii="Arial;Helvetica;sans-serif" w:hAnsi="Arial;Helvetica;sans-serif"/>
          <w:b/>
          <w:sz w:val="16"/>
        </w:rPr>
        <w:t>(Registrant’s telephone number)</w:t>
      </w:r>
    </w:p>
    <w:p>
      <w:pPr>
        <w:pStyle w:val="TextBody"/>
        <w:bidi w:val="0"/>
        <w:spacing w:before="0" w:after="0"/>
        <w:ind w:left="0" w:right="0" w:hanging="0"/>
        <w:jc w:val="left"/>
        <w:rPr>
          <w:rFonts w:ascii="Arial;Helvetica;sans-serif" w:hAnsi="Arial;Helvetica;sans-serif"/>
          <w:sz w:val="18"/>
        </w:rPr>
      </w:pPr>
      <w:r>
        <w:rPr>
          <w:rFonts w:ascii="Arial;Helvetica;sans-serif" w:hAnsi="Arial;Helvetica;sans-serif"/>
          <w:sz w:val="18"/>
        </w:rPr>
        <w:t>Securities registered pursuant to Section 12(b) of the Act:</w:t>
      </w:r>
    </w:p>
    <w:p>
      <w:pPr>
        <w:pStyle w:val="Normal"/>
        <w:bidi w:val="0"/>
        <w:spacing w:before="0" w:after="0"/>
        <w:ind w:left="0" w:right="0" w:hanging="0"/>
        <w:jc w:val="left"/>
        <w:rPr>
          <w:sz w:val="4"/>
          <w:szCs w:val="4"/>
        </w:rPr>
      </w:pPr>
      <w:r>
        <w:rPr>
          <w:sz w:val="4"/>
          <w:szCs w:val="4"/>
        </w:rPr>
      </w:r>
      <w:bookmarkStart w:id="9" w:name="Tc_dBBwtSp5fk-6iHfSULGlng_2_0"/>
      <w:bookmarkStart w:id="10" w:name="Tc_JwFNqIXxJEClTyQNSMkrIg_1_4"/>
      <w:bookmarkStart w:id="11" w:name="Tc_Bk4QC21L7UyJPlNBveD_hQ_1_2"/>
      <w:bookmarkStart w:id="12" w:name="Tc_avSrF5wzSkWkQZPjyBhfHA_1_0"/>
      <w:bookmarkStart w:id="13" w:name="_3cc5f012_3bc5_4340_8a8f_6338e861fa29"/>
      <w:bookmarkStart w:id="14" w:name="Tc_dBBwtSp5fk-6iHfSULGlng_2_0"/>
      <w:bookmarkStart w:id="15" w:name="Tc_JwFNqIXxJEClTyQNSMkrIg_1_4"/>
      <w:bookmarkStart w:id="16" w:name="Tc_Bk4QC21L7UyJPlNBveD_hQ_1_2"/>
      <w:bookmarkStart w:id="17" w:name="Tc_avSrF5wzSkWkQZPjyBhfHA_1_0"/>
      <w:bookmarkStart w:id="18" w:name="_3cc5f012_3bc5_4340_8a8f_6338e861fa29"/>
      <w:bookmarkEnd w:id="14"/>
      <w:bookmarkEnd w:id="15"/>
      <w:bookmarkEnd w:id="16"/>
      <w:bookmarkEnd w:id="17"/>
      <w:bookmarkEnd w:id="18"/>
    </w:p>
    <w:tbl>
      <w:tblPr>
        <w:tblW w:w="7106" w:type="dxa"/>
        <w:jc w:val="left"/>
        <w:tblInd w:w="0" w:type="dxa"/>
        <w:tblLayout w:type="fixed"/>
        <w:tblCellMar>
          <w:top w:w="0" w:type="dxa"/>
          <w:left w:w="0" w:type="dxa"/>
          <w:bottom w:w="0" w:type="dxa"/>
          <w:right w:w="0" w:type="dxa"/>
        </w:tblCellMar>
      </w:tblPr>
      <w:tblGrid>
        <w:gridCol w:w="2296"/>
        <w:gridCol w:w="109"/>
        <w:gridCol w:w="1606"/>
        <w:gridCol w:w="109"/>
        <w:gridCol w:w="2986"/>
      </w:tblGrid>
      <w:tr>
        <w:trPr/>
        <w:tc>
          <w:tcPr>
            <w:tcW w:w="229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60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986"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left"/>
              <w:rPr/>
            </w:pPr>
            <w:r>
              <w:rPr/>
              <w:t>​</w:t>
            </w:r>
          </w:p>
        </w:tc>
      </w:tr>
      <w:tr>
        <w:trPr/>
        <w:tc>
          <w:tcPr>
            <w:tcW w:w="2296" w:type="dxa"/>
            <w:tcBorders>
              <w:bottom w:val="single" w:sz="8"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Title of each class</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606" w:type="dxa"/>
            <w:tcBorders>
              <w:bottom w:val="single" w:sz="8"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Trading Symbol(s)</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986" w:type="dxa"/>
            <w:tcBorders>
              <w:bottom w:val="single" w:sz="8"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Name of each exchange</w:t>
            </w:r>
          </w:p>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on which registered</w:t>
            </w:r>
          </w:p>
        </w:tc>
      </w:tr>
      <w:tr>
        <w:trPr/>
        <w:tc>
          <w:tcPr>
            <w:tcW w:w="2296" w:type="dxa"/>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Common stock,</w:t>
            </w:r>
          </w:p>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par value $0.01 per share</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606" w:type="dxa"/>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CVRX</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986" w:type="dxa"/>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The Nasdaq Global Select Market</w:t>
            </w:r>
          </w:p>
        </w:tc>
      </w:tr>
    </w:tbl>
    <w:p>
      <w:pPr>
        <w:pStyle w:val="TextBody"/>
        <w:bidi w:val="0"/>
        <w:spacing w:before="0" w:after="240"/>
        <w:ind w:left="0" w:right="0" w:hanging="0"/>
        <w:jc w:val="left"/>
        <w:rPr/>
      </w:pPr>
      <w:r>
        <w:rPr/>
        <w:t>​</w:t>
      </w:r>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Arial;Helvetica;sans-serif" w:hAnsi="Arial;Helvetica;sans-serif"/>
          <w:sz w:val="20"/>
        </w:rPr>
        <w:t>  ☒    </w:t>
      </w:r>
      <w:r>
        <w:rPr>
          <w:rFonts w:ascii="Arial;Helvetica;sans-serif" w:hAnsi="Arial;Helvetica;sans-serif"/>
          <w:sz w:val="16"/>
        </w:rPr>
        <w:t>No  </w:t>
      </w:r>
      <w:r>
        <w:rPr>
          <w:rFonts w:ascii="Arial;Helvetica;sans-serif" w:hAnsi="Arial;Helvetica;sans-serif"/>
          <w:sz w:val="20"/>
        </w:rPr>
        <w:t>☐</w:t>
      </w:r>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Arial;Helvetica;sans-serif" w:hAnsi="Arial;Helvetica;sans-serif"/>
          <w:sz w:val="20"/>
        </w:rPr>
        <w:t>  ☒    </w:t>
      </w:r>
      <w:r>
        <w:rPr>
          <w:rFonts w:ascii="Arial;Helvetica;sans-serif" w:hAnsi="Arial;Helvetica;sans-serif"/>
          <w:sz w:val="16"/>
        </w:rPr>
        <w:t xml:space="preserve">No   </w:t>
      </w:r>
      <w:r>
        <w:rPr>
          <w:rFonts w:ascii="Arial;Helvetica;sans-serif" w:hAnsi="Arial;Helvetica;sans-serif"/>
          <w:sz w:val="20"/>
        </w:rPr>
        <w:t>☐</w:t>
      </w:r>
    </w:p>
    <w:p>
      <w:pPr>
        <w:pStyle w:val="TextBody"/>
        <w:bidi w:val="0"/>
        <w:spacing w:before="0" w:after="200"/>
        <w:ind w:left="0" w:right="0" w:hanging="0"/>
        <w:jc w:val="left"/>
        <w:rPr>
          <w:rFonts w:ascii="Arial;Helvetica;sans-serif" w:hAnsi="Arial;Helvetica;sans-serif"/>
          <w:sz w:val="16"/>
        </w:rPr>
      </w:pPr>
      <w:r>
        <w:rPr>
          <w:rFonts w:ascii="Arial;Helvetica;sans-serif" w:hAnsi="Arial;Helvetica;sans-serif"/>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Normal"/>
        <w:bidi w:val="0"/>
        <w:spacing w:before="0" w:after="0"/>
        <w:jc w:val="left"/>
        <w:rPr>
          <w:sz w:val="4"/>
          <w:szCs w:val="4"/>
        </w:rPr>
      </w:pPr>
      <w:r>
        <w:rPr>
          <w:sz w:val="4"/>
          <w:szCs w:val="4"/>
        </w:rPr>
      </w:r>
      <w:bookmarkStart w:id="19" w:name="Tc_j9DzUJRcyESISHvMYPSTXg_3_5"/>
      <w:bookmarkStart w:id="20" w:name="Tc_GOe6csABIkm8rb3iaScFEw_3_4"/>
      <w:bookmarkStart w:id="21" w:name="Tc_TivLjFJF_Uqw4sIRMWhHiQ_3_2"/>
      <w:bookmarkStart w:id="22" w:name="Tc_kt1NOmvV_k-EGsW9d_Faig_3_1"/>
      <w:bookmarkStart w:id="23" w:name="Tc_mNVEK0aY_EeCTlp6vCx3wQ_1_3"/>
      <w:bookmarkStart w:id="24" w:name="Tc_EXx_2L2RxUS4XVpEnRGGZg_1_2"/>
      <w:bookmarkStart w:id="25" w:name="Tc_iCiD8X39Uke6tw6oaD4plQ_1_1"/>
      <w:bookmarkStart w:id="26" w:name="Tc_P26xtVsm20uqzQDhJgdMLg_1_0"/>
      <w:bookmarkStart w:id="27" w:name="_23356ced_cb12_41e3_af93_822ee7640bf8"/>
      <w:bookmarkStart w:id="28" w:name="Tc_j9DzUJRcyESISHvMYPSTXg_3_5"/>
      <w:bookmarkStart w:id="29" w:name="Tc_GOe6csABIkm8rb3iaScFEw_3_4"/>
      <w:bookmarkStart w:id="30" w:name="Tc_TivLjFJF_Uqw4sIRMWhHiQ_3_2"/>
      <w:bookmarkStart w:id="31" w:name="Tc_kt1NOmvV_k-EGsW9d_Faig_3_1"/>
      <w:bookmarkStart w:id="32" w:name="Tc_mNVEK0aY_EeCTlp6vCx3wQ_1_3"/>
      <w:bookmarkStart w:id="33" w:name="Tc_EXx_2L2RxUS4XVpEnRGGZg_1_2"/>
      <w:bookmarkStart w:id="34" w:name="Tc_iCiD8X39Uke6tw6oaD4plQ_1_1"/>
      <w:bookmarkStart w:id="35" w:name="Tc_P26xtVsm20uqzQDhJgdMLg_1_0"/>
      <w:bookmarkStart w:id="36" w:name="_23356ced_cb12_41e3_af93_822ee7640bf8"/>
      <w:bookmarkEnd w:id="28"/>
      <w:bookmarkEnd w:id="29"/>
      <w:bookmarkEnd w:id="30"/>
      <w:bookmarkEnd w:id="31"/>
      <w:bookmarkEnd w:id="32"/>
      <w:bookmarkEnd w:id="33"/>
      <w:bookmarkEnd w:id="34"/>
      <w:bookmarkEnd w:id="35"/>
      <w:bookmarkEnd w:id="36"/>
    </w:p>
    <w:tbl>
      <w:tblPr>
        <w:tblW w:w="7026" w:type="dxa"/>
        <w:jc w:val="left"/>
        <w:tblInd w:w="0" w:type="dxa"/>
        <w:tblLayout w:type="fixed"/>
        <w:tblCellMar>
          <w:top w:w="0" w:type="dxa"/>
          <w:left w:w="0" w:type="dxa"/>
          <w:bottom w:w="0" w:type="dxa"/>
          <w:right w:w="0" w:type="dxa"/>
        </w:tblCellMar>
      </w:tblPr>
      <w:tblGrid>
        <w:gridCol w:w="1741"/>
        <w:gridCol w:w="436"/>
        <w:gridCol w:w="2056"/>
        <w:gridCol w:w="316"/>
        <w:gridCol w:w="2056"/>
        <w:gridCol w:w="421"/>
      </w:tblGrid>
      <w:tr>
        <w:trPr/>
        <w:tc>
          <w:tcPr>
            <w:tcW w:w="1741" w:type="dxa"/>
            <w:tcBorders/>
            <w:vAlign w:val="center"/>
          </w:tcPr>
          <w:p>
            <w:pPr>
              <w:pStyle w:val="TableContents"/>
              <w:bidi w:val="0"/>
              <w:spacing w:before="0" w:after="240"/>
              <w:ind w:left="0" w:right="0" w:hanging="0"/>
              <w:jc w:val="left"/>
              <w:rPr/>
            </w:pPr>
            <w:r>
              <w:rPr/>
              <w:t>​</w:t>
            </w:r>
          </w:p>
        </w:tc>
        <w:tc>
          <w:tcPr>
            <w:tcW w:w="436" w:type="dxa"/>
            <w:tcBorders/>
            <w:vAlign w:val="center"/>
          </w:tcPr>
          <w:p>
            <w:pPr>
              <w:pStyle w:val="TableContents"/>
              <w:bidi w:val="0"/>
              <w:spacing w:before="0" w:after="240"/>
              <w:ind w:left="0" w:right="0" w:hanging="0"/>
              <w:jc w:val="left"/>
              <w:rPr/>
            </w:pPr>
            <w:r>
              <w:rPr/>
              <w:t>​</w:t>
            </w:r>
          </w:p>
        </w:tc>
        <w:tc>
          <w:tcPr>
            <w:tcW w:w="2056"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left"/>
              <w:rPr/>
            </w:pPr>
            <w:r>
              <w:rPr/>
              <w:t>​</w:t>
            </w:r>
          </w:p>
        </w:tc>
        <w:tc>
          <w:tcPr>
            <w:tcW w:w="2056" w:type="dxa"/>
            <w:tcBorders/>
            <w:vAlign w:val="center"/>
          </w:tcPr>
          <w:p>
            <w:pPr>
              <w:pStyle w:val="TableContents"/>
              <w:bidi w:val="0"/>
              <w:spacing w:before="0" w:after="240"/>
              <w:ind w:left="0" w:right="0" w:hanging="0"/>
              <w:jc w:val="left"/>
              <w:rPr/>
            </w:pPr>
            <w:r>
              <w:rPr/>
              <w:t>​</w:t>
            </w:r>
          </w:p>
        </w:tc>
        <w:tc>
          <w:tcPr>
            <w:tcW w:w="421" w:type="dxa"/>
            <w:tcBorders/>
            <w:vAlign w:val="center"/>
          </w:tcPr>
          <w:p>
            <w:pPr>
              <w:pStyle w:val="TableContents"/>
              <w:bidi w:val="0"/>
              <w:spacing w:before="0" w:after="24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Large accelerated filer</w:t>
            </w:r>
          </w:p>
        </w:tc>
        <w:tc>
          <w:tcPr>
            <w:tcW w:w="43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Accelerated filer</w:t>
            </w:r>
          </w:p>
        </w:tc>
        <w:tc>
          <w:tcPr>
            <w:tcW w:w="31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240"/>
              <w:ind w:left="0" w:right="0" w:hanging="0"/>
              <w:jc w:val="left"/>
              <w:rPr/>
            </w:pPr>
            <w:r>
              <w:rPr/>
              <w:t>​</w:t>
            </w:r>
          </w:p>
        </w:tc>
        <w:tc>
          <w:tcPr>
            <w:tcW w:w="421" w:type="dxa"/>
            <w:tcBorders/>
            <w:vAlign w:val="center"/>
          </w:tcPr>
          <w:p>
            <w:pPr>
              <w:pStyle w:val="TableContents"/>
              <w:bidi w:val="0"/>
              <w:spacing w:before="0" w:after="240"/>
              <w:ind w:left="0" w:right="0" w:hanging="0"/>
              <w:jc w:val="left"/>
              <w:rPr/>
            </w:pPr>
            <w:r>
              <w:rPr/>
              <w:t>​</w:t>
            </w:r>
          </w:p>
        </w:tc>
      </w:tr>
      <w:tr>
        <w:trPr/>
        <w:tc>
          <w:tcPr>
            <w:tcW w:w="1741" w:type="dxa"/>
            <w:tcBorders/>
            <w:vAlign w:val="center"/>
          </w:tcPr>
          <w:p>
            <w:pPr>
              <w:pStyle w:val="TableContents"/>
              <w:bidi w:val="0"/>
              <w:spacing w:before="0" w:after="240"/>
              <w:ind w:left="0" w:right="0" w:hanging="0"/>
              <w:jc w:val="left"/>
              <w:rPr/>
            </w:pPr>
            <w:r>
              <w:rPr/>
              <w:t>​</w:t>
            </w:r>
          </w:p>
        </w:tc>
        <w:tc>
          <w:tcPr>
            <w:tcW w:w="436" w:type="dxa"/>
            <w:tcBorders/>
            <w:vAlign w:val="center"/>
          </w:tcPr>
          <w:p>
            <w:pPr>
              <w:pStyle w:val="TableContents"/>
              <w:bidi w:val="0"/>
              <w:spacing w:before="0" w:after="240"/>
              <w:ind w:left="0" w:right="0" w:hanging="0"/>
              <w:jc w:val="left"/>
              <w:rPr/>
            </w:pPr>
            <w:r>
              <w:rPr/>
              <w:t>​</w:t>
            </w:r>
          </w:p>
        </w:tc>
        <w:tc>
          <w:tcPr>
            <w:tcW w:w="2056"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left"/>
              <w:rPr/>
            </w:pPr>
            <w:r>
              <w:rPr/>
              <w:t>​</w:t>
            </w:r>
          </w:p>
        </w:tc>
        <w:tc>
          <w:tcPr>
            <w:tcW w:w="2056" w:type="dxa"/>
            <w:tcBorders/>
            <w:vAlign w:val="center"/>
          </w:tcPr>
          <w:p>
            <w:pPr>
              <w:pStyle w:val="TableContents"/>
              <w:bidi w:val="0"/>
              <w:spacing w:before="0" w:after="240"/>
              <w:ind w:left="0" w:right="0" w:hanging="0"/>
              <w:jc w:val="left"/>
              <w:rPr/>
            </w:pPr>
            <w:r>
              <w:rPr/>
              <w:t>​</w:t>
            </w:r>
          </w:p>
        </w:tc>
        <w:tc>
          <w:tcPr>
            <w:tcW w:w="421" w:type="dxa"/>
            <w:tcBorders/>
            <w:vAlign w:val="center"/>
          </w:tcPr>
          <w:p>
            <w:pPr>
              <w:pStyle w:val="TableContents"/>
              <w:bidi w:val="0"/>
              <w:spacing w:before="0" w:after="24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Non-accelerated filer</w:t>
            </w:r>
          </w:p>
        </w:tc>
        <w:tc>
          <w:tcPr>
            <w:tcW w:w="436" w:type="dxa"/>
            <w:tcBorders/>
            <w:vAlign w:val="center"/>
          </w:tcPr>
          <w:p>
            <w:pPr>
              <w:pStyle w:val="TableContents"/>
              <w:bidi w:val="0"/>
              <w:spacing w:before="0" w:after="0"/>
              <w:ind w:left="0" w:right="0" w:hanging="0"/>
              <w:jc w:val="left"/>
              <w:rPr/>
            </w:pPr>
            <w:r>
              <w:rPr/>
              <w:t>☒  </w:t>
            </w:r>
          </w:p>
        </w:tc>
        <w:tc>
          <w:tcPr>
            <w:tcW w:w="205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Smaller reporting company</w:t>
            </w:r>
          </w:p>
        </w:tc>
        <w:tc>
          <w:tcPr>
            <w:tcW w:w="31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Emerging growth company</w:t>
            </w:r>
          </w:p>
        </w:tc>
        <w:tc>
          <w:tcPr>
            <w:tcW w:w="421" w:type="dxa"/>
            <w:tcBorders/>
            <w:vAlign w:val="center"/>
          </w:tcPr>
          <w:p>
            <w:pPr>
              <w:pStyle w:val="TableContents"/>
              <w:bidi w:val="0"/>
              <w:spacing w:before="0" w:after="0"/>
              <w:ind w:left="0" w:right="0" w:hanging="0"/>
              <w:jc w:val="left"/>
              <w:rPr/>
            </w:pPr>
            <w:r>
              <w:rPr/>
              <w:t>☒ </w:t>
            </w:r>
          </w:p>
        </w:tc>
      </w:tr>
    </w:tbl>
    <w:p>
      <w:pPr>
        <w:pStyle w:val="TextBody"/>
        <w:bidi w:val="0"/>
        <w:spacing w:before="0" w:after="240"/>
        <w:ind w:left="0" w:right="0" w:hanging="0"/>
        <w:jc w:val="left"/>
        <w:rPr/>
      </w:pPr>
      <w:r>
        <w:rPr/>
        <w:t>​</w:t>
      </w:r>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Helvetica;sans-serif" w:hAnsi="Arial;Helvetica;sans-serif"/>
          <w:sz w:val="20"/>
        </w:rPr>
        <w:t>☐</w:t>
      </w:r>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sz w:val="16"/>
        </w:rPr>
        <w:t>Indicate by check mark whether the registrant is a shell company (as defined in Rule 12b-2 of the Exchange Act).   Yes  </w:t>
      </w:r>
      <w:r>
        <w:rPr>
          <w:rFonts w:ascii="Arial;Helvetica;sans-serif" w:hAnsi="Arial;Helvetica;sans-serif"/>
          <w:sz w:val="20"/>
        </w:rPr>
        <w:t>☐    </w:t>
      </w:r>
      <w:r>
        <w:rPr>
          <w:rFonts w:ascii="Arial;Helvetica;sans-serif" w:hAnsi="Arial;Helvetica;sans-serif"/>
          <w:sz w:val="16"/>
        </w:rPr>
        <w:t>No  </w:t>
      </w:r>
      <w:r>
        <w:rPr>
          <w:rFonts w:ascii="Arial;Helvetica;sans-serif" w:hAnsi="Arial;Helvetica;sans-serif"/>
          <w:sz w:val="20"/>
        </w:rPr>
        <w:t>☒</w:t>
      </w:r>
    </w:p>
    <w:p>
      <w:pPr>
        <w:pStyle w:val="TextBody"/>
        <w:bidi w:val="0"/>
        <w:spacing w:before="0" w:after="0"/>
        <w:ind w:left="0" w:right="0" w:hanging="0"/>
        <w:jc w:val="left"/>
        <w:rPr>
          <w:rFonts w:ascii="Arial;Helvetica;sans-serif" w:hAnsi="Arial;Helvetica;sans-serif"/>
          <w:sz w:val="16"/>
        </w:rPr>
      </w:pPr>
      <w:r>
        <w:rPr>
          <w:rFonts w:ascii="Arial;Helvetica;sans-serif" w:hAnsi="Arial;Helvetica;sans-serif"/>
          <w:sz w:val="16"/>
        </w:rPr>
        <w:t>As of May 4, 2023, there were 20,711,068 shares of the registrant’s common stock, par value $0.01 per share outstanding.</w:t>
      </w:r>
    </w:p>
    <w:p>
      <w:pPr>
        <w:pStyle w:val="TextBody"/>
        <w:bidi w:val="0"/>
        <w:spacing w:before="0" w:after="240"/>
        <w:ind w:left="0" w:right="0" w:hanging="0"/>
        <w:jc w:val="center"/>
        <w:rPr/>
      </w:pPr>
      <w:r>
        <w:rPr/>
        <w:t>​</w:t>
      </w:r>
    </w:p>
    <w:p>
      <w:pPr>
        <w:pStyle w:val="TextBody"/>
        <w:pBdr>
          <w:top w:val="single" w:sz="8" w:space="1" w:color="000000"/>
          <w:bottom w:val="single" w:sz="24" w:space="1" w:color="000000"/>
        </w:pBdr>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240" w:after="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37" w:name="TOC"/>
      <w:bookmarkStart w:id="38" w:name="_0ecbc5ef_09ab_4e3d_9c52_3f26d7ca51d3"/>
      <w:bookmarkEnd w:id="37"/>
      <w:bookmarkEnd w:id="38"/>
      <w:r>
        <w:rPr>
          <w:rFonts w:ascii="Arial;Helvetica;sans-serif" w:hAnsi="Arial;Helvetica;sans-serif"/>
          <w:b/>
          <w:sz w:val="20"/>
        </w:rPr>
        <w:t>TABLE OF CONTENTS</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871"/>
        <w:gridCol w:w="326"/>
        <w:gridCol w:w="7995"/>
        <w:gridCol w:w="326"/>
        <w:gridCol w:w="496"/>
        <w:gridCol w:w="191"/>
      </w:tblGrid>
      <w:tr>
        <w:trPr/>
        <w:tc>
          <w:tcPr>
            <w:tcW w:w="87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76225" cy="175260"/>
                      <wp:effectExtent l="0" t="0" r="0" b="0"/>
                      <wp:wrapNone/>
                      <wp:docPr id="1" name="Frame1"/>
                      <a:graphic xmlns:a="http://schemas.openxmlformats.org/drawingml/2006/main">
                        <a:graphicData uri="http://schemas.microsoft.com/office/word/2010/wordprocessingShape">
                          <wps:wsp>
                            <wps:cNvSpPr txBox="1"/>
                            <wps:spPr>
                              <a:xfrm>
                                <a:off x="0" y="0"/>
                                <a:ext cx="27622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32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03505" cy="175260"/>
                      <wp:effectExtent l="0" t="0" r="0" b="0"/>
                      <wp:wrapNone/>
                      <wp:docPr id="2" name="Frame2"/>
                      <a:graphic xmlns:a="http://schemas.openxmlformats.org/drawingml/2006/main">
                        <a:graphicData uri="http://schemas.microsoft.com/office/word/2010/wordprocessingShape">
                          <wps:wsp>
                            <wps:cNvSpPr txBox="1"/>
                            <wps:spPr>
                              <a:xfrm>
                                <a:off x="0" y="0"/>
                                <a:ext cx="10350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7995"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538095" cy="175260"/>
                      <wp:effectExtent l="0" t="0" r="0" b="0"/>
                      <wp:wrapNone/>
                      <wp:docPr id="3" name="Frame3"/>
                      <a:graphic xmlns:a="http://schemas.openxmlformats.org/drawingml/2006/main">
                        <a:graphicData uri="http://schemas.microsoft.com/office/word/2010/wordprocessingShape">
                          <wps:wsp>
                            <wps:cNvSpPr txBox="1"/>
                            <wps:spPr>
                              <a:xfrm>
                                <a:off x="0" y="0"/>
                                <a:ext cx="253809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32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03505" cy="175260"/>
                      <wp:effectExtent l="0" t="0" r="0" b="0"/>
                      <wp:wrapNone/>
                      <wp:docPr id="4" name="Frame4"/>
                      <a:graphic xmlns:a="http://schemas.openxmlformats.org/drawingml/2006/main">
                        <a:graphicData uri="http://schemas.microsoft.com/office/word/2010/wordprocessingShape">
                          <wps:wsp>
                            <wps:cNvSpPr txBox="1"/>
                            <wps:spPr>
                              <a:xfrm>
                                <a:off x="0" y="0"/>
                                <a:ext cx="10350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49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57480" cy="175260"/>
                      <wp:effectExtent l="0" t="0" r="0" b="0"/>
                      <wp:wrapNone/>
                      <wp:docPr id="5" name="Frame5"/>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19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0325" cy="175260"/>
                      <wp:effectExtent l="0" t="0" r="0" b="0"/>
                      <wp:wrapNone/>
                      <wp:docPr id="6" name="Frame6"/>
                      <a:graphic xmlns:a="http://schemas.openxmlformats.org/drawingml/2006/main">
                        <a:graphicData uri="http://schemas.microsoft.com/office/word/2010/wordprocessingShape">
                          <wps:wsp>
                            <wps:cNvSpPr txBox="1"/>
                            <wps:spPr>
                              <a:xfrm>
                                <a:off x="0" y="0"/>
                                <a:ext cx="6032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r>
      <w:tr>
        <w:trPr/>
        <w:tc>
          <w:tcPr>
            <w:tcW w:w="871" w:type="dxa"/>
            <w:tcBorders/>
            <w:vAlign w:val="center"/>
          </w:tcPr>
          <w:p>
            <w:pPr>
              <w:pStyle w:val="TableHeading"/>
              <w:bidi w:val="0"/>
              <w:spacing w:before="0" w:after="0"/>
              <w:ind w:left="0" w:right="0" w:hanging="0"/>
              <w:jc w:val="left"/>
              <w:rPr>
                <w:rFonts w:ascii="Arial;Helvetica;sans-serif" w:hAnsi="Arial;Helvetica;sans-serif"/>
                <w:b w:val="false"/>
                <w:sz w:val="2"/>
              </w:rPr>
            </w:pPr>
            <w:r>
              <w:rPr>
                <w:rFonts w:ascii="Arial;Helvetica;sans-serif" w:hAnsi="Arial;Helvetica;sans-serif"/>
                <w:b w:val="false"/>
                <w:sz w:val="2"/>
              </w:rPr>
              <w:t>`</w:t>
            </w:r>
          </w:p>
        </w:tc>
        <w:tc>
          <w:tcPr>
            <w:tcW w:w="326" w:type="dxa"/>
            <w:tcBorders/>
            <w:vAlign w:val="center"/>
          </w:tcPr>
          <w:p>
            <w:pPr>
              <w:pStyle w:val="TableHeading"/>
              <w:bidi w:val="0"/>
              <w:spacing w:before="0" w:after="0"/>
              <w:ind w:left="0" w:right="0" w:hanging="0"/>
              <w:jc w:val="left"/>
              <w:rPr/>
            </w:pPr>
            <w:r>
              <w:rPr/>
              <w:t>    </w:t>
            </w:r>
          </w:p>
        </w:tc>
        <w:tc>
          <w:tcPr>
            <w:tcW w:w="7995" w:type="dxa"/>
            <w:tcBorders/>
            <w:vAlign w:val="center"/>
          </w:tcPr>
          <w:p>
            <w:pPr>
              <w:pStyle w:val="TableHeading"/>
              <w:bidi w:val="0"/>
              <w:spacing w:before="0" w:after="0"/>
              <w:ind w:left="0" w:right="0" w:hanging="0"/>
              <w:jc w:val="left"/>
              <w:rPr/>
            </w:pPr>
            <w:r>
              <w:rPr/>
              <w:t>    </w:t>
            </w:r>
          </w:p>
        </w:tc>
        <w:tc>
          <w:tcPr>
            <w:tcW w:w="326" w:type="dxa"/>
            <w:tcBorders/>
            <w:vAlign w:val="center"/>
          </w:tcPr>
          <w:p>
            <w:pPr>
              <w:pStyle w:val="TableHeading"/>
              <w:bidi w:val="0"/>
              <w:spacing w:before="0" w:after="0"/>
              <w:ind w:left="0" w:right="0" w:hanging="0"/>
              <w:jc w:val="left"/>
              <w:rPr/>
            </w:pPr>
            <w:r>
              <w:rPr/>
              <w:t>    </w:t>
            </w:r>
          </w:p>
        </w:tc>
        <w:tc>
          <w:tcPr>
            <w:tcW w:w="496" w:type="dxa"/>
            <w:tcBorders/>
            <w:vAlign w:val="center"/>
          </w:tcPr>
          <w:p>
            <w:pPr>
              <w:pStyle w:val="TableHeading"/>
              <w:bidi w:val="0"/>
              <w:spacing w:before="0" w:after="0"/>
              <w:ind w:left="0" w:right="0" w:hanging="0"/>
              <w:jc w:val="left"/>
              <w:rPr/>
            </w:pPr>
            <w:r>
              <w:rPr/>
              <w:t>    </w:t>
            </w:r>
          </w:p>
        </w:tc>
        <w:tc>
          <w:tcPr>
            <w:tcW w:w="191" w:type="dxa"/>
            <w:tcBorders/>
            <w:vAlign w:val="center"/>
          </w:tcPr>
          <w:p>
            <w:pPr>
              <w:pStyle w:val="TableHeading"/>
              <w:bidi w:val="0"/>
              <w:spacing w:before="0" w:after="0"/>
              <w:ind w:left="0" w:right="0" w:hanging="0"/>
              <w:jc w:val="left"/>
              <w:rPr/>
            </w:pPr>
            <w:r>
              <w:rPr/>
              <w:t> </w:t>
            </w:r>
          </w:p>
        </w:tc>
      </w:tr>
      <w:tr>
        <w:trPr/>
        <w:tc>
          <w:tcPr>
            <w:tcW w:w="871" w:type="dxa"/>
            <w:tcBorders/>
            <w:vAlign w:val="center"/>
          </w:tcPr>
          <w:p>
            <w:pPr>
              <w:pStyle w:val="TableHeading"/>
              <w:pBdr/>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    </w:t>
            </w:r>
          </w:p>
        </w:tc>
        <w:tc>
          <w:tcPr>
            <w:tcW w:w="7995" w:type="dxa"/>
            <w:tcBorders/>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    </w:t>
            </w:r>
          </w:p>
        </w:tc>
        <w:tc>
          <w:tcPr>
            <w:tcW w:w="496" w:type="dxa"/>
            <w:tcBorders>
              <w:bottom w:val="single" w:sz="8" w:space="0" w:color="000000"/>
            </w:tcBorders>
            <w:tcMar>
              <w:bottom w:w="28" w:type="dxa"/>
            </w:tcMar>
            <w:vAlign w:val="center"/>
          </w:tcPr>
          <w:p>
            <w:pPr>
              <w:pStyle w:val="TableHeading"/>
              <w:bidi w:val="0"/>
              <w:spacing w:before="0" w:after="0"/>
              <w:ind w:left="0" w:right="0" w:hanging="0"/>
              <w:jc w:val="center"/>
              <w:rPr>
                <w:rFonts w:ascii="Arial;Helvetica;sans-serif" w:hAnsi="Arial;Helvetica;sans-serif"/>
                <w:b/>
                <w:sz w:val="16"/>
              </w:rPr>
            </w:pPr>
            <w:r>
              <w:rPr>
                <w:rFonts w:ascii="Arial;Helvetica;sans-serif" w:hAnsi="Arial;Helvetica;sans-serif"/>
                <w:b/>
                <w:sz w:val="16"/>
              </w:rPr>
              <w:t>Page</w:t>
            </w:r>
          </w:p>
        </w:tc>
        <w:tc>
          <w:tcPr>
            <w:tcW w:w="191" w:type="dxa"/>
            <w:tcBorders>
              <w:bottom w:val="single" w:sz="8" w:space="0" w:color="000000"/>
            </w:tcBorders>
            <w:tcMar>
              <w:bottom w:w="28" w:type="dxa"/>
            </w:tcMar>
            <w:vAlign w:val="center"/>
          </w:tcPr>
          <w:p>
            <w:pPr>
              <w:pStyle w:val="TableHeading"/>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top w:val="single" w:sz="8" w:space="0" w:color="000000"/>
            </w:tcBorders>
            <w:tcMar>
              <w:top w:w="28" w:type="dxa"/>
            </w:tcMar>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pBdr/>
              <w:bidi w:val="0"/>
              <w:spacing w:before="0" w:after="0"/>
              <w:ind w:left="0" w:right="0" w:hanging="0"/>
              <w:jc w:val="left"/>
              <w:rPr/>
            </w:pPr>
            <w:hyperlink w:anchor="PARTIFINANCIALINFORMATION_851848">
              <w:r>
                <w:rPr>
                  <w:rStyle w:val="InternetLink"/>
                  <w:rFonts w:ascii="Arial;Helvetica;sans-serif" w:hAnsi="Arial;Helvetica;sans-serif"/>
                  <w:b/>
                  <w:i w:val="false"/>
                  <w:caps w:val="false"/>
                  <w:smallCaps w:val="false"/>
                  <w:sz w:val="20"/>
                </w:rPr>
                <w:t>Part</w:t>
              </w:r>
            </w:hyperlink>
            <w:hyperlink w:anchor="PARTIFINANCIALINFORMATION_851848">
              <w:r>
                <w:rPr>
                  <w:rStyle w:val="InternetLink"/>
                  <w:rFonts w:ascii="Arial;Helvetica;sans-serif" w:hAnsi="Arial;Helvetica;sans-serif"/>
                  <w:caps w:val="false"/>
                  <w:smallCaps w:val="false"/>
                  <w:sz w:val="20"/>
                </w:rPr>
                <w:t> </w:t>
              </w:r>
            </w:hyperlink>
            <w:hyperlink w:anchor="PARTIFINANCIALINFORMATION_851848">
              <w:r>
                <w:rPr>
                  <w:rStyle w:val="InternetLink"/>
                  <w:rFonts w:ascii="Arial;Helvetica;sans-serif" w:hAnsi="Arial;Helvetica;sans-serif"/>
                  <w:b/>
                  <w:i w:val="false"/>
                  <w:caps w:val="false"/>
                  <w:smallCaps w:val="false"/>
                  <w:sz w:val="20"/>
                </w:rPr>
                <w:t>I</w:t>
              </w:r>
            </w:hyperlink>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hyperlink w:anchor="PARTIFINANCIALINFORMATION_851848">
              <w:r>
                <w:rPr>
                  <w:rStyle w:val="InternetLink"/>
                  <w:rFonts w:ascii="Arial;Helvetica;sans-serif" w:hAnsi="Arial;Helvetica;sans-serif"/>
                  <w:b/>
                  <w:i w:val="false"/>
                  <w:caps w:val="false"/>
                  <w:smallCaps w:val="false"/>
                  <w:sz w:val="20"/>
                </w:rPr>
                <w:t>Financial Information</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pBdr/>
              <w:bidi w:val="0"/>
              <w:spacing w:before="0" w:after="0"/>
              <w:ind w:left="0" w:right="0" w:hanging="0"/>
              <w:jc w:val="left"/>
              <w:rPr/>
            </w:pPr>
            <w:hyperlink w:anchor="Item1FinancialStatements_407004">
              <w:r>
                <w:rPr>
                  <w:rStyle w:val="InternetLink"/>
                  <w:rFonts w:ascii="Arial;Helvetica;sans-serif" w:hAnsi="Arial;Helvetica;sans-serif"/>
                  <w:b w:val="false"/>
                  <w:i w:val="false"/>
                  <w:caps w:val="false"/>
                  <w:smallCaps w:val="false"/>
                  <w:sz w:val="20"/>
                </w:rPr>
                <w:t>Item</w:t>
              </w:r>
            </w:hyperlink>
            <w:hyperlink w:anchor="Item1FinancialStatements_407004">
              <w:r>
                <w:rPr>
                  <w:rStyle w:val="InternetLink"/>
                  <w:rFonts w:ascii="Arial;Helvetica;sans-serif" w:hAnsi="Arial;Helvetica;sans-serif"/>
                  <w:caps w:val="false"/>
                  <w:smallCaps w:val="false"/>
                  <w:sz w:val="20"/>
                </w:rPr>
                <w:t> </w:t>
              </w:r>
            </w:hyperlink>
            <w:hyperlink w:anchor="Item1FinancialStatements_407004">
              <w:r>
                <w:rPr>
                  <w:rStyle w:val="InternetLink"/>
                  <w:rFonts w:ascii="Arial;Helvetica;sans-serif" w:hAnsi="Arial;Helvetica;sans-serif"/>
                  <w:b w:val="false"/>
                  <w:i w:val="false"/>
                  <w:caps w:val="false"/>
                  <w:smallCaps w:val="false"/>
                  <w:sz w:val="20"/>
                </w:rPr>
                <w:t>1.</w:t>
              </w:r>
            </w:hyperlink>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hyperlink w:anchor="Item1FinancialStatements_407004">
              <w:r>
                <w:rPr>
                  <w:rStyle w:val="InternetLink"/>
                  <w:rFonts w:ascii="Arial;Helvetica;sans-serif" w:hAnsi="Arial;Helvetica;sans-serif"/>
                  <w:b w:val="false"/>
                  <w:i w:val="false"/>
                  <w:caps w:val="false"/>
                  <w:smallCaps w:val="false"/>
                  <w:sz w:val="20"/>
                </w:rPr>
                <w:t>Financial Statements</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pBdr/>
              <w:bidi w:val="0"/>
              <w:spacing w:before="0" w:after="0"/>
              <w:ind w:left="0" w:right="0" w:hanging="0"/>
              <w:jc w:val="left"/>
              <w:rPr/>
            </w:pPr>
            <w:hyperlink w:anchor="CondensedConsolidatedBalanceSheets_40430">
              <w:r>
                <w:rPr>
                  <w:rStyle w:val="InternetLink"/>
                  <w:rFonts w:ascii="Arial;Helvetica;sans-serif" w:hAnsi="Arial;Helvetica;sans-serif"/>
                  <w:b w:val="false"/>
                  <w:i w:val="false"/>
                  <w:caps w:val="false"/>
                  <w:smallCaps w:val="false"/>
                  <w:sz w:val="20"/>
                </w:rPr>
                <w:t>Condensed Consolidated Balance Sheets as of March 31, 2023 and December</w:t>
              </w:r>
            </w:hyperlink>
            <w:hyperlink w:anchor="CondensedConsolidatedBalanceSheets_40430">
              <w:r>
                <w:rPr>
                  <w:rStyle w:val="InternetLink"/>
                  <w:rFonts w:ascii="Arial;Helvetica;sans-serif" w:hAnsi="Arial;Helvetica;sans-serif"/>
                  <w:caps w:val="false"/>
                  <w:smallCaps w:val="false"/>
                  <w:sz w:val="20"/>
                </w:rPr>
                <w:t> </w:t>
              </w:r>
            </w:hyperlink>
            <w:hyperlink w:anchor="CondensedConsolidatedBalanceSheets_40430">
              <w:r>
                <w:rPr>
                  <w:rStyle w:val="InternetLink"/>
                  <w:rFonts w:ascii="Arial;Helvetica;sans-serif" w:hAnsi="Arial;Helvetica;sans-serif"/>
                  <w:b w:val="false"/>
                  <w:i w:val="false"/>
                  <w:caps w:val="false"/>
                  <w:smallCaps w:val="false"/>
                  <w:sz w:val="20"/>
                </w:rPr>
                <w:t>31, 2022 (Unaudited)</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pBdr/>
              <w:bidi w:val="0"/>
              <w:spacing w:before="0" w:after="0"/>
              <w:ind w:left="0" w:right="0" w:hanging="0"/>
              <w:jc w:val="left"/>
              <w:rPr/>
            </w:pPr>
            <w:hyperlink w:anchor="CondensedConsolidatedStatementsofOperati">
              <w:r>
                <w:rPr>
                  <w:rStyle w:val="InternetLink"/>
                  <w:rFonts w:ascii="Arial;Helvetica;sans-serif" w:hAnsi="Arial;Helvetica;sans-serif"/>
                  <w:b w:val="false"/>
                  <w:i w:val="false"/>
                  <w:caps w:val="false"/>
                  <w:smallCaps w:val="false"/>
                  <w:sz w:val="20"/>
                </w:rPr>
                <w:t>Condensed Consolidated Statements of Operations and Comprehensive Loss for the three months ended March 31, 2023 and 2022 (Unaudited)</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pBdr/>
              <w:bidi w:val="0"/>
              <w:spacing w:before="0" w:after="0"/>
              <w:ind w:left="0" w:right="0" w:hanging="0"/>
              <w:jc w:val="left"/>
              <w:rPr/>
            </w:pPr>
            <w:hyperlink w:anchor="CondensedConsolidatedStatementsofConvert">
              <w:r>
                <w:rPr>
                  <w:rStyle w:val="InternetLink"/>
                  <w:rFonts w:ascii="Arial;Helvetica;sans-serif" w:hAnsi="Arial;Helvetica;sans-serif"/>
                  <w:b w:val="false"/>
                  <w:i w:val="false"/>
                  <w:caps w:val="false"/>
                  <w:smallCaps w:val="false"/>
                  <w:sz w:val="20"/>
                </w:rPr>
                <w:t>Condensed Consolidated Statements of Stockholders</w:t>
              </w:r>
            </w:hyperlink>
            <w:hyperlink w:anchor="CondensedConsolidatedStatementsofConvert">
              <w:r>
                <w:rPr>
                  <w:rStyle w:val="InternetLink"/>
                  <w:rFonts w:ascii="Arial;Helvetica;sans-serif" w:hAnsi="Arial;Helvetica;sans-serif"/>
                  <w:caps w:val="false"/>
                  <w:smallCaps w:val="false"/>
                  <w:sz w:val="20"/>
                </w:rPr>
                <w:t xml:space="preserve">’ </w:t>
              </w:r>
            </w:hyperlink>
            <w:hyperlink w:anchor="CondensedConsolidatedStatementsofConvert">
              <w:r>
                <w:rPr>
                  <w:rStyle w:val="InternetLink"/>
                  <w:rFonts w:ascii="Arial;Helvetica;sans-serif" w:hAnsi="Arial;Helvetica;sans-serif"/>
                  <w:b w:val="false"/>
                  <w:i w:val="false"/>
                  <w:caps w:val="false"/>
                  <w:smallCaps w:val="false"/>
                  <w:sz w:val="20"/>
                </w:rPr>
                <w:t>Equity for the three months ended March 31, 2023 and 2022 (Unaudited)</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pBdr/>
              <w:bidi w:val="0"/>
              <w:spacing w:before="0" w:after="0"/>
              <w:ind w:left="0" w:right="0" w:hanging="0"/>
              <w:jc w:val="left"/>
              <w:rPr/>
            </w:pPr>
            <w:hyperlink w:anchor="CondensedConsolidatedStatementsofCashFlo">
              <w:r>
                <w:rPr>
                  <w:rStyle w:val="InternetLink"/>
                  <w:rFonts w:ascii="Arial;Helvetica;sans-serif" w:hAnsi="Arial;Helvetica;sans-serif"/>
                  <w:b w:val="false"/>
                  <w:i w:val="false"/>
                  <w:caps w:val="false"/>
                  <w:smallCaps w:val="false"/>
                  <w:sz w:val="20"/>
                </w:rPr>
                <w:t>Condensed Consolidated Statements of Cash Flows for the three months ended March 31, 2023 and 2022 (Unaudited)</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hyperlink w:anchor="NotestoCondensedConsolidatedFinancialSta">
              <w:r>
                <w:rPr>
                  <w:rStyle w:val="InternetLink"/>
                  <w:rFonts w:ascii="Arial;Helvetica;sans-serif" w:hAnsi="Arial;Helvetica;sans-serif"/>
                  <w:b w:val="false"/>
                  <w:i w:val="false"/>
                  <w:caps w:val="false"/>
                  <w:smallCaps w:val="false"/>
                  <w:sz w:val="20"/>
                </w:rPr>
                <w:t>Notes</w:t>
              </w:r>
            </w:hyperlink>
            <w:hyperlink w:anchor="NotestoCondensedConsolidatedFinancialSta">
              <w:r>
                <w:rPr>
                  <w:rStyle w:val="InternetLink"/>
                  <w:rFonts w:ascii="Arial;Helvetica;sans-serif" w:hAnsi="Arial;Helvetica;sans-serif"/>
                  <w:caps w:val="false"/>
                  <w:smallCaps w:val="false"/>
                  <w:sz w:val="20"/>
                </w:rPr>
                <w:t> </w:t>
              </w:r>
            </w:hyperlink>
            <w:hyperlink w:anchor="NotestoCondensedConsolidatedFinancialSta">
              <w:r>
                <w:rPr>
                  <w:rStyle w:val="InternetLink"/>
                  <w:rFonts w:ascii="Arial;Helvetica;sans-serif" w:hAnsi="Arial;Helvetica;sans-serif"/>
                  <w:b w:val="false"/>
                  <w:i w:val="false"/>
                  <w:caps w:val="false"/>
                  <w:smallCaps w:val="false"/>
                  <w:sz w:val="20"/>
                </w:rPr>
                <w:t>to Condensed Consolidated Financial Statements (Unaudited)</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pBdr/>
              <w:bidi w:val="0"/>
              <w:spacing w:before="0" w:after="0"/>
              <w:ind w:left="0" w:right="0" w:hanging="0"/>
              <w:jc w:val="left"/>
              <w:rPr/>
            </w:pPr>
            <w:hyperlink w:anchor="Item2ManagementsDiscussionandAnalysisofF">
              <w:r>
                <w:rPr>
                  <w:rStyle w:val="InternetLink"/>
                  <w:rFonts w:ascii="Arial;Helvetica;sans-serif" w:hAnsi="Arial;Helvetica;sans-serif"/>
                  <w:b w:val="false"/>
                  <w:i w:val="false"/>
                  <w:caps w:val="false"/>
                  <w:smallCaps w:val="false"/>
                  <w:sz w:val="20"/>
                </w:rPr>
                <w:t>Item</w:t>
              </w:r>
            </w:hyperlink>
            <w:hyperlink w:anchor="Item2ManagementsDiscussionandAnalysisofF">
              <w:r>
                <w:rPr>
                  <w:rStyle w:val="InternetLink"/>
                  <w:rFonts w:ascii="Arial;Helvetica;sans-serif" w:hAnsi="Arial;Helvetica;sans-serif"/>
                  <w:caps w:val="false"/>
                  <w:smallCaps w:val="false"/>
                  <w:sz w:val="20"/>
                </w:rPr>
                <w:t> </w:t>
              </w:r>
            </w:hyperlink>
            <w:hyperlink w:anchor="Item2ManagementsDiscussionandAnalysisofF">
              <w:r>
                <w:rPr>
                  <w:rStyle w:val="InternetLink"/>
                  <w:rFonts w:ascii="Arial;Helvetica;sans-serif" w:hAnsi="Arial;Helvetica;sans-serif"/>
                  <w:b w:val="false"/>
                  <w:i w:val="false"/>
                  <w:caps w:val="false"/>
                  <w:smallCaps w:val="false"/>
                  <w:sz w:val="20"/>
                </w:rPr>
                <w:t>2.</w:t>
              </w:r>
            </w:hyperlink>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pBdr/>
              <w:bidi w:val="0"/>
              <w:spacing w:before="0" w:after="0"/>
              <w:ind w:left="0" w:right="0" w:hanging="0"/>
              <w:jc w:val="left"/>
              <w:rPr/>
            </w:pPr>
            <w:hyperlink w:anchor="Item2ManagementsDiscussionandAnalysisofF">
              <w:r>
                <w:rPr>
                  <w:rStyle w:val="InternetLink"/>
                  <w:rFonts w:ascii="Arial;Helvetica;sans-serif" w:hAnsi="Arial;Helvetica;sans-serif"/>
                  <w:b w:val="false"/>
                  <w:i w:val="false"/>
                  <w:caps w:val="false"/>
                  <w:smallCaps w:val="false"/>
                  <w:sz w:val="20"/>
                </w:rPr>
                <w:t>Management</w:t>
              </w:r>
            </w:hyperlink>
            <w:hyperlink w:anchor="Item2ManagementsDiscussionandAnalysisofF">
              <w:r>
                <w:rPr>
                  <w:rStyle w:val="InternetLink"/>
                  <w:rFonts w:ascii="Arial;Helvetica;sans-serif" w:hAnsi="Arial;Helvetica;sans-serif"/>
                  <w:caps w:val="false"/>
                  <w:smallCaps w:val="false"/>
                  <w:sz w:val="20"/>
                </w:rPr>
                <w:t>’</w:t>
              </w:r>
            </w:hyperlink>
            <w:hyperlink w:anchor="Item2ManagementsDiscussionandAnalysisofF">
              <w:r>
                <w:rPr>
                  <w:rStyle w:val="InternetLink"/>
                  <w:rFonts w:ascii="Arial;Helvetica;sans-serif" w:hAnsi="Arial;Helvetica;sans-serif"/>
                  <w:b w:val="false"/>
                  <w:i w:val="false"/>
                  <w:caps w:val="false"/>
                  <w:smallCaps w:val="false"/>
                  <w:sz w:val="20"/>
                </w:rPr>
                <w:t>s Discussion and Analysis of Financial Condition and Results of Operations</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pBdr/>
              <w:bidi w:val="0"/>
              <w:spacing w:before="0" w:after="0"/>
              <w:ind w:left="0" w:right="0" w:hanging="0"/>
              <w:jc w:val="left"/>
              <w:rPr/>
            </w:pPr>
            <w:hyperlink w:anchor="Item3QuantitativeandQualitativeDisclosur">
              <w:r>
                <w:rPr>
                  <w:rStyle w:val="InternetLink"/>
                  <w:rFonts w:ascii="Arial;Helvetica;sans-serif" w:hAnsi="Arial;Helvetica;sans-serif"/>
                  <w:b w:val="false"/>
                  <w:i w:val="false"/>
                  <w:caps w:val="false"/>
                  <w:smallCaps w:val="false"/>
                  <w:sz w:val="20"/>
                </w:rPr>
                <w:t>Item</w:t>
              </w:r>
            </w:hyperlink>
            <w:hyperlink w:anchor="Item3QuantitativeandQualitativeDisclosur">
              <w:r>
                <w:rPr>
                  <w:rStyle w:val="InternetLink"/>
                  <w:rFonts w:ascii="Arial;Helvetica;sans-serif" w:hAnsi="Arial;Helvetica;sans-serif"/>
                  <w:caps w:val="false"/>
                  <w:smallCaps w:val="false"/>
                  <w:sz w:val="20"/>
                </w:rPr>
                <w:t> </w:t>
              </w:r>
            </w:hyperlink>
            <w:hyperlink w:anchor="Item3QuantitativeandQualitativeDisclosur">
              <w:r>
                <w:rPr>
                  <w:rStyle w:val="InternetLink"/>
                  <w:rFonts w:ascii="Arial;Helvetica;sans-serif" w:hAnsi="Arial;Helvetica;sans-serif"/>
                  <w:b w:val="false"/>
                  <w:i w:val="false"/>
                  <w:caps w:val="false"/>
                  <w:smallCaps w:val="false"/>
                  <w:sz w:val="20"/>
                </w:rPr>
                <w:t>3.</w:t>
              </w:r>
            </w:hyperlink>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hyperlink w:anchor="Item3QuantitativeandQualitativeDisclosur">
              <w:r>
                <w:rPr>
                  <w:rStyle w:val="InternetLink"/>
                  <w:rFonts w:ascii="Arial;Helvetica;sans-serif" w:hAnsi="Arial;Helvetica;sans-serif"/>
                  <w:b w:val="false"/>
                  <w:i w:val="false"/>
                  <w:caps w:val="false"/>
                  <w:smallCaps w:val="false"/>
                  <w:sz w:val="20"/>
                </w:rPr>
                <w:t>Quantitative and Qualitative Disclosures About Market Risk</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pBdr/>
              <w:bidi w:val="0"/>
              <w:spacing w:before="0" w:after="0"/>
              <w:ind w:left="0" w:right="0" w:hanging="0"/>
              <w:jc w:val="left"/>
              <w:rPr/>
            </w:pPr>
            <w:hyperlink w:anchor="Item4ControlsandProcedures_977453">
              <w:r>
                <w:rPr>
                  <w:rStyle w:val="InternetLink"/>
                  <w:rFonts w:ascii="Arial;Helvetica;sans-serif" w:hAnsi="Arial;Helvetica;sans-serif"/>
                  <w:b w:val="false"/>
                  <w:i w:val="false"/>
                  <w:caps w:val="false"/>
                  <w:smallCaps w:val="false"/>
                  <w:sz w:val="20"/>
                </w:rPr>
                <w:t>Item</w:t>
              </w:r>
            </w:hyperlink>
            <w:hyperlink w:anchor="Item4ControlsandProcedures_977453">
              <w:r>
                <w:rPr>
                  <w:rStyle w:val="InternetLink"/>
                  <w:rFonts w:ascii="Arial;Helvetica;sans-serif" w:hAnsi="Arial;Helvetica;sans-serif"/>
                  <w:caps w:val="false"/>
                  <w:smallCaps w:val="false"/>
                  <w:sz w:val="20"/>
                </w:rPr>
                <w:t> </w:t>
              </w:r>
            </w:hyperlink>
            <w:hyperlink w:anchor="Item4ControlsandProcedures_977453">
              <w:r>
                <w:rPr>
                  <w:rStyle w:val="InternetLink"/>
                  <w:rFonts w:ascii="Arial;Helvetica;sans-serif" w:hAnsi="Arial;Helvetica;sans-serif"/>
                  <w:b w:val="false"/>
                  <w:i w:val="false"/>
                  <w:caps w:val="false"/>
                  <w:smallCaps w:val="false"/>
                  <w:sz w:val="20"/>
                </w:rPr>
                <w:t>4.</w:t>
              </w:r>
            </w:hyperlink>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hyperlink w:anchor="Item4ControlsandProcedures_977453">
              <w:r>
                <w:rPr>
                  <w:rStyle w:val="InternetLink"/>
                  <w:rFonts w:ascii="Arial;Helvetica;sans-serif" w:hAnsi="Arial;Helvetica;sans-serif"/>
                  <w:b w:val="false"/>
                  <w:i w:val="false"/>
                  <w:caps w:val="false"/>
                  <w:smallCaps w:val="false"/>
                  <w:sz w:val="20"/>
                </w:rPr>
                <w:t>Controls and Procedures</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pBdr/>
              <w:bidi w:val="0"/>
              <w:spacing w:before="0" w:after="0"/>
              <w:ind w:left="0" w:right="0" w:hanging="0"/>
              <w:jc w:val="left"/>
              <w:rPr/>
            </w:pPr>
            <w:hyperlink w:anchor="PARTIIOTHERINFORMATION_131464">
              <w:r>
                <w:rPr>
                  <w:rStyle w:val="InternetLink"/>
                  <w:rFonts w:ascii="Arial;Helvetica;sans-serif" w:hAnsi="Arial;Helvetica;sans-serif"/>
                  <w:b/>
                  <w:i w:val="false"/>
                  <w:caps w:val="false"/>
                  <w:smallCaps w:val="false"/>
                  <w:sz w:val="20"/>
                </w:rPr>
                <w:t>Part</w:t>
              </w:r>
            </w:hyperlink>
            <w:hyperlink w:anchor="PARTIIOTHERINFORMATION_131464">
              <w:r>
                <w:rPr>
                  <w:rStyle w:val="InternetLink"/>
                  <w:rFonts w:ascii="Arial;Helvetica;sans-serif" w:hAnsi="Arial;Helvetica;sans-serif"/>
                  <w:caps w:val="false"/>
                  <w:smallCaps w:val="false"/>
                  <w:sz w:val="20"/>
                </w:rPr>
                <w:t> </w:t>
              </w:r>
            </w:hyperlink>
            <w:hyperlink w:anchor="PARTIIOTHERINFORMATION_131464">
              <w:r>
                <w:rPr>
                  <w:rStyle w:val="InternetLink"/>
                  <w:rFonts w:ascii="Arial;Helvetica;sans-serif" w:hAnsi="Arial;Helvetica;sans-serif"/>
                  <w:b/>
                  <w:i w:val="false"/>
                  <w:caps w:val="false"/>
                  <w:smallCaps w:val="false"/>
                  <w:sz w:val="20"/>
                </w:rPr>
                <w:t>II</w:t>
              </w:r>
            </w:hyperlink>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hyperlink w:anchor="PARTIIOTHERINFORMATION_131464">
              <w:r>
                <w:rPr>
                  <w:rStyle w:val="InternetLink"/>
                  <w:rFonts w:ascii="Arial;Helvetica;sans-serif" w:hAnsi="Arial;Helvetica;sans-serif"/>
                  <w:b/>
                  <w:i w:val="false"/>
                  <w:caps w:val="false"/>
                  <w:smallCaps w:val="false"/>
                  <w:sz w:val="20"/>
                </w:rPr>
                <w:t>Other Information</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pBdr/>
              <w:bidi w:val="0"/>
              <w:spacing w:before="0" w:after="0"/>
              <w:ind w:left="0" w:right="0" w:hanging="0"/>
              <w:jc w:val="left"/>
              <w:rPr/>
            </w:pPr>
            <w:hyperlink w:anchor="Item1LegalProceedings_54821">
              <w:r>
                <w:rPr>
                  <w:rStyle w:val="InternetLink"/>
                  <w:rFonts w:ascii="Arial;Helvetica;sans-serif" w:hAnsi="Arial;Helvetica;sans-serif"/>
                  <w:b w:val="false"/>
                  <w:i w:val="false"/>
                  <w:caps w:val="false"/>
                  <w:smallCaps w:val="false"/>
                  <w:sz w:val="20"/>
                </w:rPr>
                <w:t>Item</w:t>
              </w:r>
            </w:hyperlink>
            <w:hyperlink w:anchor="Item1LegalProceedings_54821">
              <w:r>
                <w:rPr>
                  <w:rStyle w:val="InternetLink"/>
                  <w:rFonts w:ascii="Arial;Helvetica;sans-serif" w:hAnsi="Arial;Helvetica;sans-serif"/>
                  <w:caps w:val="false"/>
                  <w:smallCaps w:val="false"/>
                  <w:sz w:val="20"/>
                </w:rPr>
                <w:t> </w:t>
              </w:r>
            </w:hyperlink>
            <w:hyperlink w:anchor="Item1LegalProceedings_54821">
              <w:r>
                <w:rPr>
                  <w:rStyle w:val="InternetLink"/>
                  <w:rFonts w:ascii="Arial;Helvetica;sans-serif" w:hAnsi="Arial;Helvetica;sans-serif"/>
                  <w:b w:val="false"/>
                  <w:i w:val="false"/>
                  <w:caps w:val="false"/>
                  <w:smallCaps w:val="false"/>
                  <w:sz w:val="20"/>
                </w:rPr>
                <w:t>1.</w:t>
              </w:r>
            </w:hyperlink>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hyperlink w:anchor="Item1LegalProceedings_54821">
              <w:r>
                <w:rPr>
                  <w:rStyle w:val="InternetLink"/>
                  <w:rFonts w:ascii="Arial;Helvetica;sans-serif" w:hAnsi="Arial;Helvetica;sans-serif"/>
                  <w:b w:val="false"/>
                  <w:i w:val="false"/>
                  <w:caps w:val="false"/>
                  <w:smallCaps w:val="false"/>
                  <w:sz w:val="20"/>
                </w:rPr>
                <w:t>Legal Proceedings</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pBdr/>
              <w:bidi w:val="0"/>
              <w:spacing w:before="0" w:after="0"/>
              <w:ind w:left="0" w:right="0" w:hanging="0"/>
              <w:jc w:val="left"/>
              <w:rPr/>
            </w:pPr>
            <w:hyperlink w:anchor="Item1ARiskFactors_131460">
              <w:r>
                <w:rPr>
                  <w:rStyle w:val="InternetLink"/>
                  <w:rFonts w:ascii="Arial;Helvetica;sans-serif" w:hAnsi="Arial;Helvetica;sans-serif"/>
                  <w:b w:val="false"/>
                  <w:i w:val="false"/>
                  <w:caps w:val="false"/>
                  <w:smallCaps w:val="false"/>
                  <w:sz w:val="20"/>
                </w:rPr>
                <w:t>Item</w:t>
              </w:r>
            </w:hyperlink>
            <w:hyperlink w:anchor="Item1ARiskFactors_131460">
              <w:r>
                <w:rPr>
                  <w:rStyle w:val="InternetLink"/>
                  <w:rFonts w:ascii="Arial;Helvetica;sans-serif" w:hAnsi="Arial;Helvetica;sans-serif"/>
                  <w:caps w:val="false"/>
                  <w:smallCaps w:val="false"/>
                  <w:sz w:val="20"/>
                </w:rPr>
                <w:t> </w:t>
              </w:r>
            </w:hyperlink>
            <w:hyperlink w:anchor="Item1ARiskFactors_131460">
              <w:r>
                <w:rPr>
                  <w:rStyle w:val="InternetLink"/>
                  <w:rFonts w:ascii="Arial;Helvetica;sans-serif" w:hAnsi="Arial;Helvetica;sans-serif"/>
                  <w:b w:val="false"/>
                  <w:i w:val="false"/>
                  <w:caps w:val="false"/>
                  <w:smallCaps w:val="false"/>
                  <w:sz w:val="20"/>
                </w:rPr>
                <w:t>1A.</w:t>
              </w:r>
            </w:hyperlink>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hyperlink w:anchor="Item1ARiskFactors_131460">
              <w:r>
                <w:rPr>
                  <w:rStyle w:val="InternetLink"/>
                  <w:rFonts w:ascii="Arial;Helvetica;sans-serif" w:hAnsi="Arial;Helvetica;sans-serif"/>
                  <w:b w:val="false"/>
                  <w:i w:val="false"/>
                  <w:caps w:val="false"/>
                  <w:smallCaps w:val="false"/>
                  <w:sz w:val="20"/>
                </w:rPr>
                <w:t>Risk Factors</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pBdr/>
              <w:bidi w:val="0"/>
              <w:spacing w:before="0" w:after="0"/>
              <w:ind w:left="0" w:right="0" w:hanging="0"/>
              <w:jc w:val="left"/>
              <w:rPr/>
            </w:pPr>
            <w:hyperlink w:anchor="Item2UnregisteredSalesofEquitySecurities">
              <w:r>
                <w:rPr>
                  <w:rStyle w:val="InternetLink"/>
                  <w:rFonts w:ascii="Arial;Helvetica;sans-serif" w:hAnsi="Arial;Helvetica;sans-serif"/>
                  <w:b w:val="false"/>
                  <w:i w:val="false"/>
                  <w:caps w:val="false"/>
                  <w:smallCaps w:val="false"/>
                  <w:sz w:val="20"/>
                </w:rPr>
                <w:t>Item</w:t>
              </w:r>
            </w:hyperlink>
            <w:hyperlink w:anchor="Item2UnregisteredSalesofEquitySecurities">
              <w:r>
                <w:rPr>
                  <w:rStyle w:val="InternetLink"/>
                  <w:rFonts w:ascii="Arial;Helvetica;sans-serif" w:hAnsi="Arial;Helvetica;sans-serif"/>
                  <w:caps w:val="false"/>
                  <w:smallCaps w:val="false"/>
                  <w:sz w:val="20"/>
                </w:rPr>
                <w:t> </w:t>
              </w:r>
            </w:hyperlink>
            <w:hyperlink w:anchor="Item2UnregisteredSalesofEquitySecurities">
              <w:r>
                <w:rPr>
                  <w:rStyle w:val="InternetLink"/>
                  <w:rFonts w:ascii="Arial;Helvetica;sans-serif" w:hAnsi="Arial;Helvetica;sans-serif"/>
                  <w:b w:val="false"/>
                  <w:i w:val="false"/>
                  <w:caps w:val="false"/>
                  <w:smallCaps w:val="false"/>
                  <w:sz w:val="20"/>
                </w:rPr>
                <w:t>2.</w:t>
              </w:r>
            </w:hyperlink>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hyperlink w:anchor="Item2UnregisteredSalesofEquitySecurities">
              <w:r>
                <w:rPr>
                  <w:rStyle w:val="InternetLink"/>
                  <w:rFonts w:ascii="Arial;Helvetica;sans-serif" w:hAnsi="Arial;Helvetica;sans-serif"/>
                  <w:b w:val="false"/>
                  <w:i w:val="false"/>
                  <w:caps w:val="false"/>
                  <w:smallCaps w:val="false"/>
                  <w:sz w:val="20"/>
                </w:rPr>
                <w:t>Unregistered Sales of Equity Securities and Use of Proceeds</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pBdr/>
              <w:bidi w:val="0"/>
              <w:spacing w:before="0" w:after="0"/>
              <w:ind w:left="0" w:right="0" w:hanging="0"/>
              <w:jc w:val="left"/>
              <w:rPr/>
            </w:pPr>
            <w:hyperlink w:anchor="Item3DefaultsUponSeniorSecurities_596530">
              <w:r>
                <w:rPr>
                  <w:rStyle w:val="InternetLink"/>
                  <w:rFonts w:ascii="Arial;Helvetica;sans-serif" w:hAnsi="Arial;Helvetica;sans-serif"/>
                  <w:b w:val="false"/>
                  <w:i w:val="false"/>
                  <w:caps w:val="false"/>
                  <w:smallCaps w:val="false"/>
                  <w:sz w:val="20"/>
                </w:rPr>
                <w:t>Item</w:t>
              </w:r>
            </w:hyperlink>
            <w:hyperlink w:anchor="Item3DefaultsUponSeniorSecurities_596530">
              <w:r>
                <w:rPr>
                  <w:rStyle w:val="InternetLink"/>
                  <w:rFonts w:ascii="Arial;Helvetica;sans-serif" w:hAnsi="Arial;Helvetica;sans-serif"/>
                  <w:caps w:val="false"/>
                  <w:smallCaps w:val="false"/>
                  <w:sz w:val="20"/>
                </w:rPr>
                <w:t> </w:t>
              </w:r>
            </w:hyperlink>
            <w:hyperlink w:anchor="Item3DefaultsUponSeniorSecurities_596530">
              <w:r>
                <w:rPr>
                  <w:rStyle w:val="InternetLink"/>
                  <w:rFonts w:ascii="Arial;Helvetica;sans-serif" w:hAnsi="Arial;Helvetica;sans-serif"/>
                  <w:b w:val="false"/>
                  <w:i w:val="false"/>
                  <w:caps w:val="false"/>
                  <w:smallCaps w:val="false"/>
                  <w:sz w:val="20"/>
                </w:rPr>
                <w:t>3.</w:t>
              </w:r>
            </w:hyperlink>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hyperlink w:anchor="Item3DefaultsUponSeniorSecurities_596530">
              <w:r>
                <w:rPr>
                  <w:rStyle w:val="InternetLink"/>
                  <w:rFonts w:ascii="Arial;Helvetica;sans-serif" w:hAnsi="Arial;Helvetica;sans-serif"/>
                  <w:b w:val="false"/>
                  <w:i w:val="false"/>
                  <w:caps w:val="false"/>
                  <w:smallCaps w:val="false"/>
                  <w:sz w:val="20"/>
                </w:rPr>
                <w:t>Defaults Upon Senior Securities</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pBdr/>
              <w:bidi w:val="0"/>
              <w:spacing w:before="0" w:after="0"/>
              <w:ind w:left="0" w:right="0" w:hanging="0"/>
              <w:jc w:val="left"/>
              <w:rPr/>
            </w:pPr>
            <w:hyperlink w:anchor="Item4MineSafetyDisclosures_347489">
              <w:r>
                <w:rPr>
                  <w:rStyle w:val="InternetLink"/>
                  <w:rFonts w:ascii="Arial;Helvetica;sans-serif" w:hAnsi="Arial;Helvetica;sans-serif"/>
                  <w:b w:val="false"/>
                  <w:i w:val="false"/>
                  <w:caps w:val="false"/>
                  <w:smallCaps w:val="false"/>
                  <w:sz w:val="20"/>
                </w:rPr>
                <w:t>Item</w:t>
              </w:r>
            </w:hyperlink>
            <w:hyperlink w:anchor="Item4MineSafetyDisclosures_347489">
              <w:r>
                <w:rPr>
                  <w:rStyle w:val="InternetLink"/>
                  <w:rFonts w:ascii="Arial;Helvetica;sans-serif" w:hAnsi="Arial;Helvetica;sans-serif"/>
                  <w:caps w:val="false"/>
                  <w:smallCaps w:val="false"/>
                  <w:sz w:val="20"/>
                </w:rPr>
                <w:t> </w:t>
              </w:r>
            </w:hyperlink>
            <w:hyperlink w:anchor="Item4MineSafetyDisclosures_347489">
              <w:r>
                <w:rPr>
                  <w:rStyle w:val="InternetLink"/>
                  <w:rFonts w:ascii="Arial;Helvetica;sans-serif" w:hAnsi="Arial;Helvetica;sans-serif"/>
                  <w:b w:val="false"/>
                  <w:i w:val="false"/>
                  <w:caps w:val="false"/>
                  <w:smallCaps w:val="false"/>
                  <w:sz w:val="20"/>
                </w:rPr>
                <w:t>4.</w:t>
              </w:r>
            </w:hyperlink>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hyperlink w:anchor="Item4MineSafetyDisclosures_347489">
              <w:r>
                <w:rPr>
                  <w:rStyle w:val="InternetLink"/>
                  <w:rFonts w:ascii="Arial;Helvetica;sans-serif" w:hAnsi="Arial;Helvetica;sans-serif"/>
                  <w:b w:val="false"/>
                  <w:i w:val="false"/>
                  <w:caps w:val="false"/>
                  <w:smallCaps w:val="false"/>
                  <w:sz w:val="20"/>
                </w:rPr>
                <w:t>Mine Safety Disclosures</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pBdr/>
              <w:bidi w:val="0"/>
              <w:spacing w:before="0" w:after="0"/>
              <w:ind w:left="0" w:right="0" w:hanging="0"/>
              <w:jc w:val="left"/>
              <w:rPr/>
            </w:pPr>
            <w:hyperlink w:anchor="Item5OtherInformation_696802">
              <w:r>
                <w:rPr>
                  <w:rStyle w:val="InternetLink"/>
                  <w:rFonts w:ascii="Arial;Helvetica;sans-serif" w:hAnsi="Arial;Helvetica;sans-serif"/>
                  <w:b w:val="false"/>
                  <w:i w:val="false"/>
                  <w:caps w:val="false"/>
                  <w:smallCaps w:val="false"/>
                  <w:sz w:val="20"/>
                </w:rPr>
                <w:t>Item</w:t>
              </w:r>
            </w:hyperlink>
            <w:hyperlink w:anchor="Item5OtherInformation_696802">
              <w:r>
                <w:rPr>
                  <w:rStyle w:val="InternetLink"/>
                  <w:rFonts w:ascii="Arial;Helvetica;sans-serif" w:hAnsi="Arial;Helvetica;sans-serif"/>
                  <w:caps w:val="false"/>
                  <w:smallCaps w:val="false"/>
                  <w:sz w:val="20"/>
                </w:rPr>
                <w:t> </w:t>
              </w:r>
            </w:hyperlink>
            <w:hyperlink w:anchor="Item5OtherInformation_696802">
              <w:r>
                <w:rPr>
                  <w:rStyle w:val="InternetLink"/>
                  <w:rFonts w:ascii="Arial;Helvetica;sans-serif" w:hAnsi="Arial;Helvetica;sans-serif"/>
                  <w:b w:val="false"/>
                  <w:i w:val="false"/>
                  <w:caps w:val="false"/>
                  <w:smallCaps w:val="false"/>
                  <w:sz w:val="20"/>
                </w:rPr>
                <w:t>5.</w:t>
              </w:r>
            </w:hyperlink>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hyperlink w:anchor="Item5OtherInformation_696802">
              <w:r>
                <w:rPr>
                  <w:rStyle w:val="InternetLink"/>
                  <w:rFonts w:ascii="Arial;Helvetica;sans-serif" w:hAnsi="Arial;Helvetica;sans-serif"/>
                  <w:b w:val="false"/>
                  <w:i w:val="false"/>
                  <w:caps w:val="false"/>
                  <w:smallCaps w:val="false"/>
                  <w:sz w:val="20"/>
                </w:rPr>
                <w:t>Other Information</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pBdr/>
              <w:bidi w:val="0"/>
              <w:spacing w:before="0" w:after="0"/>
              <w:ind w:left="0" w:right="0" w:hanging="0"/>
              <w:jc w:val="left"/>
              <w:rPr/>
            </w:pPr>
            <w:hyperlink w:anchor="Item6Exhibits_742478">
              <w:r>
                <w:rPr>
                  <w:rStyle w:val="InternetLink"/>
                  <w:rFonts w:ascii="Arial;Helvetica;sans-serif" w:hAnsi="Arial;Helvetica;sans-serif"/>
                  <w:b w:val="false"/>
                  <w:i w:val="false"/>
                  <w:caps w:val="false"/>
                  <w:smallCaps w:val="false"/>
                  <w:sz w:val="20"/>
                </w:rPr>
                <w:t>Item</w:t>
              </w:r>
            </w:hyperlink>
            <w:hyperlink w:anchor="Item6Exhibits_742478">
              <w:r>
                <w:rPr>
                  <w:rStyle w:val="InternetLink"/>
                  <w:rFonts w:ascii="Arial;Helvetica;sans-serif" w:hAnsi="Arial;Helvetica;sans-serif"/>
                  <w:caps w:val="false"/>
                  <w:smallCaps w:val="false"/>
                  <w:sz w:val="20"/>
                </w:rPr>
                <w:t> </w:t>
              </w:r>
            </w:hyperlink>
            <w:hyperlink w:anchor="Item6Exhibits_742478">
              <w:r>
                <w:rPr>
                  <w:rStyle w:val="InternetLink"/>
                  <w:rFonts w:ascii="Arial;Helvetica;sans-serif" w:hAnsi="Arial;Helvetica;sans-serif"/>
                  <w:b w:val="false"/>
                  <w:i w:val="false"/>
                  <w:caps w:val="false"/>
                  <w:smallCaps w:val="false"/>
                  <w:sz w:val="20"/>
                </w:rPr>
                <w:t>6.</w:t>
              </w:r>
            </w:hyperlink>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hyperlink w:anchor="Item6Exhibits_742478">
              <w:r>
                <w:rPr>
                  <w:rStyle w:val="InternetLink"/>
                  <w:rFonts w:ascii="Arial;Helvetica;sans-serif" w:hAnsi="Arial;Helvetica;sans-serif"/>
                  <w:b w:val="false"/>
                  <w:i w:val="false"/>
                  <w:caps w:val="false"/>
                  <w:smallCaps w:val="false"/>
                  <w:sz w:val="20"/>
                </w:rPr>
                <w:t>Exhibits</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9192" w:type="dxa"/>
            <w:gridSpan w:val="3"/>
            <w:tcBorders/>
            <w:vAlign w:val="center"/>
          </w:tcPr>
          <w:p>
            <w:pPr>
              <w:pStyle w:val="TableContents"/>
              <w:bidi w:val="0"/>
              <w:spacing w:before="0" w:after="0"/>
              <w:ind w:left="0" w:right="0" w:hanging="0"/>
              <w:jc w:val="left"/>
              <w:rPr/>
            </w:pPr>
            <w:hyperlink w:anchor="Item6Exhibits_742478">
              <w:r>
                <w:rPr>
                  <w:rStyle w:val="InternetLink"/>
                  <w:rFonts w:ascii="Arial;Helvetica;sans-serif" w:hAnsi="Arial;Helvetica;sans-serif"/>
                  <w:b w:val="false"/>
                  <w:i w:val="false"/>
                  <w:caps w:val="false"/>
                  <w:smallCaps w:val="false"/>
                  <w:sz w:val="20"/>
                </w:rPr>
                <w:t>Exhibit</w:t>
              </w:r>
            </w:hyperlink>
            <w:hyperlink w:anchor="Item6Exhibits_742478">
              <w:r>
                <w:rPr>
                  <w:rStyle w:val="InternetLink"/>
                  <w:rFonts w:ascii="Arial;Helvetica;sans-serif" w:hAnsi="Arial;Helvetica;sans-serif"/>
                  <w:caps w:val="false"/>
                  <w:smallCaps w:val="false"/>
                  <w:sz w:val="20"/>
                </w:rPr>
                <w:t> </w:t>
              </w:r>
            </w:hyperlink>
            <w:hyperlink w:anchor="Item6Exhibits_742478">
              <w:r>
                <w:rPr>
                  <w:rStyle w:val="InternetLink"/>
                  <w:rFonts w:ascii="Arial;Helvetica;sans-serif" w:hAnsi="Arial;Helvetica;sans-serif"/>
                  <w:b w:val="false"/>
                  <w:i w:val="false"/>
                  <w:caps w:val="false"/>
                  <w:smallCaps w:val="false"/>
                  <w:sz w:val="20"/>
                </w:rPr>
                <w:t>Index</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9192" w:type="dxa"/>
            <w:gridSpan w:val="3"/>
            <w:tcBorders/>
            <w:vAlign w:val="center"/>
          </w:tcPr>
          <w:p>
            <w:pPr>
              <w:pStyle w:val="TableContents"/>
              <w:bidi w:val="0"/>
              <w:spacing w:before="0" w:after="0"/>
              <w:ind w:left="0" w:right="0" w:hanging="0"/>
              <w:jc w:val="left"/>
              <w:rPr/>
            </w:pPr>
            <w:hyperlink w:anchor="SIGNATURES_221192">
              <w:r>
                <w:rPr>
                  <w:rStyle w:val="InternetLink"/>
                  <w:rFonts w:ascii="Arial;Helvetica;sans-serif" w:hAnsi="Arial;Helvetica;sans-serif"/>
                  <w:b w:val="false"/>
                  <w:i w:val="false"/>
                  <w:caps w:val="false"/>
                  <w:smallCaps w:val="false"/>
                  <w:sz w:val="20"/>
                </w:rPr>
                <w:t>Signatures</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39" w:name="_e78b1bf1_e29b_443f_a665_80b26a2c9d6f"/>
      <w:bookmarkEnd w:id="39"/>
      <w:r>
        <w:rPr>
          <w:rFonts w:ascii="Arial;Helvetica;sans-serif" w:hAnsi="Arial;Helvetica;sans-serif"/>
          <w:b/>
          <w:sz w:val="20"/>
        </w:rPr>
        <w:t>CVRx, Inc.</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Quarterly Report on Form 10-Q</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For the quarterly period ended March 31, 2023</w:t>
      </w:r>
    </w:p>
    <w:p>
      <w:pPr>
        <w:pStyle w:val="TextBody"/>
        <w:bidi w:val="0"/>
        <w:spacing w:before="0" w:after="240"/>
        <w:ind w:left="0" w:right="0" w:hanging="0"/>
        <w:jc w:val="center"/>
        <w:rPr>
          <w:rFonts w:ascii="Arial;Helvetica;sans-serif" w:hAnsi="Arial;Helvetica;sans-serif"/>
          <w:b/>
          <w:i/>
          <w:sz w:val="20"/>
        </w:rPr>
      </w:pPr>
      <w:r>
        <w:rPr>
          <w:rFonts w:ascii="Arial;Helvetica;sans-serif" w:hAnsi="Arial;Helvetica;sans-serif"/>
          <w:b/>
          <w:i/>
          <w:sz w:val="20"/>
        </w:rPr>
        <w:t>Cautionary Note on Forward-Looking Statements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are forward-looking statements, including statements regarding our future results of operations and financial position, business strategy, the impact of the global COVID-19 pandemic on our business, financial results and financial position, clinical trial results, prospective products, product approvals, research and development costs, timing and likelihood of success, and the plans and objectives of management for future operations.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The forward-looking statements in this Quarterly Report on Form 10-Q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known and unknown risks, uncertainties and assumptions, including, but not limited to, the important factors discussed in Part I, Item 1A. “Risk Factors” in our Annual Report on Form 10-K for the year ended December 31, 2022, which are summarized below, as updated in Part II, Item 1A. “Risk Factors” in this Quarterly Report on Form 10-Q. Moreover, we operate in an evolving environment. New risk factors and uncertainties may emerge from time to time, and it is not possible for management to predict all risk factors and uncertainties.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pStyle w:val="TextBody"/>
        <w:bidi w:val="0"/>
        <w:spacing w:before="0" w:after="240"/>
        <w:ind w:left="0" w:right="0" w:hanging="0"/>
        <w:jc w:val="center"/>
        <w:rPr>
          <w:rFonts w:ascii="Arial;Helvetica;sans-serif" w:hAnsi="Arial;Helvetica;sans-serif"/>
          <w:b/>
          <w:i/>
          <w:sz w:val="20"/>
        </w:rPr>
      </w:pPr>
      <w:r>
        <w:rPr>
          <w:rFonts w:ascii="Arial;Helvetica;sans-serif" w:hAnsi="Arial;Helvetica;sans-serif"/>
          <w:b/>
          <w:i/>
          <w:sz w:val="20"/>
        </w:rPr>
        <w:t>Summary Risk Factors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Our business is subject to numerous risks and uncertainties, including those described in Part I, Item 1A. “Risk Factors” in our Annual Report on Form 10-K for the year ended December 31, 2022, as updated in Part II, Item 1A. “Risk Factors” in this Quarterly Report on Form 10-Q. You should carefully consider these risks and uncertainties when investing in our common stock. The principal risks and uncertainties affecting our business include, but are not limited to, the following:</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a history of significant losses, which we expect to continue, and we may not be able to achieve or sustain profitability;</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principal stockholders, management and directors (three of whom are affiliated with our principal stockholders) own a significant percentage of our stock and will be able to exert significant control over matters subject to stockholder approval;</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a limited history operating as a commercial company and are highly dependent on a single product, Barostim, and the failure to increase market acceptance in the U.S. for Barostim would negatively impact our business, liquidity and results of operations;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limited commercial sales experience marketing and selling Barostim, and if we are unable to continue to maintain and grow sales and marketing capabilities, we will be unable to generate sustained and increasing product revenue;</w:t>
            </w:r>
          </w:p>
        </w:tc>
        <w:tc>
          <w:tcPr>
            <w:tcW w:w="154" w:type="dxa"/>
            <w:tcBorders/>
            <w:vAlign w:val="center"/>
          </w:tcPr>
          <w:p>
            <w:pPr>
              <w:pStyle w:val="TableContents"/>
              <w:bidi w:val="0"/>
              <w:spacing w:before="0" w:after="283"/>
              <w:jc w:val="left"/>
              <w:rPr>
                <w:sz w:val="4"/>
                <w:szCs w:val="4"/>
              </w:rPr>
            </w:pPr>
            <w:r>
              <w:rPr>
                <w:sz w:val="4"/>
                <w:szCs w:val="4"/>
              </w:rPr>
            </w:r>
          </w:p>
        </w:tc>
      </w:tr>
    </w:tbl>
    <w:tbl>
      <w:tblPr>
        <w:tblW w:w="6910" w:type="dxa"/>
        <w:jc w:val="left"/>
        <w:tblInd w:w="0" w:type="dxa"/>
        <w:tblLayout w:type="fixed"/>
        <w:tblCellMar>
          <w:top w:w="28" w:type="dxa"/>
          <w:left w:w="28" w:type="dxa"/>
          <w:bottom w:w="28" w:type="dxa"/>
          <w:right w:w="28" w:type="dxa"/>
        </w:tblCellMar>
      </w:tblPr>
      <w:tblGrid>
        <w:gridCol w:w="124"/>
        <w:gridCol w:w="256"/>
        <w:gridCol w:w="637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7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must demonstrate to physicians and patients the merits of Barostim;</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third-party payors do not provide adequate coverage and reimbursement for the use of Barostim, our revenue will be negatively impacted;</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industry is highly competitive; if our competitors, many of which are large, well-established companies with substantially greater resources than us and have a long history of competing in the heart failure market, are better able to develop and market products that are safer, more effective, less costly, easier to use or otherwise more attractive than Barostim, our business will be adversely impacted;</w:t>
            </w:r>
          </w:p>
        </w:tc>
        <w:tc>
          <w:tcPr>
            <w:tcW w:w="154" w:type="dxa"/>
            <w:tcBorders/>
            <w:vAlign w:val="center"/>
          </w:tcPr>
          <w:p>
            <w:pPr>
              <w:pStyle w:val="TableContents"/>
              <w:bidi w:val="0"/>
              <w:spacing w:before="0" w:after="283"/>
              <w:jc w:val="left"/>
              <w:rPr>
                <w:sz w:val="4"/>
                <w:szCs w:val="4"/>
              </w:rPr>
            </w:pPr>
            <w:r>
              <w:rPr>
                <w:sz w:val="4"/>
                <w:szCs w:val="4"/>
              </w:rPr>
            </w:r>
          </w:p>
        </w:tc>
      </w:tr>
    </w:tbl>
    <w:tbl>
      <w:tblPr>
        <w:tblW w:w="6295" w:type="dxa"/>
        <w:jc w:val="left"/>
        <w:tblInd w:w="0" w:type="dxa"/>
        <w:tblLayout w:type="fixed"/>
        <w:tblCellMar>
          <w:top w:w="28" w:type="dxa"/>
          <w:left w:w="28" w:type="dxa"/>
          <w:bottom w:w="28" w:type="dxa"/>
          <w:right w:w="28" w:type="dxa"/>
        </w:tblCellMar>
      </w:tblPr>
      <w:tblGrid>
        <w:gridCol w:w="124"/>
        <w:gridCol w:w="256"/>
        <w:gridCol w:w="576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6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we fail to receive access to hospitals, our sales may decrease;</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are dependent upon third-party manufacturers and suppliers, and in some cases a limited number of suppliers, making us vulnerable to supply shortages, loss or degradation in performance of the suppliers, price fluctuations and ongoing supply chain disruptions, which could harm our business;</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manufacturing risks may adversely affect our ability to manufacture our product and could reduce our gross margin and profitability;</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pandemic, epidemic or outbreak of an infectious disease in the U.S. or worldwide, including the outbreak of the novel strain of coronavirus disease, COVID-19, could adversely affect our business;</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may face product liability claims that could be costly, divert management’s attention and harm our reputation;</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may in the future become involved in lawsuits to protect or enforce our intellectual property or defend ourselves against intellectual property disputes, which could be expensive, time consuming and ultimately unsuccessful, and could result in the diversion of significant resources, thereby hindering our ability to effectively commercialize our existing or future products;</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we fail to retain our key executives or recruit and hire new employees, our operations and financial results may be adversely affected while we attract other highly qualified personnel; and</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will continue to obtain long-term clinical data regarding the safety and efficacy of our products, which could impact future adoption and regulatory approvals.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Arial;Helvetica;sans-serif" w:hAnsi="Arial;Helvetica;sans-serif"/>
          <w:b/>
          <w:sz w:val="20"/>
        </w:rPr>
      </w:pPr>
      <w:bookmarkStart w:id="40" w:name="PARTIFINANCIALINFORMATION_851848"/>
      <w:bookmarkStart w:id="41" w:name="_0217a248_dbbc_4404_8db7_9c6252971aa0"/>
      <w:bookmarkEnd w:id="40"/>
      <w:bookmarkEnd w:id="41"/>
      <w:r>
        <w:rPr>
          <w:rFonts w:ascii="Arial;Helvetica;sans-serif" w:hAnsi="Arial;Helvetica;sans-serif"/>
          <w:b/>
          <w:sz w:val="20"/>
        </w:rPr>
        <w:t>PART I —FINANCIAL INFORMATION</w:t>
      </w:r>
    </w:p>
    <w:p>
      <w:pPr>
        <w:pStyle w:val="TextBody"/>
        <w:pBdr/>
        <w:bidi w:val="0"/>
        <w:spacing w:before="0" w:after="240"/>
        <w:ind w:left="0" w:right="0" w:hanging="360"/>
        <w:jc w:val="left"/>
        <w:rPr>
          <w:rFonts w:ascii="Arial;Helvetica;sans-serif" w:hAnsi="Arial;Helvetica;sans-serif"/>
          <w:b/>
          <w:sz w:val="20"/>
        </w:rPr>
      </w:pPr>
      <w:bookmarkStart w:id="42" w:name="Item1FinancialStatements_407004"/>
      <w:bookmarkEnd w:id="42"/>
      <w:r>
        <w:rPr>
          <w:rFonts w:ascii="Arial;Helvetica;sans-serif" w:hAnsi="Arial;Helvetica;sans-serif"/>
          <w:b/>
          <w:sz w:val="20"/>
        </w:rPr>
        <w:t>Item 1. Financial Statements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CVRx, INC.</w:t>
      </w:r>
    </w:p>
    <w:p>
      <w:pPr>
        <w:pStyle w:val="TextBody"/>
        <w:bidi w:val="0"/>
        <w:spacing w:before="0" w:after="0"/>
        <w:ind w:left="0" w:right="0" w:hanging="0"/>
        <w:jc w:val="center"/>
        <w:rPr>
          <w:rFonts w:ascii="Arial;Helvetica;sans-serif" w:hAnsi="Arial;Helvetica;sans-serif"/>
          <w:b/>
          <w:sz w:val="20"/>
        </w:rPr>
      </w:pPr>
      <w:bookmarkStart w:id="43" w:name="CondensedConsolidatedBalanceSheets_40430"/>
      <w:bookmarkEnd w:id="43"/>
      <w:r>
        <w:rPr>
          <w:rFonts w:ascii="Arial;Helvetica;sans-serif" w:hAnsi="Arial;Helvetica;sans-serif"/>
          <w:b/>
          <w:sz w:val="20"/>
        </w:rPr>
        <w:t>Condensed Consolidated Balance Sheets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 thousands, except share and per share data)</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(Unaudited)</w:t>
      </w:r>
    </w:p>
    <w:p>
      <w:pPr>
        <w:pStyle w:val="Normal"/>
        <w:bidi w:val="0"/>
        <w:spacing w:before="0" w:after="0"/>
        <w:jc w:val="left"/>
        <w:rPr>
          <w:sz w:val="4"/>
          <w:szCs w:val="4"/>
        </w:rPr>
      </w:pPr>
      <w:r>
        <w:rPr>
          <w:sz w:val="4"/>
          <w:szCs w:val="4"/>
        </w:rPr>
      </w:r>
      <w:bookmarkStart w:id="44" w:name="Tc_2yOB7g9xMkep1tNfY1vLLw_30_5"/>
      <w:bookmarkStart w:id="45" w:name="Tc_kz8skMl4PkCIf6N-jARSHA_30_2"/>
      <w:bookmarkStart w:id="46" w:name="Tc_PhZTeqZEikOBMp0p4ANCRQ_30_0"/>
      <w:bookmarkStart w:id="47" w:name="Tc_qaqHGu9G3EW-uyTlzph6xg_29_0"/>
      <w:bookmarkStart w:id="48" w:name="Tc_KGceQ5-ld0mSDDwu1ZoM-A_28_0"/>
      <w:bookmarkStart w:id="49" w:name="Tc_ckQVTQcQekeki2tQK52Wiw_27_0"/>
      <w:bookmarkStart w:id="50" w:name="Tc_WiLmjIRIcUOAwa9f9pGgkQ_26_0"/>
      <w:bookmarkStart w:id="51" w:name="Tc_0y52KW4inkqEap2mYZm03g_25_0"/>
      <w:bookmarkStart w:id="52" w:name="Tc_LweVfSjjykm3LKvnlRHz4w_24_0"/>
      <w:bookmarkStart w:id="53" w:name="Tc_MfQNkdgQL0yPpkr1QVdFsg_23_0"/>
      <w:bookmarkStart w:id="54" w:name="Tc_V5FwuFEmzU2QUXTwCVpFmw_22_0"/>
      <w:bookmarkStart w:id="55" w:name="Tc_NdiOZWdn60KATaTizdlNFg_21_0"/>
      <w:bookmarkStart w:id="56" w:name="Tc_0z8mWBTh2ka5A-zVcWXgxg_20_0"/>
      <w:bookmarkStart w:id="57" w:name="Tc_pIRg9KmyAkOrEoIq4-1Wkg_19_0"/>
      <w:bookmarkStart w:id="58" w:name="Tc_mx5Jyqbr-U-tDzazOe9cHw_18_0"/>
      <w:bookmarkStart w:id="59" w:name="Tc_1Y_C7SCZykiYloZK-OlsWg_17_0"/>
      <w:bookmarkStart w:id="60" w:name="Tc_uqQMnFsWjUWaQ5hp491iGw_16_5"/>
      <w:bookmarkStart w:id="61" w:name="Tc_krY4zk23rUauACvbFY5zzQ_16_2"/>
      <w:bookmarkStart w:id="62" w:name="Tc_5HgzwpSIz0ajio9A27tmEA_16_0"/>
      <w:bookmarkStart w:id="63" w:name="Tc_IwO8CrlAE0OOGgzpWLTijQ_15_0"/>
      <w:bookmarkStart w:id="64" w:name="Tc_IL0eTn4cb0iLwDjEMuH1ag_14_0"/>
      <w:bookmarkStart w:id="65" w:name="Tc_M_Mgv4j5Dk6zv0VOeauNeA_13_5"/>
      <w:bookmarkStart w:id="66" w:name="Tc_kkZ5ruHtqUOQnja8v5RaKw_13_2"/>
      <w:bookmarkStart w:id="67" w:name="Tc__QSwLsfYj0CM3EV5qU-4QQ_13_0"/>
      <w:bookmarkStart w:id="68" w:name="Tc_PkkFP-pDBUqW_u_RoCUbOw_12_0"/>
      <w:bookmarkStart w:id="69" w:name="Tc_aQhBfNL1vUaeZm0q1xdTXg_11_0"/>
      <w:bookmarkStart w:id="70" w:name="Tc_woOrXQA_Q0ezRLwN1bFBVQ_10_0"/>
      <w:bookmarkStart w:id="71" w:name="Tc_KuTF9O1H_0-CIyEj_D7wHg_9_0"/>
      <w:bookmarkStart w:id="72" w:name="Tc_WfS5n8guk0-nBbQhw-jPFw_8_0"/>
      <w:bookmarkStart w:id="73" w:name="Tc_9lCeNhqT3E-qD5Kk44xlZw_7_0"/>
      <w:bookmarkStart w:id="74" w:name="Tc_Hv9fMiKNj0eCcW4uG4KSmA_6_0"/>
      <w:bookmarkStart w:id="75" w:name="Tc_ry7bINWk6UuXs_SPBnQU7A_5_5"/>
      <w:bookmarkStart w:id="76" w:name="Tc_F5jxCxxTgk-H6emM2KfqtA_5_2"/>
      <w:bookmarkStart w:id="77" w:name="Tc_jDRWCJf7jUWj8jHiGQNfdg_5_0"/>
      <w:bookmarkStart w:id="78" w:name="Tc_kHtQAZDF5E-dt6Ibnzaxqw_4_0"/>
      <w:bookmarkStart w:id="79" w:name="Tc_cpSnAiPDcUCAMHoLvOYwcg_3_0"/>
      <w:bookmarkStart w:id="80" w:name="Tc_47oMtJwemUefCKglHhNBuw_2_5"/>
      <w:bookmarkStart w:id="81" w:name="Tc_XLgM6WGw0k-mmGiCXKwkVw_2_2"/>
      <w:bookmarkStart w:id="82" w:name="Tc_jyyKFBlTFk2FJB8Vqqts2w_1_5"/>
      <w:bookmarkStart w:id="83" w:name="Tc_vDs85XGP8UuxQ4bea40arA_1_2"/>
      <w:bookmarkStart w:id="84" w:name="_a954118e_803a_45fd_8f19_da53077d6187"/>
      <w:bookmarkStart w:id="85" w:name="Tc_2yOB7g9xMkep1tNfY1vLLw_30_5"/>
      <w:bookmarkStart w:id="86" w:name="Tc_kz8skMl4PkCIf6N-jARSHA_30_2"/>
      <w:bookmarkStart w:id="87" w:name="Tc_PhZTeqZEikOBMp0p4ANCRQ_30_0"/>
      <w:bookmarkStart w:id="88" w:name="Tc_qaqHGu9G3EW-uyTlzph6xg_29_0"/>
      <w:bookmarkStart w:id="89" w:name="Tc_KGceQ5-ld0mSDDwu1ZoM-A_28_0"/>
      <w:bookmarkStart w:id="90" w:name="Tc_ckQVTQcQekeki2tQK52Wiw_27_0"/>
      <w:bookmarkStart w:id="91" w:name="Tc_WiLmjIRIcUOAwa9f9pGgkQ_26_0"/>
      <w:bookmarkStart w:id="92" w:name="Tc_0y52KW4inkqEap2mYZm03g_25_0"/>
      <w:bookmarkStart w:id="93" w:name="Tc_LweVfSjjykm3LKvnlRHz4w_24_0"/>
      <w:bookmarkStart w:id="94" w:name="Tc_MfQNkdgQL0yPpkr1QVdFsg_23_0"/>
      <w:bookmarkStart w:id="95" w:name="Tc_V5FwuFEmzU2QUXTwCVpFmw_22_0"/>
      <w:bookmarkStart w:id="96" w:name="Tc_NdiOZWdn60KATaTizdlNFg_21_0"/>
      <w:bookmarkStart w:id="97" w:name="Tc_0z8mWBTh2ka5A-zVcWXgxg_20_0"/>
      <w:bookmarkStart w:id="98" w:name="Tc_pIRg9KmyAkOrEoIq4-1Wkg_19_0"/>
      <w:bookmarkStart w:id="99" w:name="Tc_mx5Jyqbr-U-tDzazOe9cHw_18_0"/>
      <w:bookmarkStart w:id="100" w:name="Tc_1Y_C7SCZykiYloZK-OlsWg_17_0"/>
      <w:bookmarkStart w:id="101" w:name="Tc_uqQMnFsWjUWaQ5hp491iGw_16_5"/>
      <w:bookmarkStart w:id="102" w:name="Tc_krY4zk23rUauACvbFY5zzQ_16_2"/>
      <w:bookmarkStart w:id="103" w:name="Tc_5HgzwpSIz0ajio9A27tmEA_16_0"/>
      <w:bookmarkStart w:id="104" w:name="Tc_IwO8CrlAE0OOGgzpWLTijQ_15_0"/>
      <w:bookmarkStart w:id="105" w:name="Tc_IL0eTn4cb0iLwDjEMuH1ag_14_0"/>
      <w:bookmarkStart w:id="106" w:name="Tc_M_Mgv4j5Dk6zv0VOeauNeA_13_5"/>
      <w:bookmarkStart w:id="107" w:name="Tc_kkZ5ruHtqUOQnja8v5RaKw_13_2"/>
      <w:bookmarkStart w:id="108" w:name="Tc__QSwLsfYj0CM3EV5qU-4QQ_13_0"/>
      <w:bookmarkStart w:id="109" w:name="Tc_PkkFP-pDBUqW_u_RoCUbOw_12_0"/>
      <w:bookmarkStart w:id="110" w:name="Tc_aQhBfNL1vUaeZm0q1xdTXg_11_0"/>
      <w:bookmarkStart w:id="111" w:name="Tc_woOrXQA_Q0ezRLwN1bFBVQ_10_0"/>
      <w:bookmarkStart w:id="112" w:name="Tc_KuTF9O1H_0-CIyEj_D7wHg_9_0"/>
      <w:bookmarkStart w:id="113" w:name="Tc_WfS5n8guk0-nBbQhw-jPFw_8_0"/>
      <w:bookmarkStart w:id="114" w:name="Tc_9lCeNhqT3E-qD5Kk44xlZw_7_0"/>
      <w:bookmarkStart w:id="115" w:name="Tc_Hv9fMiKNj0eCcW4uG4KSmA_6_0"/>
      <w:bookmarkStart w:id="116" w:name="Tc_ry7bINWk6UuXs_SPBnQU7A_5_5"/>
      <w:bookmarkStart w:id="117" w:name="Tc_F5jxCxxTgk-H6emM2KfqtA_5_2"/>
      <w:bookmarkStart w:id="118" w:name="Tc_jDRWCJf7jUWj8jHiGQNfdg_5_0"/>
      <w:bookmarkStart w:id="119" w:name="Tc_kHtQAZDF5E-dt6Ibnzaxqw_4_0"/>
      <w:bookmarkStart w:id="120" w:name="Tc_cpSnAiPDcUCAMHoLvOYwcg_3_0"/>
      <w:bookmarkStart w:id="121" w:name="Tc_47oMtJwemUefCKglHhNBuw_2_5"/>
      <w:bookmarkStart w:id="122" w:name="Tc_XLgM6WGw0k-mmGiCXKwkVw_2_2"/>
      <w:bookmarkStart w:id="123" w:name="Tc_jyyKFBlTFk2FJB8Vqqts2w_1_5"/>
      <w:bookmarkStart w:id="124" w:name="Tc_vDs85XGP8UuxQ4bea40arA_1_2"/>
      <w:bookmarkStart w:id="125" w:name="_a954118e_803a_45fd_8f19_da53077d6187"/>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p>
    <w:tbl>
      <w:tblPr>
        <w:tblW w:w="10205" w:type="dxa"/>
        <w:jc w:val="left"/>
        <w:tblInd w:w="0" w:type="dxa"/>
        <w:tblLayout w:type="fixed"/>
        <w:tblCellMar>
          <w:top w:w="0" w:type="dxa"/>
          <w:left w:w="0" w:type="dxa"/>
          <w:bottom w:w="0" w:type="dxa"/>
          <w:right w:w="0" w:type="dxa"/>
        </w:tblCellMar>
      </w:tblPr>
      <w:tblGrid>
        <w:gridCol w:w="7269"/>
        <w:gridCol w:w="326"/>
        <w:gridCol w:w="211"/>
        <w:gridCol w:w="874"/>
        <w:gridCol w:w="326"/>
        <w:gridCol w:w="215"/>
        <w:gridCol w:w="984"/>
      </w:tblGrid>
      <w:tr>
        <w:trPr/>
        <w:tc>
          <w:tcPr>
            <w:tcW w:w="726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07010" cy="175260"/>
                      <wp:effectExtent l="0" t="0" r="0" b="0"/>
                      <wp:wrapNone/>
                      <wp:docPr id="7" name="Frame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33985" cy="175260"/>
                      <wp:effectExtent l="0" t="0" r="0" b="0"/>
                      <wp:wrapNone/>
                      <wp:docPr id="8" name="Frame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554990" cy="175260"/>
                      <wp:effectExtent l="0" t="0" r="0" b="0"/>
                      <wp:wrapNone/>
                      <wp:docPr id="9" name="Frame9"/>
                      <a:graphic xmlns:a="http://schemas.openxmlformats.org/drawingml/2006/main">
                        <a:graphicData uri="http://schemas.microsoft.com/office/word/2010/wordprocessingShape">
                          <wps:wsp>
                            <wps:cNvSpPr txBox="1"/>
                            <wps:spPr>
                              <a:xfrm>
                                <a:off x="0" y="0"/>
                                <a:ext cx="554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10" name="Frame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6525" cy="175260"/>
                      <wp:effectExtent l="0" t="0" r="0" b="0"/>
                      <wp:wrapNone/>
                      <wp:docPr id="11" name="Frame11"/>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24840" cy="175260"/>
                      <wp:effectExtent l="0" t="0" r="0" b="0"/>
                      <wp:wrapNone/>
                      <wp:docPr id="12" name="Frame12"/>
                      <a:graphic xmlns:a="http://schemas.openxmlformats.org/drawingml/2006/main">
                        <a:graphicData uri="http://schemas.microsoft.com/office/word/2010/wordprocessingShape">
                          <wps:wsp>
                            <wps:cNvSpPr txBox="1"/>
                            <wps:spPr>
                              <a:xfrm>
                                <a:off x="0" y="0"/>
                                <a:ext cx="624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26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85"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March 31, </w:t>
            </w:r>
          </w:p>
        </w:tc>
        <w:tc>
          <w:tcPr>
            <w:tcW w:w="326" w:type="dxa"/>
            <w:tcBorders/>
            <w:vAlign w:val="center"/>
          </w:tcPr>
          <w:p>
            <w:pPr>
              <w:pStyle w:val="TableContents"/>
              <w:bidi w:val="0"/>
              <w:spacing w:before="0" w:after="0"/>
              <w:ind w:left="0" w:right="0" w:hanging="0"/>
              <w:jc w:val="center"/>
              <w:rPr/>
            </w:pPr>
            <w:r>
              <w:rPr/>
              <w:t>    </w:t>
            </w:r>
          </w:p>
        </w:tc>
        <w:tc>
          <w:tcPr>
            <w:tcW w:w="1199"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726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vAlign w:val="center"/>
          </w:tcPr>
          <w:p>
            <w:pPr>
              <w:pStyle w:val="TableContents"/>
              <w:bidi w:val="0"/>
              <w:spacing w:before="0" w:after="0"/>
              <w:ind w:left="0" w:right="0" w:hanging="0"/>
              <w:jc w:val="center"/>
              <w:rPr/>
            </w:pPr>
            <w:r>
              <w:rPr/>
              <w:t>​</w:t>
            </w:r>
          </w:p>
        </w:tc>
        <w:tc>
          <w:tcPr>
            <w:tcW w:w="11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r>
      <w:tr>
        <w:trPr/>
        <w:tc>
          <w:tcPr>
            <w:tcW w:w="7269"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Assets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5"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pPr>
            <w:r>
              <w:rPr/>
              <w:t>  </w:t>
            </w:r>
          </w:p>
        </w:tc>
      </w:tr>
      <w:tr>
        <w:trPr/>
        <w:tc>
          <w:tcPr>
            <w:tcW w:w="7269"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Current assets: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pPr>
            <w:r>
              <w:rPr/>
              <w:t>  </w:t>
            </w:r>
          </w:p>
        </w:tc>
      </w:tr>
      <w:tr>
        <w:trPr/>
        <w:tc>
          <w:tcPr>
            <w:tcW w:w="7269"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7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103,276</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8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106,194</w:t>
            </w:r>
          </w:p>
        </w:tc>
      </w:tr>
      <w:tr>
        <w:trPr/>
        <w:tc>
          <w:tcPr>
            <w:tcW w:w="7269"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Accounts receivable, net of allowances of $641 and $679, respectively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6,434</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 </w:t>
            </w:r>
          </w:p>
        </w:tc>
        <w:tc>
          <w:tcPr>
            <w:tcW w:w="98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5,504</w:t>
            </w:r>
          </w:p>
        </w:tc>
      </w:tr>
      <w:tr>
        <w:trPr/>
        <w:tc>
          <w:tcPr>
            <w:tcW w:w="7269"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Inventory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7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8,241</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 </w:t>
            </w:r>
          </w:p>
        </w:tc>
        <w:tc>
          <w:tcPr>
            <w:tcW w:w="98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6,957</w:t>
            </w:r>
          </w:p>
        </w:tc>
      </w:tr>
      <w:tr>
        <w:trPr/>
        <w:tc>
          <w:tcPr>
            <w:tcW w:w="7269"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Prepaid expenses and other current assets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2,631</w:t>
            </w:r>
          </w:p>
        </w:tc>
        <w:tc>
          <w:tcPr>
            <w:tcW w:w="326"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4,223</w:t>
            </w:r>
          </w:p>
        </w:tc>
      </w:tr>
      <w:tr>
        <w:trPr/>
        <w:tc>
          <w:tcPr>
            <w:tcW w:w="7269"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7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120,582</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 </w:t>
            </w:r>
          </w:p>
        </w:tc>
        <w:tc>
          <w:tcPr>
            <w:tcW w:w="98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122,878</w:t>
            </w:r>
          </w:p>
        </w:tc>
      </w:tr>
      <w:tr>
        <w:trPr/>
        <w:tc>
          <w:tcPr>
            <w:tcW w:w="7269"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Property and equipment,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1,805</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 </w:t>
            </w:r>
          </w:p>
        </w:tc>
        <w:tc>
          <w:tcPr>
            <w:tcW w:w="98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1,698</w:t>
            </w:r>
          </w:p>
        </w:tc>
      </w:tr>
      <w:tr>
        <w:trPr/>
        <w:tc>
          <w:tcPr>
            <w:tcW w:w="7269"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lease right-of-use asset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277</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334</w:t>
            </w:r>
          </w:p>
        </w:tc>
      </w:tr>
      <w:tr>
        <w:trPr/>
        <w:tc>
          <w:tcPr>
            <w:tcW w:w="7269"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non-current assets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w:t>
            </w:r>
          </w:p>
        </w:tc>
        <w:tc>
          <w:tcPr>
            <w:tcW w:w="326"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w:t>
            </w:r>
          </w:p>
        </w:tc>
      </w:tr>
      <w:tr>
        <w:trPr/>
        <w:tc>
          <w:tcPr>
            <w:tcW w:w="7269"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122,691</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124,937</w:t>
            </w:r>
          </w:p>
        </w:tc>
      </w:tr>
      <w:tr>
        <w:trPr/>
        <w:tc>
          <w:tcPr>
            <w:tcW w:w="7269"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Liabilities and Stockholders’ Equity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 </w:t>
            </w:r>
          </w:p>
        </w:tc>
        <w:tc>
          <w:tcPr>
            <w:tcW w:w="984" w:type="dxa"/>
            <w:tcBorders/>
            <w:vAlign w:val="center"/>
          </w:tcPr>
          <w:p>
            <w:pPr>
              <w:pStyle w:val="TableContents"/>
              <w:bidi w:val="0"/>
              <w:spacing w:before="0" w:after="0"/>
              <w:ind w:left="0" w:right="0" w:hanging="0"/>
              <w:jc w:val="right"/>
              <w:rPr/>
            </w:pPr>
            <w:r>
              <w:rPr/>
              <w:t>  </w:t>
            </w:r>
          </w:p>
        </w:tc>
      </w:tr>
      <w:tr>
        <w:trPr/>
        <w:tc>
          <w:tcPr>
            <w:tcW w:w="7269"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7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 </w:t>
            </w:r>
          </w:p>
        </w:tc>
        <w:tc>
          <w:tcPr>
            <w:tcW w:w="984" w:type="dxa"/>
            <w:tcBorders/>
            <w:shd w:fill="CCEEFF" w:val="clear"/>
            <w:vAlign w:val="center"/>
          </w:tcPr>
          <w:p>
            <w:pPr>
              <w:pStyle w:val="TableContents"/>
              <w:bidi w:val="0"/>
              <w:spacing w:before="0" w:after="0"/>
              <w:ind w:left="0" w:right="0" w:hanging="0"/>
              <w:jc w:val="right"/>
              <w:rPr/>
            </w:pPr>
            <w:r>
              <w:rPr/>
              <w:t>  </w:t>
            </w:r>
          </w:p>
        </w:tc>
      </w:tr>
      <w:tr>
        <w:trPr/>
        <w:tc>
          <w:tcPr>
            <w:tcW w:w="7269"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Accounts payable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7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1,996</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8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1,719</w:t>
            </w:r>
          </w:p>
        </w:tc>
      </w:tr>
      <w:tr>
        <w:trPr/>
        <w:tc>
          <w:tcPr>
            <w:tcW w:w="7269"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Accrued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5,961</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6,369</w:t>
            </w:r>
          </w:p>
        </w:tc>
      </w:tr>
      <w:tr>
        <w:trPr/>
        <w:tc>
          <w:tcPr>
            <w:tcW w:w="7269"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current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7,957</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 </w:t>
            </w:r>
          </w:p>
        </w:tc>
        <w:tc>
          <w:tcPr>
            <w:tcW w:w="98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8,088</w:t>
            </w:r>
          </w:p>
        </w:tc>
      </w:tr>
      <w:tr>
        <w:trPr/>
        <w:tc>
          <w:tcPr>
            <w:tcW w:w="7269"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Long-term debt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14,218</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6,747</w:t>
            </w:r>
          </w:p>
        </w:tc>
      </w:tr>
      <w:tr>
        <w:trPr/>
        <w:tc>
          <w:tcPr>
            <w:tcW w:w="7269"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lease liability, non-current portion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59</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117</w:t>
            </w:r>
          </w:p>
        </w:tc>
      </w:tr>
      <w:tr>
        <w:trPr/>
        <w:tc>
          <w:tcPr>
            <w:tcW w:w="7269"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long-term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815</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805</w:t>
            </w:r>
          </w:p>
        </w:tc>
      </w:tr>
      <w:tr>
        <w:trPr/>
        <w:tc>
          <w:tcPr>
            <w:tcW w:w="7269"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74"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23,049</w:t>
            </w:r>
          </w:p>
        </w:tc>
        <w:tc>
          <w:tcPr>
            <w:tcW w:w="326" w:type="dxa"/>
            <w:tcBorders/>
            <w:vAlign w:val="center"/>
          </w:tcPr>
          <w:p>
            <w:pPr>
              <w:pStyle w:val="TableContents"/>
              <w:bidi w:val="0"/>
              <w:spacing w:before="0" w:after="0"/>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84"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15,757</w:t>
            </w:r>
          </w:p>
        </w:tc>
      </w:tr>
      <w:tr>
        <w:trPr/>
        <w:tc>
          <w:tcPr>
            <w:tcW w:w="7269"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Commitments and contingencies (Note 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7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 </w:t>
            </w:r>
          </w:p>
        </w:tc>
        <w:tc>
          <w:tcPr>
            <w:tcW w:w="984" w:type="dxa"/>
            <w:tcBorders/>
            <w:shd w:fill="CCEEFF" w:val="clear"/>
            <w:vAlign w:val="center"/>
          </w:tcPr>
          <w:p>
            <w:pPr>
              <w:pStyle w:val="TableContents"/>
              <w:bidi w:val="0"/>
              <w:spacing w:before="0" w:after="0"/>
              <w:ind w:left="0" w:right="0" w:hanging="0"/>
              <w:jc w:val="right"/>
              <w:rPr/>
            </w:pPr>
            <w:r>
              <w:rPr/>
              <w:t>  </w:t>
            </w:r>
          </w:p>
        </w:tc>
      </w:tr>
      <w:tr>
        <w:trPr/>
        <w:tc>
          <w:tcPr>
            <w:tcW w:w="7269"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Stockholders’ equity: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 </w:t>
            </w:r>
          </w:p>
        </w:tc>
        <w:tc>
          <w:tcPr>
            <w:tcW w:w="984" w:type="dxa"/>
            <w:tcBorders/>
            <w:vAlign w:val="center"/>
          </w:tcPr>
          <w:p>
            <w:pPr>
              <w:pStyle w:val="TableContents"/>
              <w:bidi w:val="0"/>
              <w:spacing w:before="0" w:after="0"/>
              <w:ind w:left="0" w:right="0" w:hanging="0"/>
              <w:jc w:val="right"/>
              <w:rPr/>
            </w:pPr>
            <w:r>
              <w:rPr/>
              <w:t xml:space="preserve">   </w:t>
            </w:r>
          </w:p>
        </w:tc>
      </w:tr>
      <w:tr>
        <w:trPr/>
        <w:tc>
          <w:tcPr>
            <w:tcW w:w="7269"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Common stock, $0.01 par value, 200,000,000 authorized as of March 31, 2023 and December 31, 2022; 20,708,940 and 20,633,736 shares </w:t>
            </w:r>
            <w:r>
              <w:rPr>
                <w:rFonts w:ascii="Arial;Helvetica;sans-serif" w:hAnsi="Arial;Helvetica;sans-serif"/>
                <w:b w:val="false"/>
                <w:i w:val="false"/>
                <w:caps w:val="false"/>
                <w:smallCaps w:val="false"/>
                <w:sz w:val="20"/>
              </w:rPr>
              <w:t>issued</w:t>
            </w:r>
            <w:r>
              <w:rPr>
                <w:rFonts w:ascii="Arial;Helvetica;sans-serif" w:hAnsi="Arial;Helvetica;sans-serif"/>
                <w:sz w:val="20"/>
              </w:rPr>
              <w:t xml:space="preserve"> and </w:t>
            </w:r>
            <w:r>
              <w:rPr>
                <w:rFonts w:ascii="Arial;Helvetica;sans-serif" w:hAnsi="Arial;Helvetica;sans-serif"/>
                <w:b w:val="false"/>
                <w:i w:val="false"/>
                <w:caps w:val="false"/>
                <w:smallCaps w:val="false"/>
                <w:sz w:val="20"/>
              </w:rPr>
              <w:t>outstanding</w:t>
            </w:r>
            <w:r>
              <w:rPr>
                <w:rFonts w:ascii="Arial;Helvetica;sans-serif" w:hAnsi="Arial;Helvetica;sans-serif"/>
                <w:sz w:val="20"/>
              </w:rPr>
              <w:t xml:space="preserve"> as of March 31, 2023 and December 31, 2022, respectively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7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207</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 </w:t>
            </w:r>
          </w:p>
        </w:tc>
        <w:tc>
          <w:tcPr>
            <w:tcW w:w="98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207</w:t>
            </w:r>
          </w:p>
        </w:tc>
      </w:tr>
      <w:tr>
        <w:trPr/>
        <w:tc>
          <w:tcPr>
            <w:tcW w:w="7269"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Additional paid-in capital</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547,195</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 </w:t>
            </w:r>
          </w:p>
        </w:tc>
        <w:tc>
          <w:tcPr>
            <w:tcW w:w="98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545,362</w:t>
            </w:r>
          </w:p>
        </w:tc>
      </w:tr>
      <w:tr>
        <w:trPr/>
        <w:tc>
          <w:tcPr>
            <w:tcW w:w="7269"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Accumulated deficit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7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(447,556)</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 </w:t>
            </w:r>
          </w:p>
        </w:tc>
        <w:tc>
          <w:tcPr>
            <w:tcW w:w="98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(436,182)</w:t>
            </w:r>
          </w:p>
        </w:tc>
      </w:tr>
      <w:tr>
        <w:trPr/>
        <w:tc>
          <w:tcPr>
            <w:tcW w:w="7269"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Accumulated other comprehensive loss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(204)</w:t>
            </w:r>
          </w:p>
        </w:tc>
        <w:tc>
          <w:tcPr>
            <w:tcW w:w="326"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(207)</w:t>
            </w:r>
          </w:p>
        </w:tc>
      </w:tr>
      <w:tr>
        <w:trPr/>
        <w:tc>
          <w:tcPr>
            <w:tcW w:w="7269"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99,642</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109,180</w:t>
            </w:r>
          </w:p>
        </w:tc>
      </w:tr>
      <w:tr>
        <w:trPr/>
        <w:tc>
          <w:tcPr>
            <w:tcW w:w="7269"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liabilities and stockholders’ equity</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74"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122,691</w:t>
            </w:r>
          </w:p>
        </w:tc>
        <w:tc>
          <w:tcPr>
            <w:tcW w:w="326" w:type="dxa"/>
            <w:tcBorders/>
            <w:vAlign w:val="center"/>
          </w:tcPr>
          <w:p>
            <w:pPr>
              <w:pStyle w:val="TableContents"/>
              <w:bidi w:val="0"/>
              <w:spacing w:before="0" w:after="0"/>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84" w:type="dxa"/>
            <w:tcBorders>
              <w:bottom w:val="double" w:sz="6" w:space="0" w:color="000000"/>
            </w:tcBorders>
            <w:tcMar>
              <w:bottom w:w="28" w:type="dxa"/>
            </w:tcMar>
            <w:vAlign w:val="center"/>
          </w:tcPr>
          <w:p>
            <w:pPr>
              <w:pStyle w:val="TableContents"/>
              <w:bidi w:val="0"/>
              <w:spacing w:before="0" w:after="0"/>
              <w:ind w:left="0" w:right="72" w:hanging="0"/>
              <w:jc w:val="right"/>
              <w:rPr>
                <w:rFonts w:ascii="Arial;Helvetica;sans-serif" w:hAnsi="Arial;Helvetica;sans-serif"/>
                <w:sz w:val="20"/>
              </w:rPr>
            </w:pPr>
            <w:r>
              <w:rPr>
                <w:rFonts w:ascii="Arial;Helvetica;sans-serif" w:hAnsi="Arial;Helvetica;sans-serif"/>
                <w:sz w:val="20"/>
              </w:rPr>
              <w:t>124,937</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126" w:name="_58835a6f_10ef_44c2_a17e_ce5670b8deea"/>
      <w:bookmarkEnd w:id="126"/>
      <w:r>
        <w:rPr>
          <w:rFonts w:ascii="Arial;Helvetica;sans-serif" w:hAnsi="Arial;Helvetica;sans-serif"/>
          <w:b/>
          <w:sz w:val="20"/>
        </w:rPr>
        <w:t>CVRx, INC.</w:t>
      </w:r>
    </w:p>
    <w:p>
      <w:pPr>
        <w:pStyle w:val="TextBody"/>
        <w:bidi w:val="0"/>
        <w:spacing w:before="0" w:after="0"/>
        <w:ind w:left="0" w:right="0" w:hanging="0"/>
        <w:jc w:val="center"/>
        <w:rPr>
          <w:rFonts w:ascii="Arial;Helvetica;sans-serif" w:hAnsi="Arial;Helvetica;sans-serif"/>
          <w:sz w:val="20"/>
        </w:rPr>
      </w:pPr>
      <w:bookmarkStart w:id="127" w:name="CondensedConsolidatedStatementsofOperati"/>
      <w:bookmarkEnd w:id="127"/>
      <w:r>
        <w:rPr>
          <w:rFonts w:ascii="Arial;Helvetica;sans-serif" w:hAnsi="Arial;Helvetica;sans-serif"/>
          <w:b/>
          <w:sz w:val="20"/>
        </w:rPr>
        <w:t>Condensed Consolidated Statements of Operations</w:t>
      </w:r>
      <w:r>
        <w:rPr>
          <w:rFonts w:ascii="Arial;Helvetica;sans-serif" w:hAnsi="Arial;Helvetica;sans-serif"/>
          <w:sz w:val="20"/>
        </w:rPr>
        <w:t xml:space="preserve"> </w:t>
      </w:r>
      <w:r>
        <w:rPr>
          <w:rFonts w:ascii="Arial;Helvetica;sans-serif" w:hAnsi="Arial;Helvetica;sans-serif"/>
          <w:b/>
          <w:sz w:val="20"/>
        </w:rPr>
        <w:t>and Comprehensive Loss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 thousands, except share and per share data)</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(Unaudited)</w:t>
      </w:r>
    </w:p>
    <w:p>
      <w:pPr>
        <w:pStyle w:val="Normal"/>
        <w:bidi w:val="0"/>
        <w:spacing w:before="0" w:after="0"/>
        <w:jc w:val="left"/>
        <w:rPr>
          <w:sz w:val="4"/>
          <w:szCs w:val="4"/>
        </w:rPr>
      </w:pPr>
      <w:r>
        <w:rPr>
          <w:sz w:val="4"/>
          <w:szCs w:val="4"/>
        </w:rPr>
      </w:r>
      <w:bookmarkStart w:id="128" w:name="Tc_FQOTAzvnqE68OiYTqAZvjA_20_0"/>
      <w:bookmarkStart w:id="129" w:name="Tc_bNhLuWaRh0y19UW95RdFEw_19_0"/>
      <w:bookmarkStart w:id="130" w:name="Tc_A4DyJQajk0mPr1vc3n8WWA_18_5"/>
      <w:bookmarkStart w:id="131" w:name="Tc_F7sOZO6HkE-DoIW8gBPG0g_18_2"/>
      <w:bookmarkStart w:id="132" w:name="Tc_PwnZMImlaEq8dfojiQzvuQ_18_0"/>
      <w:bookmarkStart w:id="133" w:name="Tc_VYhLes6GwUqrd7HOqB3q0w_17_0"/>
      <w:bookmarkStart w:id="134" w:name="Tc_hsO4931t6EeLg9NjXKL8og_16_0"/>
      <w:bookmarkStart w:id="135" w:name="Tc_MYumc3lun02gsQOdbYMDLA_15_0"/>
      <w:bookmarkStart w:id="136" w:name="Tc_gtA9e6K2YEmZp8rPjhgNNA_14_0"/>
      <w:bookmarkStart w:id="137" w:name="Tc_lL6mEvGIP0SAxV1X6Ne0SQ_13_0"/>
      <w:bookmarkStart w:id="138" w:name="Tc_180Ff3JCHUOl9MffIbBiPg_12_0"/>
      <w:bookmarkStart w:id="139" w:name="Tc_BJgOQAZCW0-o4ufJ0y6ivg_11_0"/>
      <w:bookmarkStart w:id="140" w:name="Tc_McmDdINSB0u-bKzsy8zmTA_10_0"/>
      <w:bookmarkStart w:id="141" w:name="Tc_8B55Muywd0i9hh53PI14Kw_9_0"/>
      <w:bookmarkStart w:id="142" w:name="Tc_J56ky76T2EaCDENfdEnSwA_8_0"/>
      <w:bookmarkStart w:id="143" w:name="Tc_k9xf-ynXn0CI0dlk1MBIOg_7_0"/>
      <w:bookmarkStart w:id="144" w:name="Tc_wJjeXNn17kqxL5P-L79bLw_6_0"/>
      <w:bookmarkStart w:id="145" w:name="Tc_zfCzpx76ck-xRjwJ1Wpb5w_5_0"/>
      <w:bookmarkStart w:id="146" w:name="Tc_L88oGcOh_Eqz19TJ0bUcMw_4_5"/>
      <w:bookmarkStart w:id="147" w:name="Tc_CT1DvwNvzkK656YvICHx6A_4_2"/>
      <w:bookmarkStart w:id="148" w:name="Tc_p-w3mjlyF0moCnvv5S5Bdw_4_0"/>
      <w:bookmarkStart w:id="149" w:name="Tc_I0J-xgp0eU67RSAbJ7tUBg_3_5"/>
      <w:bookmarkStart w:id="150" w:name="Tc_LG6yECoaqUatEprCp9Glpw_3_2"/>
      <w:bookmarkStart w:id="151" w:name="Tc_Htdb10168kGqF3kgDDKbmw_2_2"/>
      <w:bookmarkStart w:id="152" w:name="Tc_kWGkzSpQ9UK1HqccNhnTuA_1_2"/>
      <w:bookmarkStart w:id="153" w:name="_579d41a3_9f33_4f4c_acf4_58e7bb942d61"/>
      <w:bookmarkStart w:id="154" w:name="Tc_FQOTAzvnqE68OiYTqAZvjA_20_0"/>
      <w:bookmarkStart w:id="155" w:name="Tc_bNhLuWaRh0y19UW95RdFEw_19_0"/>
      <w:bookmarkStart w:id="156" w:name="Tc_A4DyJQajk0mPr1vc3n8WWA_18_5"/>
      <w:bookmarkStart w:id="157" w:name="Tc_F7sOZO6HkE-DoIW8gBPG0g_18_2"/>
      <w:bookmarkStart w:id="158" w:name="Tc_PwnZMImlaEq8dfojiQzvuQ_18_0"/>
      <w:bookmarkStart w:id="159" w:name="Tc_VYhLes6GwUqrd7HOqB3q0w_17_0"/>
      <w:bookmarkStart w:id="160" w:name="Tc_hsO4931t6EeLg9NjXKL8og_16_0"/>
      <w:bookmarkStart w:id="161" w:name="Tc_MYumc3lun02gsQOdbYMDLA_15_0"/>
      <w:bookmarkStart w:id="162" w:name="Tc_gtA9e6K2YEmZp8rPjhgNNA_14_0"/>
      <w:bookmarkStart w:id="163" w:name="Tc_lL6mEvGIP0SAxV1X6Ne0SQ_13_0"/>
      <w:bookmarkStart w:id="164" w:name="Tc_180Ff3JCHUOl9MffIbBiPg_12_0"/>
      <w:bookmarkStart w:id="165" w:name="Tc_BJgOQAZCW0-o4ufJ0y6ivg_11_0"/>
      <w:bookmarkStart w:id="166" w:name="Tc_McmDdINSB0u-bKzsy8zmTA_10_0"/>
      <w:bookmarkStart w:id="167" w:name="Tc_8B55Muywd0i9hh53PI14Kw_9_0"/>
      <w:bookmarkStart w:id="168" w:name="Tc_J56ky76T2EaCDENfdEnSwA_8_0"/>
      <w:bookmarkStart w:id="169" w:name="Tc_k9xf-ynXn0CI0dlk1MBIOg_7_0"/>
      <w:bookmarkStart w:id="170" w:name="Tc_wJjeXNn17kqxL5P-L79bLw_6_0"/>
      <w:bookmarkStart w:id="171" w:name="Tc_zfCzpx76ck-xRjwJ1Wpb5w_5_0"/>
      <w:bookmarkStart w:id="172" w:name="Tc_L88oGcOh_Eqz19TJ0bUcMw_4_5"/>
      <w:bookmarkStart w:id="173" w:name="Tc_CT1DvwNvzkK656YvICHx6A_4_2"/>
      <w:bookmarkStart w:id="174" w:name="Tc_p-w3mjlyF0moCnvv5S5Bdw_4_0"/>
      <w:bookmarkStart w:id="175" w:name="Tc_I0J-xgp0eU67RSAbJ7tUBg_3_5"/>
      <w:bookmarkStart w:id="176" w:name="Tc_LG6yECoaqUatEprCp9Glpw_3_2"/>
      <w:bookmarkStart w:id="177" w:name="Tc_Htdb10168kGqF3kgDDKbmw_2_2"/>
      <w:bookmarkStart w:id="178" w:name="Tc_kWGkzSpQ9UK1HqccNhnTuA_1_2"/>
      <w:bookmarkStart w:id="179" w:name="_579d41a3_9f33_4f4c_acf4_58e7bb942d61"/>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p>
    <w:tbl>
      <w:tblPr>
        <w:tblW w:w="10205" w:type="dxa"/>
        <w:jc w:val="left"/>
        <w:tblInd w:w="0" w:type="dxa"/>
        <w:tblLayout w:type="fixed"/>
        <w:tblCellMar>
          <w:top w:w="0" w:type="dxa"/>
          <w:left w:w="0" w:type="dxa"/>
          <w:bottom w:w="0" w:type="dxa"/>
          <w:right w:w="0" w:type="dxa"/>
        </w:tblCellMar>
      </w:tblPr>
      <w:tblGrid>
        <w:gridCol w:w="6882"/>
        <w:gridCol w:w="326"/>
        <w:gridCol w:w="211"/>
        <w:gridCol w:w="1066"/>
        <w:gridCol w:w="326"/>
        <w:gridCol w:w="211"/>
        <w:gridCol w:w="1183"/>
      </w:tblGrid>
      <w:tr>
        <w:trPr/>
        <w:tc>
          <w:tcPr>
            <w:tcW w:w="68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07010" cy="175260"/>
                      <wp:effectExtent l="0" t="0" r="0" b="0"/>
                      <wp:wrapNone/>
                      <wp:docPr id="13" name="Frame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985" cy="175260"/>
                      <wp:effectExtent l="0" t="0" r="0" b="0"/>
                      <wp:wrapNone/>
                      <wp:docPr id="14" name="Frame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76910" cy="175260"/>
                      <wp:effectExtent l="0" t="0" r="0" b="0"/>
                      <wp:wrapNone/>
                      <wp:docPr id="15" name="Frame15"/>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7010" cy="175260"/>
                      <wp:effectExtent l="0" t="0" r="0" b="0"/>
                      <wp:wrapNone/>
                      <wp:docPr id="16" name="Frame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7" name="Frame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751205" cy="175260"/>
                      <wp:effectExtent l="0" t="0" r="0" b="0"/>
                      <wp:wrapNone/>
                      <wp:docPr id="18" name="Frame18"/>
                      <a:graphic xmlns:a="http://schemas.openxmlformats.org/drawingml/2006/main">
                        <a:graphicData uri="http://schemas.microsoft.com/office/word/2010/wordprocessingShape">
                          <wps:wsp>
                            <wps:cNvSpPr txBox="1"/>
                            <wps:spPr>
                              <a:xfrm>
                                <a:off x="0" y="0"/>
                                <a:ext cx="751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8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997" w:type="dxa"/>
            <w:gridSpan w:val="5"/>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r>
      <w:tr>
        <w:trPr/>
        <w:tc>
          <w:tcPr>
            <w:tcW w:w="68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99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March 31, </w:t>
            </w:r>
          </w:p>
        </w:tc>
      </w:tr>
      <w:tr>
        <w:trPr/>
        <w:tc>
          <w:tcPr>
            <w:tcW w:w="68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2023</w:t>
            </w:r>
          </w:p>
        </w:tc>
        <w:tc>
          <w:tcPr>
            <w:tcW w:w="326" w:type="dxa"/>
            <w:tcBorders/>
            <w:vAlign w:val="center"/>
          </w:tcPr>
          <w:p>
            <w:pPr>
              <w:pStyle w:val="TableContents"/>
              <w:bidi w:val="0"/>
              <w:spacing w:before="0" w:after="0"/>
              <w:ind w:left="0" w:right="0" w:hanging="0"/>
              <w:jc w:val="center"/>
              <w:rPr/>
            </w:pPr>
            <w:r>
              <w:rPr/>
              <w:t>    </w:t>
            </w:r>
          </w:p>
        </w:tc>
        <w:tc>
          <w:tcPr>
            <w:tcW w:w="13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2022</w:t>
            </w:r>
          </w:p>
        </w:tc>
      </w:tr>
      <w:tr>
        <w:trPr/>
        <w:tc>
          <w:tcPr>
            <w:tcW w:w="6882"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7,979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8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4,076</w:t>
            </w:r>
          </w:p>
        </w:tc>
      </w:tr>
      <w:tr>
        <w:trPr/>
        <w:tc>
          <w:tcPr>
            <w:tcW w:w="688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Cost of goods sold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1,328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8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949</w:t>
            </w:r>
          </w:p>
        </w:tc>
      </w:tr>
      <w:tr>
        <w:trPr/>
        <w:tc>
          <w:tcPr>
            <w:tcW w:w="6882"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6,651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3,127</w:t>
            </w:r>
          </w:p>
        </w:tc>
      </w:tr>
      <w:tr>
        <w:trPr/>
        <w:tc>
          <w:tcPr>
            <w:tcW w:w="688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83" w:type="dxa"/>
            <w:tcBorders/>
            <w:vAlign w:val="center"/>
          </w:tcPr>
          <w:p>
            <w:pPr>
              <w:pStyle w:val="TableContents"/>
              <w:bidi w:val="0"/>
              <w:spacing w:before="0" w:after="0"/>
              <w:ind w:left="0" w:right="0" w:hanging="0"/>
              <w:jc w:val="right"/>
              <w:rPr/>
            </w:pPr>
            <w:r>
              <w:rPr/>
              <w:t>  </w:t>
            </w:r>
          </w:p>
        </w:tc>
      </w:tr>
      <w:tr>
        <w:trPr/>
        <w:tc>
          <w:tcPr>
            <w:tcW w:w="6882"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3,416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8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2,258</w:t>
            </w:r>
          </w:p>
        </w:tc>
      </w:tr>
      <w:tr>
        <w:trPr/>
        <w:tc>
          <w:tcPr>
            <w:tcW w:w="688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Selling, general and administrative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15,397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8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10,777</w:t>
            </w:r>
          </w:p>
        </w:tc>
      </w:tr>
      <w:tr>
        <w:trPr/>
        <w:tc>
          <w:tcPr>
            <w:tcW w:w="6882"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18,813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13,035</w:t>
            </w:r>
          </w:p>
        </w:tc>
      </w:tr>
      <w:tr>
        <w:trPr/>
        <w:tc>
          <w:tcPr>
            <w:tcW w:w="688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Loss from operations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(12,162)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8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(9,908)</w:t>
            </w:r>
          </w:p>
        </w:tc>
      </w:tr>
      <w:tr>
        <w:trPr/>
        <w:tc>
          <w:tcPr>
            <w:tcW w:w="6882"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83" w:type="dxa"/>
            <w:tcBorders/>
            <w:shd w:fill="CCEEFF" w:val="clear"/>
            <w:vAlign w:val="center"/>
          </w:tcPr>
          <w:p>
            <w:pPr>
              <w:pStyle w:val="TableContents"/>
              <w:bidi w:val="0"/>
              <w:spacing w:before="0" w:after="0"/>
              <w:ind w:left="0" w:right="0" w:hanging="0"/>
              <w:jc w:val="right"/>
              <w:rPr/>
            </w:pPr>
            <w:r>
              <w:rPr/>
              <w:t>—</w:t>
            </w:r>
          </w:p>
        </w:tc>
      </w:tr>
      <w:tr>
        <w:trPr/>
        <w:tc>
          <w:tcPr>
            <w:tcW w:w="688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income (expense),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1,062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8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w:t>
            </w:r>
          </w:p>
        </w:tc>
      </w:tr>
      <w:tr>
        <w:trPr/>
        <w:tc>
          <w:tcPr>
            <w:tcW w:w="6882"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Loss before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(11,340)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8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(9,965)</w:t>
            </w:r>
          </w:p>
        </w:tc>
      </w:tr>
      <w:tr>
        <w:trPr/>
        <w:tc>
          <w:tcPr>
            <w:tcW w:w="688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Provision for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8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w:t>
            </w:r>
          </w:p>
        </w:tc>
      </w:tr>
      <w:tr>
        <w:trPr/>
        <w:tc>
          <w:tcPr>
            <w:tcW w:w="6882"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(11,374)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8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(9,991)</w:t>
            </w:r>
          </w:p>
        </w:tc>
      </w:tr>
      <w:tr>
        <w:trPr/>
        <w:tc>
          <w:tcPr>
            <w:tcW w:w="688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Cumulative translation adjustment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8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w:t>
            </w:r>
          </w:p>
        </w:tc>
      </w:tr>
      <w:tr>
        <w:trPr/>
        <w:tc>
          <w:tcPr>
            <w:tcW w:w="6882"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Comprehensive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(11,371)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(9,997)</w:t>
            </w:r>
          </w:p>
        </w:tc>
      </w:tr>
      <w:tr>
        <w:trPr/>
        <w:tc>
          <w:tcPr>
            <w:tcW w:w="688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loss per share, basic and diluted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(0.55)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118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(0.49)</w:t>
            </w:r>
          </w:p>
        </w:tc>
      </w:tr>
      <w:tr>
        <w:trPr/>
        <w:tc>
          <w:tcPr>
            <w:tcW w:w="6882"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Weighted-average common shares used to compute net loss per share, basic and diluted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20,693,224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83" w:type="dxa"/>
            <w:tcBorders/>
            <w:shd w:fill="CCEEFF" w:val="clear"/>
            <w:vAlign w:val="center"/>
          </w:tcPr>
          <w:p>
            <w:pPr>
              <w:pStyle w:val="TableContents"/>
              <w:bidi w:val="0"/>
              <w:spacing w:before="0" w:after="0"/>
              <w:ind w:left="0" w:right="72" w:hanging="0"/>
              <w:jc w:val="right"/>
              <w:rPr>
                <w:rFonts w:ascii="Arial;Helvetica;sans-serif" w:hAnsi="Arial;Helvetica;sans-serif"/>
                <w:sz w:val="20"/>
              </w:rPr>
            </w:pPr>
            <w:r>
              <w:rPr>
                <w:rFonts w:ascii="Arial;Helvetica;sans-serif" w:hAnsi="Arial;Helvetica;sans-serif"/>
                <w:sz w:val="20"/>
              </w:rPr>
              <w:t>20,453,341</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20"/>
        </w:rPr>
      </w:pPr>
      <w:bookmarkStart w:id="180" w:name="_d9b94936_0e24_4a47_88c5_8d555eaffe20"/>
      <w:bookmarkEnd w:id="180"/>
      <w:r>
        <w:rPr>
          <w:rFonts w:ascii="Arial;Helvetica;sans-serif" w:hAnsi="Arial;Helvetica;sans-serif"/>
          <w:b/>
          <w:sz w:val="20"/>
        </w:rPr>
        <w:t>CVRx, INC.</w:t>
      </w:r>
    </w:p>
    <w:p>
      <w:pPr>
        <w:pStyle w:val="TextBody"/>
        <w:bidi w:val="0"/>
        <w:spacing w:before="0" w:after="0"/>
        <w:ind w:left="0" w:right="0" w:hanging="0"/>
        <w:jc w:val="center"/>
        <w:rPr>
          <w:rFonts w:ascii="Arial;Helvetica;sans-serif" w:hAnsi="Arial;Helvetica;sans-serif"/>
          <w:b/>
          <w:sz w:val="20"/>
        </w:rPr>
      </w:pPr>
      <w:bookmarkStart w:id="181" w:name="CondensedConsolidatedStatementsofConvert"/>
      <w:bookmarkEnd w:id="181"/>
      <w:r>
        <w:rPr>
          <w:rFonts w:ascii="Arial;Helvetica;sans-serif" w:hAnsi="Arial;Helvetica;sans-serif"/>
          <w:b/>
          <w:sz w:val="20"/>
        </w:rPr>
        <w:t>Condensed Consolidated Statements of Stockholders’ Equity</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 thousands, except share data)</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(Unaudited)</w:t>
      </w:r>
    </w:p>
    <w:p>
      <w:pPr>
        <w:pStyle w:val="Normal"/>
        <w:bidi w:val="0"/>
        <w:spacing w:before="0" w:after="0"/>
        <w:jc w:val="left"/>
        <w:rPr>
          <w:sz w:val="4"/>
          <w:szCs w:val="4"/>
        </w:rPr>
      </w:pPr>
      <w:r>
        <w:rPr>
          <w:sz w:val="4"/>
          <w:szCs w:val="4"/>
        </w:rPr>
      </w:r>
      <w:bookmarkStart w:id="182" w:name="Tc_9fpXixi2xUu5pfcBSrRiqQ_17_16"/>
      <w:bookmarkStart w:id="183" w:name="Tc_rCNA26IqzUOEIUyzTEY1Sw_17_13"/>
      <w:bookmarkStart w:id="184" w:name="Tc_FTbmJlr6d0q-AyzRdrJT1w_17_10"/>
      <w:bookmarkStart w:id="185" w:name="Tc_aYr5XC9GoUmOfcwnjKjncw_17_7"/>
      <w:bookmarkStart w:id="186" w:name="Tc_ZOxh2bdqHEyr1OJtTDJhhA_17_4"/>
      <w:bookmarkStart w:id="187" w:name="Tc_alvQ_q1WCk2R71GPiwA2Vg_17_0"/>
      <w:bookmarkStart w:id="188" w:name="Tc_TKubNByyk0OtO0GwXWU8VA_16_11"/>
      <w:bookmarkStart w:id="189" w:name="Tc_L4LKnIAVuU-nm_zlrnW_Kg_16_8"/>
      <w:bookmarkStart w:id="190" w:name="Tc_4hfplGGKWE-btIvbpJt1mg_16_5"/>
      <w:bookmarkStart w:id="191" w:name="Tc_9VVEsYa1oUiZJUSItopTZQ_16_2"/>
      <w:bookmarkStart w:id="192" w:name="Tc_J0DDMVInOkqMAZV6AikcSQ_16_0"/>
      <w:bookmarkStart w:id="193" w:name="Tc_mtPHm7h280CvEJiC6jvc_g_15_14"/>
      <w:bookmarkStart w:id="194" w:name="Tc_YP5yI8mX4EyABZzAcJzLpw_15_8"/>
      <w:bookmarkStart w:id="195" w:name="Tc_nsdBFTPyqU-YU-LkfMCkTg_15_5"/>
      <w:bookmarkStart w:id="196" w:name="Tc_46EyqSx5HU2yWsfcofOvnw_15_2"/>
      <w:bookmarkStart w:id="197" w:name="Tc_LQtZqPtHI06-imzIUKPlKQ_15_0"/>
      <w:bookmarkStart w:id="198" w:name="Tc_qVv-O9FauUuJePfORMEZDg_14_14"/>
      <w:bookmarkStart w:id="199" w:name="Tc_Eyewh-o1_kuDEDOs-6IHVg_14_11"/>
      <w:bookmarkStart w:id="200" w:name="Tc_2sjObCA5tUaHjfOrZK_e1A_14_5"/>
      <w:bookmarkStart w:id="201" w:name="Tc_NTTTn10JPk6rJr8LuztSRw_14_2"/>
      <w:bookmarkStart w:id="202" w:name="Tc_EME79_tbpkOTwfjfmxvcZQ_14_0"/>
      <w:bookmarkStart w:id="203" w:name="Tc_v2FntGIpnkejmPFBjqGYLw_13_14"/>
      <w:bookmarkStart w:id="204" w:name="Tc_fwU3Yp8ovEyBxcJjDrwzKA_13_11"/>
      <w:bookmarkStart w:id="205" w:name="Tc__ORvu3C3Lk2cLVrtLF1sgQ_13_0"/>
      <w:bookmarkStart w:id="206" w:name="Tc_jQcML0SYmkyMKuvlW_ILIg_12_16"/>
      <w:bookmarkStart w:id="207" w:name="Tc_3-xEpOKYPk6xO0Uxbqr0ig_12_13"/>
      <w:bookmarkStart w:id="208" w:name="Tc_GHPljNbtz0iCdbxw1Bai3w_12_10"/>
      <w:bookmarkStart w:id="209" w:name="Tc_b35xUhKPYkKsn8uC2is86w_12_7"/>
      <w:bookmarkStart w:id="210" w:name="Tc_cQxnE-XoZ0WJuaXADRd28A_12_4"/>
      <w:bookmarkStart w:id="211" w:name="Tc_GjaB45BFpkiy4w-391QLAA_12_0"/>
      <w:bookmarkStart w:id="212" w:name="Tc_3irf9Gwg7UayUObWCrPnZw_10_16"/>
      <w:bookmarkStart w:id="213" w:name="Tc_3BUHpPZDzUWDZhP9N5LyUA_10_13"/>
      <w:bookmarkStart w:id="214" w:name="Tc_JmNSu7FdA0mcq_3bnttzMg_10_10"/>
      <w:bookmarkStart w:id="215" w:name="Tc_b6JXEHhXqUuYMzUMt4o5Kg_10_7"/>
      <w:bookmarkStart w:id="216" w:name="Tc_fWqQBUHJh0m8VmgktjYxUw_10_4"/>
      <w:bookmarkStart w:id="217" w:name="Tc_HV3WAaXz7ku0dJIvTrqV4w_10_0"/>
      <w:bookmarkStart w:id="218" w:name="Tc_JGCpC3CLAki50N_N8NJ6ig_9_11"/>
      <w:bookmarkStart w:id="219" w:name="Tc_WmgCdkOta0q6EIGoz6YjlQ_9_8"/>
      <w:bookmarkStart w:id="220" w:name="Tc_F1r0b1aRS0e2-_fwzHsuMA_9_5"/>
      <w:bookmarkStart w:id="221" w:name="Tc_Hf0VEhbawUm-kZLiGuKe_Q_9_2"/>
      <w:bookmarkStart w:id="222" w:name="Tc_UNKKg_3Ez0KJoUbACMibZw_9_0"/>
      <w:bookmarkStart w:id="223" w:name="Tc_hY3ug8fn_kag-_Nan4ehxg_8_14"/>
      <w:bookmarkStart w:id="224" w:name="Tc_UKnWYmvpLEyxA0A9ofEagg_8_8"/>
      <w:bookmarkStart w:id="225" w:name="Tc_OPIf-6cHOkuTWppo1tXapA_8_5"/>
      <w:bookmarkStart w:id="226" w:name="Tc_U_GXeHNUn0WqlNqTRkliEg_8_2"/>
      <w:bookmarkStart w:id="227" w:name="Tc_5O7kH6EmOEy-uVjXYVfv3A_8_0"/>
      <w:bookmarkStart w:id="228" w:name="Tc_55x5nhSYEUuoqe5n7WWXuA_7_14"/>
      <w:bookmarkStart w:id="229" w:name="Tc_LtVP6hLEf0GJhkpACRuxJQ_7_11"/>
      <w:bookmarkStart w:id="230" w:name="Tc_wgix-I1SeEa-YyzHVwyAzA_7_5"/>
      <w:bookmarkStart w:id="231" w:name="Tc_tyZp0s2yPECHDKdT3YOecA_7_2"/>
      <w:bookmarkStart w:id="232" w:name="Tc_MC_9ro3ViUuPdAu2mx8IKg_7_0"/>
      <w:bookmarkStart w:id="233" w:name="Tc_LRsxvHBa-EiMWFcgtOAUCQ_6_14"/>
      <w:bookmarkStart w:id="234" w:name="Tc_-bOVuaU4qkCQVGcHLvT6ug_6_11"/>
      <w:bookmarkStart w:id="235" w:name="Tc_3UcVjwcOAE2eMZzAPbeHrw_6_5"/>
      <w:bookmarkStart w:id="236" w:name="Tc_CQXrk-mPDEa-LI02v_RlBA_6_0"/>
      <w:bookmarkStart w:id="237" w:name="Tc_OWyQzyOlGUW7gcJg7ID2Bw_5_16"/>
      <w:bookmarkStart w:id="238" w:name="Tc_gEzKiV8JaUyUVxUufgWKKw_5_13"/>
      <w:bookmarkStart w:id="239" w:name="Tc_GGhdabqh40WXsh8Bx8UMmg_5_10"/>
      <w:bookmarkStart w:id="240" w:name="Tc_ZQzffqQrYkCsaImxQaiQsw_5_7"/>
      <w:bookmarkStart w:id="241" w:name="Tc_q9N4KrGDbk-vnuu9FZMvfg_5_4"/>
      <w:bookmarkStart w:id="242" w:name="Tc_DGj_e-Wy5kOx084kvG0mZA_5_0"/>
      <w:bookmarkStart w:id="243" w:name="Tc_n9AsD41Mm0WZyJLQcS1yaw_4_16"/>
      <w:bookmarkStart w:id="244" w:name="Tc_PZnp6m-uMEWhl4ZLFl_eDg_4_13"/>
      <w:bookmarkStart w:id="245" w:name="Tc_TMclVEUOb0O0NshgoQmQfQ_4_10"/>
      <w:bookmarkStart w:id="246" w:name="Tc_20vvLArj50CTE1tupfrQfg_4_7"/>
      <w:bookmarkStart w:id="247" w:name="Tc_JlTgcj1GAU2224VAykvInQ_4_5"/>
      <w:bookmarkStart w:id="248" w:name="Tc_FRh-lT5kqU6WRWmPGIJfqA_4_2"/>
      <w:bookmarkStart w:id="249" w:name="Tc_lZZvOvSwPkqwwSalRd5Y3w_3_16"/>
      <w:bookmarkStart w:id="250" w:name="Tc_nQT7t0p_9UWaQ99HoBVS1g_3_13"/>
      <w:bookmarkStart w:id="251" w:name="Tc_2HSpNWTQYkui_fT9rts0aA_3_10"/>
      <w:bookmarkStart w:id="252" w:name="Tc_z1V8hLVQX0-RgY_kTqC-Cw_3_7"/>
      <w:bookmarkStart w:id="253" w:name="Tc_ebYFwiGJQEicn5C1tnzaSw_3_2"/>
      <w:bookmarkStart w:id="254" w:name="Tc_fA-TZLCse0SeLCE2g7VEXQ_2_16"/>
      <w:bookmarkStart w:id="255" w:name="Tc_mML8LlwSA0izzmsk286syQ_2_13"/>
      <w:bookmarkStart w:id="256" w:name="Tc_cqQ0Qd2_DUOS151MKtlE7g_2_7"/>
      <w:bookmarkStart w:id="257" w:name="Tc_J6P0GpYOlESu3iiwSVAu_A_1_13"/>
      <w:bookmarkStart w:id="258" w:name="_46a1833f_0c9c_4175_bcb7_7974efe25ef8"/>
      <w:bookmarkStart w:id="259" w:name="Tc_9fpXixi2xUu5pfcBSrRiqQ_17_16"/>
      <w:bookmarkStart w:id="260" w:name="Tc_rCNA26IqzUOEIUyzTEY1Sw_17_13"/>
      <w:bookmarkStart w:id="261" w:name="Tc_FTbmJlr6d0q-AyzRdrJT1w_17_10"/>
      <w:bookmarkStart w:id="262" w:name="Tc_aYr5XC9GoUmOfcwnjKjncw_17_7"/>
      <w:bookmarkStart w:id="263" w:name="Tc_ZOxh2bdqHEyr1OJtTDJhhA_17_4"/>
      <w:bookmarkStart w:id="264" w:name="Tc_alvQ_q1WCk2R71GPiwA2Vg_17_0"/>
      <w:bookmarkStart w:id="265" w:name="Tc_TKubNByyk0OtO0GwXWU8VA_16_11"/>
      <w:bookmarkStart w:id="266" w:name="Tc_L4LKnIAVuU-nm_zlrnW_Kg_16_8"/>
      <w:bookmarkStart w:id="267" w:name="Tc_4hfplGGKWE-btIvbpJt1mg_16_5"/>
      <w:bookmarkStart w:id="268" w:name="Tc_9VVEsYa1oUiZJUSItopTZQ_16_2"/>
      <w:bookmarkStart w:id="269" w:name="Tc_J0DDMVInOkqMAZV6AikcSQ_16_0"/>
      <w:bookmarkStart w:id="270" w:name="Tc_mtPHm7h280CvEJiC6jvc_g_15_14"/>
      <w:bookmarkStart w:id="271" w:name="Tc_YP5yI8mX4EyABZzAcJzLpw_15_8"/>
      <w:bookmarkStart w:id="272" w:name="Tc_nsdBFTPyqU-YU-LkfMCkTg_15_5"/>
      <w:bookmarkStart w:id="273" w:name="Tc_46EyqSx5HU2yWsfcofOvnw_15_2"/>
      <w:bookmarkStart w:id="274" w:name="Tc_LQtZqPtHI06-imzIUKPlKQ_15_0"/>
      <w:bookmarkStart w:id="275" w:name="Tc_qVv-O9FauUuJePfORMEZDg_14_14"/>
      <w:bookmarkStart w:id="276" w:name="Tc_Eyewh-o1_kuDEDOs-6IHVg_14_11"/>
      <w:bookmarkStart w:id="277" w:name="Tc_2sjObCA5tUaHjfOrZK_e1A_14_5"/>
      <w:bookmarkStart w:id="278" w:name="Tc_NTTTn10JPk6rJr8LuztSRw_14_2"/>
      <w:bookmarkStart w:id="279" w:name="Tc_EME79_tbpkOTwfjfmxvcZQ_14_0"/>
      <w:bookmarkStart w:id="280" w:name="Tc_v2FntGIpnkejmPFBjqGYLw_13_14"/>
      <w:bookmarkStart w:id="281" w:name="Tc_fwU3Yp8ovEyBxcJjDrwzKA_13_11"/>
      <w:bookmarkStart w:id="282" w:name="Tc__ORvu3C3Lk2cLVrtLF1sgQ_13_0"/>
      <w:bookmarkStart w:id="283" w:name="Tc_jQcML0SYmkyMKuvlW_ILIg_12_16"/>
      <w:bookmarkStart w:id="284" w:name="Tc_3-xEpOKYPk6xO0Uxbqr0ig_12_13"/>
      <w:bookmarkStart w:id="285" w:name="Tc_GHPljNbtz0iCdbxw1Bai3w_12_10"/>
      <w:bookmarkStart w:id="286" w:name="Tc_b35xUhKPYkKsn8uC2is86w_12_7"/>
      <w:bookmarkStart w:id="287" w:name="Tc_cQxnE-XoZ0WJuaXADRd28A_12_4"/>
      <w:bookmarkStart w:id="288" w:name="Tc_GjaB45BFpkiy4w-391QLAA_12_0"/>
      <w:bookmarkStart w:id="289" w:name="Tc_3irf9Gwg7UayUObWCrPnZw_10_16"/>
      <w:bookmarkStart w:id="290" w:name="Tc_3BUHpPZDzUWDZhP9N5LyUA_10_13"/>
      <w:bookmarkStart w:id="291" w:name="Tc_JmNSu7FdA0mcq_3bnttzMg_10_10"/>
      <w:bookmarkStart w:id="292" w:name="Tc_b6JXEHhXqUuYMzUMt4o5Kg_10_7"/>
      <w:bookmarkStart w:id="293" w:name="Tc_fWqQBUHJh0m8VmgktjYxUw_10_4"/>
      <w:bookmarkStart w:id="294" w:name="Tc_HV3WAaXz7ku0dJIvTrqV4w_10_0"/>
      <w:bookmarkStart w:id="295" w:name="Tc_JGCpC3CLAki50N_N8NJ6ig_9_11"/>
      <w:bookmarkStart w:id="296" w:name="Tc_WmgCdkOta0q6EIGoz6YjlQ_9_8"/>
      <w:bookmarkStart w:id="297" w:name="Tc_F1r0b1aRS0e2-_fwzHsuMA_9_5"/>
      <w:bookmarkStart w:id="298" w:name="Tc_Hf0VEhbawUm-kZLiGuKe_Q_9_2"/>
      <w:bookmarkStart w:id="299" w:name="Tc_UNKKg_3Ez0KJoUbACMibZw_9_0"/>
      <w:bookmarkStart w:id="300" w:name="Tc_hY3ug8fn_kag-_Nan4ehxg_8_14"/>
      <w:bookmarkStart w:id="301" w:name="Tc_UKnWYmvpLEyxA0A9ofEagg_8_8"/>
      <w:bookmarkStart w:id="302" w:name="Tc_OPIf-6cHOkuTWppo1tXapA_8_5"/>
      <w:bookmarkStart w:id="303" w:name="Tc_U_GXeHNUn0WqlNqTRkliEg_8_2"/>
      <w:bookmarkStart w:id="304" w:name="Tc_5O7kH6EmOEy-uVjXYVfv3A_8_0"/>
      <w:bookmarkStart w:id="305" w:name="Tc_55x5nhSYEUuoqe5n7WWXuA_7_14"/>
      <w:bookmarkStart w:id="306" w:name="Tc_LtVP6hLEf0GJhkpACRuxJQ_7_11"/>
      <w:bookmarkStart w:id="307" w:name="Tc_wgix-I1SeEa-YyzHVwyAzA_7_5"/>
      <w:bookmarkStart w:id="308" w:name="Tc_tyZp0s2yPECHDKdT3YOecA_7_2"/>
      <w:bookmarkStart w:id="309" w:name="Tc_MC_9ro3ViUuPdAu2mx8IKg_7_0"/>
      <w:bookmarkStart w:id="310" w:name="Tc_LRsxvHBa-EiMWFcgtOAUCQ_6_14"/>
      <w:bookmarkStart w:id="311" w:name="Tc_-bOVuaU4qkCQVGcHLvT6ug_6_11"/>
      <w:bookmarkStart w:id="312" w:name="Tc_3UcVjwcOAE2eMZzAPbeHrw_6_5"/>
      <w:bookmarkStart w:id="313" w:name="Tc_CQXrk-mPDEa-LI02v_RlBA_6_0"/>
      <w:bookmarkStart w:id="314" w:name="Tc_OWyQzyOlGUW7gcJg7ID2Bw_5_16"/>
      <w:bookmarkStart w:id="315" w:name="Tc_gEzKiV8JaUyUVxUufgWKKw_5_13"/>
      <w:bookmarkStart w:id="316" w:name="Tc_GGhdabqh40WXsh8Bx8UMmg_5_10"/>
      <w:bookmarkStart w:id="317" w:name="Tc_ZQzffqQrYkCsaImxQaiQsw_5_7"/>
      <w:bookmarkStart w:id="318" w:name="Tc_q9N4KrGDbk-vnuu9FZMvfg_5_4"/>
      <w:bookmarkStart w:id="319" w:name="Tc_DGj_e-Wy5kOx084kvG0mZA_5_0"/>
      <w:bookmarkStart w:id="320" w:name="Tc_n9AsD41Mm0WZyJLQcS1yaw_4_16"/>
      <w:bookmarkStart w:id="321" w:name="Tc_PZnp6m-uMEWhl4ZLFl_eDg_4_13"/>
      <w:bookmarkStart w:id="322" w:name="Tc_TMclVEUOb0O0NshgoQmQfQ_4_10"/>
      <w:bookmarkStart w:id="323" w:name="Tc_20vvLArj50CTE1tupfrQfg_4_7"/>
      <w:bookmarkStart w:id="324" w:name="Tc_JlTgcj1GAU2224VAykvInQ_4_5"/>
      <w:bookmarkStart w:id="325" w:name="Tc_FRh-lT5kqU6WRWmPGIJfqA_4_2"/>
      <w:bookmarkStart w:id="326" w:name="Tc_lZZvOvSwPkqwwSalRd5Y3w_3_16"/>
      <w:bookmarkStart w:id="327" w:name="Tc_nQT7t0p_9UWaQ99HoBVS1g_3_13"/>
      <w:bookmarkStart w:id="328" w:name="Tc_2HSpNWTQYkui_fT9rts0aA_3_10"/>
      <w:bookmarkStart w:id="329" w:name="Tc_z1V8hLVQX0-RgY_kTqC-Cw_3_7"/>
      <w:bookmarkStart w:id="330" w:name="Tc_ebYFwiGJQEicn5C1tnzaSw_3_2"/>
      <w:bookmarkStart w:id="331" w:name="Tc_fA-TZLCse0SeLCE2g7VEXQ_2_16"/>
      <w:bookmarkStart w:id="332" w:name="Tc_mML8LlwSA0izzmsk286syQ_2_13"/>
      <w:bookmarkStart w:id="333" w:name="Tc_cqQ0Qd2_DUOS151MKtlE7g_2_7"/>
      <w:bookmarkStart w:id="334" w:name="Tc_J6P0GpYOlESu3iiwSVAu_A_1_13"/>
      <w:bookmarkStart w:id="335" w:name="_46a1833f_0c9c_4175_bcb7_7974efe25ef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p>
    <w:tbl>
      <w:tblPr>
        <w:tblW w:w="10205" w:type="dxa"/>
        <w:jc w:val="left"/>
        <w:tblInd w:w="0" w:type="dxa"/>
        <w:tblLayout w:type="fixed"/>
        <w:tblCellMar>
          <w:top w:w="0" w:type="dxa"/>
          <w:left w:w="0" w:type="dxa"/>
          <w:bottom w:w="0" w:type="dxa"/>
          <w:right w:w="0" w:type="dxa"/>
        </w:tblCellMar>
      </w:tblPr>
      <w:tblGrid>
        <w:gridCol w:w="2881"/>
        <w:gridCol w:w="326"/>
        <w:gridCol w:w="796"/>
        <w:gridCol w:w="326"/>
        <w:gridCol w:w="181"/>
        <w:gridCol w:w="586"/>
        <w:gridCol w:w="326"/>
        <w:gridCol w:w="181"/>
        <w:gridCol w:w="601"/>
        <w:gridCol w:w="326"/>
        <w:gridCol w:w="203"/>
        <w:gridCol w:w="728"/>
        <w:gridCol w:w="326"/>
        <w:gridCol w:w="350"/>
        <w:gridCol w:w="731"/>
        <w:gridCol w:w="326"/>
        <w:gridCol w:w="220"/>
        <w:gridCol w:w="791"/>
      </w:tblGrid>
      <w:tr>
        <w:trPr/>
        <w:tc>
          <w:tcPr>
            <w:tcW w:w="28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9" name="Frame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505460" cy="175260"/>
                      <wp:effectExtent l="0" t="0" r="0" b="0"/>
                      <wp:wrapNone/>
                      <wp:docPr id="20" name="Frame2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07010" cy="175260"/>
                      <wp:effectExtent l="0" t="0" r="0" b="0"/>
                      <wp:wrapNone/>
                      <wp:docPr id="21" name="Frame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14935" cy="175260"/>
                      <wp:effectExtent l="0" t="0" r="0" b="0"/>
                      <wp:wrapNone/>
                      <wp:docPr id="22" name="Frame2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372110" cy="175260"/>
                      <wp:effectExtent l="0" t="0" r="0" b="0"/>
                      <wp:wrapNone/>
                      <wp:docPr id="23" name="Frame23"/>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24" name="Frame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14935" cy="175260"/>
                      <wp:effectExtent l="0" t="0" r="0" b="0"/>
                      <wp:wrapNone/>
                      <wp:docPr id="25" name="Frame2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381635" cy="175260"/>
                      <wp:effectExtent l="0" t="0" r="0" b="0"/>
                      <wp:wrapNone/>
                      <wp:docPr id="26" name="Frame26"/>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27" name="Frame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28905" cy="175260"/>
                      <wp:effectExtent l="0" t="0" r="0" b="0"/>
                      <wp:wrapNone/>
                      <wp:docPr id="28" name="Frame28"/>
                      <a:graphic xmlns:a="http://schemas.openxmlformats.org/drawingml/2006/main">
                        <a:graphicData uri="http://schemas.microsoft.com/office/word/2010/wordprocessingShape">
                          <wps:wsp>
                            <wps:cNvSpPr txBox="1"/>
                            <wps:spPr>
                              <a:xfrm>
                                <a:off x="0" y="0"/>
                                <a:ext cx="128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462280" cy="175260"/>
                      <wp:effectExtent l="0" t="0" r="0" b="0"/>
                      <wp:wrapNone/>
                      <wp:docPr id="29" name="Frame29"/>
                      <a:graphic xmlns:a="http://schemas.openxmlformats.org/drawingml/2006/main">
                        <a:graphicData uri="http://schemas.microsoft.com/office/word/2010/wordprocessingShape">
                          <wps:wsp>
                            <wps:cNvSpPr txBox="1"/>
                            <wps:spPr>
                              <a:xfrm>
                                <a:off x="0" y="0"/>
                                <a:ext cx="462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30" name="Frame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22250" cy="175260"/>
                      <wp:effectExtent l="0" t="0" r="0" b="0"/>
                      <wp:wrapNone/>
                      <wp:docPr id="31" name="Frame31"/>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464185" cy="175260"/>
                      <wp:effectExtent l="0" t="0" r="0" b="0"/>
                      <wp:wrapNone/>
                      <wp:docPr id="32" name="Frame32"/>
                      <a:graphic xmlns:a="http://schemas.openxmlformats.org/drawingml/2006/main">
                        <a:graphicData uri="http://schemas.microsoft.com/office/word/2010/wordprocessingShape">
                          <wps:wsp>
                            <wps:cNvSpPr txBox="1"/>
                            <wps:spPr>
                              <a:xfrm>
                                <a:off x="0" y="0"/>
                                <a:ext cx="464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33" name="Frame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39700" cy="175260"/>
                      <wp:effectExtent l="0" t="0" r="0" b="0"/>
                      <wp:wrapNone/>
                      <wp:docPr id="34" name="Frame34"/>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502285" cy="175260"/>
                      <wp:effectExtent l="0" t="0" r="0" b="0"/>
                      <wp:wrapNone/>
                      <wp:docPr id="35" name="Frame35"/>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03" w:type="dxa"/>
            <w:tcBorders/>
            <w:vAlign w:val="center"/>
          </w:tcPr>
          <w:p>
            <w:pPr>
              <w:pStyle w:val="TableContents"/>
              <w:bidi w:val="0"/>
              <w:spacing w:before="0" w:after="1"/>
              <w:ind w:left="0" w:right="0" w:hanging="0"/>
              <w:jc w:val="left"/>
              <w:rPr/>
            </w:pPr>
            <w:r>
              <w:rPr/>
              <w:t>​</w:t>
            </w:r>
          </w:p>
        </w:tc>
        <w:tc>
          <w:tcPr>
            <w:tcW w:w="72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81"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Accumulated</w:t>
            </w:r>
          </w:p>
        </w:tc>
        <w:tc>
          <w:tcPr>
            <w:tcW w:w="326" w:type="dxa"/>
            <w:tcBorders/>
            <w:vAlign w:val="center"/>
          </w:tcPr>
          <w:p>
            <w:pPr>
              <w:pStyle w:val="TableContents"/>
              <w:bidi w:val="0"/>
              <w:spacing w:before="0" w:after="1"/>
              <w:ind w:left="0" w:right="0" w:hanging="0"/>
              <w:jc w:val="center"/>
              <w:rPr/>
            </w:pPr>
            <w:r>
              <w:rPr/>
              <w:t>​</w:t>
            </w:r>
          </w:p>
        </w:tc>
        <w:tc>
          <w:tcPr>
            <w:tcW w:w="1011" w:type="dxa"/>
            <w:gridSpan w:val="2"/>
            <w:tcBorders/>
            <w:vAlign w:val="center"/>
          </w:tcPr>
          <w:p>
            <w:pPr>
              <w:pStyle w:val="TableContents"/>
              <w:bidi w:val="0"/>
              <w:spacing w:before="0" w:after="1"/>
              <w:ind w:left="0" w:right="0" w:hanging="0"/>
              <w:jc w:val="center"/>
              <w:rPr/>
            </w:pPr>
            <w:r>
              <w:rPr/>
              <w:t>​</w:t>
            </w:r>
          </w:p>
        </w:tc>
      </w:tr>
      <w:tr>
        <w:trPr/>
        <w:tc>
          <w:tcPr>
            <w:tcW w:w="28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82"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Additional</w:t>
            </w:r>
          </w:p>
        </w:tc>
        <w:tc>
          <w:tcPr>
            <w:tcW w:w="326" w:type="dxa"/>
            <w:tcBorders/>
            <w:vAlign w:val="center"/>
          </w:tcPr>
          <w:p>
            <w:pPr>
              <w:pStyle w:val="TableContents"/>
              <w:bidi w:val="0"/>
              <w:spacing w:before="0" w:after="1"/>
              <w:ind w:left="0" w:right="0" w:hanging="0"/>
              <w:jc w:val="center"/>
              <w:rPr/>
            </w:pPr>
            <w:r>
              <w:rPr/>
              <w:t>​</w:t>
            </w:r>
          </w:p>
        </w:tc>
        <w:tc>
          <w:tcPr>
            <w:tcW w:w="203" w:type="dxa"/>
            <w:tcBorders/>
            <w:vAlign w:val="center"/>
          </w:tcPr>
          <w:p>
            <w:pPr>
              <w:pStyle w:val="TableContents"/>
              <w:bidi w:val="0"/>
              <w:spacing w:before="0" w:after="1"/>
              <w:ind w:left="0" w:right="0" w:hanging="0"/>
              <w:jc w:val="left"/>
              <w:rPr/>
            </w:pPr>
            <w:r>
              <w:rPr/>
              <w:t>​</w:t>
            </w:r>
          </w:p>
        </w:tc>
        <w:tc>
          <w:tcPr>
            <w:tcW w:w="72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81"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other</w:t>
            </w:r>
          </w:p>
        </w:tc>
        <w:tc>
          <w:tcPr>
            <w:tcW w:w="326" w:type="dxa"/>
            <w:tcBorders/>
            <w:vAlign w:val="center"/>
          </w:tcPr>
          <w:p>
            <w:pPr>
              <w:pStyle w:val="TableContents"/>
              <w:bidi w:val="0"/>
              <w:spacing w:before="0" w:after="1"/>
              <w:ind w:left="0" w:right="0" w:hanging="0"/>
              <w:jc w:val="center"/>
              <w:rPr/>
            </w:pPr>
            <w:r>
              <w:rPr/>
              <w:t>​</w:t>
            </w:r>
          </w:p>
        </w:tc>
        <w:tc>
          <w:tcPr>
            <w:tcW w:w="1011"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Total</w:t>
            </w:r>
          </w:p>
        </w:tc>
      </w:tr>
      <w:tr>
        <w:trPr/>
        <w:tc>
          <w:tcPr>
            <w:tcW w:w="28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88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Common stock</w:t>
            </w:r>
          </w:p>
        </w:tc>
        <w:tc>
          <w:tcPr>
            <w:tcW w:w="326" w:type="dxa"/>
            <w:tcBorders/>
            <w:vAlign w:val="center"/>
          </w:tcPr>
          <w:p>
            <w:pPr>
              <w:pStyle w:val="TableContents"/>
              <w:bidi w:val="0"/>
              <w:spacing w:before="0" w:after="1"/>
              <w:ind w:left="0" w:right="0" w:hanging="0"/>
              <w:jc w:val="center"/>
              <w:rPr/>
            </w:pPr>
            <w:r>
              <w:rPr/>
              <w:t>​</w:t>
            </w:r>
          </w:p>
        </w:tc>
        <w:tc>
          <w:tcPr>
            <w:tcW w:w="782"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paid-in</w:t>
            </w:r>
          </w:p>
        </w:tc>
        <w:tc>
          <w:tcPr>
            <w:tcW w:w="326"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Accumulated</w:t>
            </w:r>
          </w:p>
        </w:tc>
        <w:tc>
          <w:tcPr>
            <w:tcW w:w="326" w:type="dxa"/>
            <w:tcBorders/>
            <w:vAlign w:val="center"/>
          </w:tcPr>
          <w:p>
            <w:pPr>
              <w:pStyle w:val="TableContents"/>
              <w:bidi w:val="0"/>
              <w:spacing w:before="0" w:after="1"/>
              <w:ind w:left="0" w:right="0" w:hanging="0"/>
              <w:jc w:val="center"/>
              <w:rPr/>
            </w:pPr>
            <w:r>
              <w:rPr/>
              <w:t>​</w:t>
            </w:r>
          </w:p>
        </w:tc>
        <w:tc>
          <w:tcPr>
            <w:tcW w:w="1081"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comprehensive</w:t>
            </w:r>
          </w:p>
        </w:tc>
        <w:tc>
          <w:tcPr>
            <w:tcW w:w="326" w:type="dxa"/>
            <w:tcBorders/>
            <w:vAlign w:val="center"/>
          </w:tcPr>
          <w:p>
            <w:pPr>
              <w:pStyle w:val="TableContents"/>
              <w:bidi w:val="0"/>
              <w:spacing w:before="0" w:after="1"/>
              <w:ind w:left="0" w:right="0" w:hanging="0"/>
              <w:jc w:val="center"/>
              <w:rPr/>
            </w:pPr>
            <w:r>
              <w:rPr/>
              <w:t>​</w:t>
            </w:r>
          </w:p>
        </w:tc>
        <w:tc>
          <w:tcPr>
            <w:tcW w:w="1011"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stockholders’</w:t>
            </w:r>
          </w:p>
        </w:tc>
      </w:tr>
      <w:tr>
        <w:trPr/>
        <w:tc>
          <w:tcPr>
            <w:tcW w:w="28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Shares</w:t>
            </w:r>
          </w:p>
        </w:tc>
        <w:tc>
          <w:tcPr>
            <w:tcW w:w="326" w:type="dxa"/>
            <w:tcBorders/>
            <w:vAlign w:val="center"/>
          </w:tcPr>
          <w:p>
            <w:pPr>
              <w:pStyle w:val="TableContents"/>
              <w:bidi w:val="0"/>
              <w:spacing w:before="0" w:after="1"/>
              <w:ind w:left="0" w:right="0" w:hanging="0"/>
              <w:jc w:val="center"/>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Amount</w:t>
            </w:r>
          </w:p>
        </w:tc>
        <w:tc>
          <w:tcPr>
            <w:tcW w:w="326" w:type="dxa"/>
            <w:tcBorders/>
            <w:vAlign w:val="center"/>
          </w:tcPr>
          <w:p>
            <w:pPr>
              <w:pStyle w:val="TableContents"/>
              <w:bidi w:val="0"/>
              <w:spacing w:before="0" w:after="1"/>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capital</w:t>
            </w:r>
          </w:p>
        </w:tc>
        <w:tc>
          <w:tcPr>
            <w:tcW w:w="326" w:type="dxa"/>
            <w:tcBorders/>
            <w:vAlign w:val="center"/>
          </w:tcPr>
          <w:p>
            <w:pPr>
              <w:pStyle w:val="TableContents"/>
              <w:bidi w:val="0"/>
              <w:spacing w:before="0" w:after="1"/>
              <w:ind w:left="0" w:right="0" w:hanging="0"/>
              <w:jc w:val="center"/>
              <w:rPr/>
            </w:pPr>
            <w:r>
              <w:rPr/>
              <w:t>    </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deficit</w:t>
            </w:r>
          </w:p>
        </w:tc>
        <w:tc>
          <w:tcPr>
            <w:tcW w:w="326" w:type="dxa"/>
            <w:tcBorders/>
            <w:vAlign w:val="center"/>
          </w:tcPr>
          <w:p>
            <w:pPr>
              <w:pStyle w:val="TableContents"/>
              <w:bidi w:val="0"/>
              <w:spacing w:before="0" w:after="1"/>
              <w:ind w:left="0" w:right="0" w:hanging="0"/>
              <w:jc w:val="center"/>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loss</w:t>
            </w:r>
          </w:p>
        </w:tc>
        <w:tc>
          <w:tcPr>
            <w:tcW w:w="326" w:type="dxa"/>
            <w:tcBorders/>
            <w:vAlign w:val="center"/>
          </w:tcPr>
          <w:p>
            <w:pPr>
              <w:pStyle w:val="TableContents"/>
              <w:bidi w:val="0"/>
              <w:spacing w:before="0" w:after="1"/>
              <w:ind w:left="0" w:right="0" w:hanging="0"/>
              <w:jc w:val="center"/>
              <w:rPr/>
            </w:pPr>
            <w:r>
              <w:rPr/>
              <w:t>    </w:t>
            </w:r>
          </w:p>
        </w:tc>
        <w:tc>
          <w:tcPr>
            <w:tcW w:w="10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equity</w:t>
            </w:r>
          </w:p>
        </w:tc>
      </w:tr>
      <w:tr>
        <w:trPr/>
        <w:tc>
          <w:tcPr>
            <w:tcW w:w="2881"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Balances as of December 31, 2022</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20,663,736</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207</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601"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545,362</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728"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(436,182)</w:t>
            </w:r>
          </w:p>
        </w:tc>
        <w:tc>
          <w:tcPr>
            <w:tcW w:w="32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731"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(207)</w:t>
            </w:r>
          </w:p>
        </w:tc>
        <w:tc>
          <w:tcPr>
            <w:tcW w:w="32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791"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109,180</w:t>
            </w:r>
          </w:p>
        </w:tc>
      </w:tr>
      <w:tr>
        <w:trPr/>
        <w:tc>
          <w:tcPr>
            <w:tcW w:w="2881"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Exercise of stock options</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45,204</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128</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 </w:t>
            </w:r>
          </w:p>
        </w:tc>
        <w:tc>
          <w:tcPr>
            <w:tcW w:w="7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 </w:t>
            </w:r>
          </w:p>
        </w:tc>
        <w:tc>
          <w:tcPr>
            <w:tcW w:w="7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128</w:t>
            </w:r>
          </w:p>
        </w:tc>
      </w:tr>
      <w:tr>
        <w:trPr/>
        <w:tc>
          <w:tcPr>
            <w:tcW w:w="2881"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Employee stock compensation</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1,705</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 </w:t>
            </w:r>
          </w:p>
        </w:tc>
        <w:tc>
          <w:tcPr>
            <w:tcW w:w="72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pPr>
            <w:r>
              <w:rPr/>
              <w:t> </w:t>
            </w:r>
          </w:p>
        </w:tc>
        <w:tc>
          <w:tcPr>
            <w:tcW w:w="7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 </w:t>
            </w:r>
          </w:p>
        </w:tc>
        <w:tc>
          <w:tcPr>
            <w:tcW w:w="791"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1,705</w:t>
            </w:r>
          </w:p>
        </w:tc>
      </w:tr>
      <w:tr>
        <w:trPr/>
        <w:tc>
          <w:tcPr>
            <w:tcW w:w="2881"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Net loss for the three months ended March 31, 2023</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 </w:t>
            </w:r>
          </w:p>
        </w:tc>
        <w:tc>
          <w:tcPr>
            <w:tcW w:w="728"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(11,374)</w:t>
            </w:r>
          </w:p>
        </w:tc>
        <w:tc>
          <w:tcPr>
            <w:tcW w:w="326"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 </w:t>
            </w:r>
          </w:p>
        </w:tc>
        <w:tc>
          <w:tcPr>
            <w:tcW w:w="7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(11,374)</w:t>
            </w:r>
          </w:p>
        </w:tc>
      </w:tr>
      <w:tr>
        <w:trPr/>
        <w:tc>
          <w:tcPr>
            <w:tcW w:w="2881"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Cumulative translation adjustment</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w:t>
            </w:r>
          </w:p>
        </w:tc>
      </w:tr>
      <w:tr>
        <w:trPr/>
        <w:tc>
          <w:tcPr>
            <w:tcW w:w="2881" w:type="dxa"/>
            <w:tcBorders/>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Balances as of March 31, 2023</w:t>
            </w:r>
          </w:p>
        </w:tc>
        <w:tc>
          <w:tcPr>
            <w:tcW w:w="326" w:type="dxa"/>
            <w:tcBorders/>
            <w:vAlign w:val="center"/>
          </w:tcPr>
          <w:p>
            <w:pPr>
              <w:pStyle w:val="TableContents"/>
              <w:bidi w:val="0"/>
              <w:spacing w:before="0" w:after="1"/>
              <w:ind w:left="0" w:right="0" w:hanging="0"/>
              <w:jc w:val="left"/>
              <w:rPr/>
            </w:pPr>
            <w:r>
              <w:rPr/>
              <w:t> </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20,708,940</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207</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547,195</w:t>
            </w:r>
          </w:p>
        </w:tc>
        <w:tc>
          <w:tcPr>
            <w:tcW w:w="326" w:type="dxa"/>
            <w:tcBorders/>
            <w:vAlign w:val="center"/>
          </w:tcPr>
          <w:p>
            <w:pPr>
              <w:pStyle w:val="TableContents"/>
              <w:bidi w:val="0"/>
              <w:spacing w:before="0" w:after="1"/>
              <w:ind w:left="0" w:right="0" w:hanging="0"/>
              <w:jc w:val="left"/>
              <w:rPr/>
            </w:pPr>
            <w:r>
              <w:rPr/>
              <w:t>​</w:t>
            </w:r>
          </w:p>
        </w:tc>
        <w:tc>
          <w:tcPr>
            <w:tcW w:w="203"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w:t>
            </w:r>
          </w:p>
        </w:tc>
        <w:tc>
          <w:tcPr>
            <w:tcW w:w="728"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(447,556)</w:t>
            </w:r>
          </w:p>
        </w:tc>
        <w:tc>
          <w:tcPr>
            <w:tcW w:w="326" w:type="dxa"/>
            <w:tcBorders/>
            <w:vAlign w:val="center"/>
          </w:tcPr>
          <w:p>
            <w:pPr>
              <w:pStyle w:val="TableContents"/>
              <w:bidi w:val="0"/>
              <w:spacing w:before="0" w:after="1"/>
              <w:ind w:left="0" w:right="0" w:hanging="0"/>
              <w:jc w:val="left"/>
              <w:rPr/>
            </w:pPr>
            <w:r>
              <w:rPr/>
              <w:t>​</w:t>
            </w:r>
          </w:p>
        </w:tc>
        <w:tc>
          <w:tcPr>
            <w:tcW w:w="350"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w:t>
            </w:r>
          </w:p>
        </w:tc>
        <w:tc>
          <w:tcPr>
            <w:tcW w:w="73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(204)</w:t>
            </w:r>
          </w:p>
        </w:tc>
        <w:tc>
          <w:tcPr>
            <w:tcW w:w="326" w:type="dxa"/>
            <w:tcBorders/>
            <w:vAlign w:val="center"/>
          </w:tcPr>
          <w:p>
            <w:pPr>
              <w:pStyle w:val="TableContents"/>
              <w:bidi w:val="0"/>
              <w:spacing w:before="0" w:after="1"/>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w:t>
            </w:r>
          </w:p>
        </w:tc>
        <w:tc>
          <w:tcPr>
            <w:tcW w:w="79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99,642</w:t>
            </w:r>
          </w:p>
        </w:tc>
      </w:tr>
      <w:tr>
        <w:trPr/>
        <w:tc>
          <w:tcPr>
            <w:tcW w:w="28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181" w:type="dxa"/>
            <w:tcBorders/>
            <w:shd w:fill="CCEEFF" w:val="clear"/>
            <w:vAlign w:val="center"/>
          </w:tcPr>
          <w:p>
            <w:pPr>
              <w:pStyle w:val="TableContents"/>
              <w:bidi w:val="0"/>
              <w:spacing w:before="0" w:after="1"/>
              <w:ind w:left="0" w:right="0" w:hanging="0"/>
              <w:jc w:val="center"/>
              <w:rPr/>
            </w:pPr>
            <w:r>
              <w:rPr/>
              <w:t>​</w:t>
            </w:r>
          </w:p>
        </w:tc>
        <w:tc>
          <w:tcPr>
            <w:tcW w:w="58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181" w:type="dxa"/>
            <w:tcBorders/>
            <w:shd w:fill="CCEEFF" w:val="clear"/>
            <w:vAlign w:val="center"/>
          </w:tcPr>
          <w:p>
            <w:pPr>
              <w:pStyle w:val="TableContents"/>
              <w:bidi w:val="0"/>
              <w:spacing w:before="0" w:after="1"/>
              <w:ind w:left="0" w:right="0" w:hanging="0"/>
              <w:jc w:val="center"/>
              <w:rPr/>
            </w:pPr>
            <w:r>
              <w:rPr/>
              <w:t>​</w:t>
            </w:r>
          </w:p>
        </w:tc>
        <w:tc>
          <w:tcPr>
            <w:tcW w:w="60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03" w:type="dxa"/>
            <w:tcBorders/>
            <w:shd w:fill="CCEEFF" w:val="clear"/>
            <w:vAlign w:val="center"/>
          </w:tcPr>
          <w:p>
            <w:pPr>
              <w:pStyle w:val="TableContents"/>
              <w:bidi w:val="0"/>
              <w:spacing w:before="0" w:after="1"/>
              <w:ind w:left="0" w:right="0" w:hanging="0"/>
              <w:jc w:val="center"/>
              <w:rPr/>
            </w:pPr>
            <w:r>
              <w:rPr/>
              <w:t>​</w:t>
            </w:r>
          </w:p>
        </w:tc>
        <w:tc>
          <w:tcPr>
            <w:tcW w:w="728"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350" w:type="dxa"/>
            <w:tcBorders/>
            <w:shd w:fill="CCEEFF" w:val="clear"/>
            <w:vAlign w:val="center"/>
          </w:tcPr>
          <w:p>
            <w:pPr>
              <w:pStyle w:val="TableContents"/>
              <w:bidi w:val="0"/>
              <w:spacing w:before="0" w:after="1"/>
              <w:ind w:left="0" w:right="0" w:hanging="0"/>
              <w:jc w:val="center"/>
              <w:rPr/>
            </w:pPr>
            <w:r>
              <w:rPr/>
              <w:t>​</w:t>
            </w:r>
          </w:p>
        </w:tc>
        <w:tc>
          <w:tcPr>
            <w:tcW w:w="73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20" w:type="dxa"/>
            <w:tcBorders/>
            <w:shd w:fill="CCEEFF" w:val="clear"/>
            <w:vAlign w:val="center"/>
          </w:tcPr>
          <w:p>
            <w:pPr>
              <w:pStyle w:val="TableContents"/>
              <w:bidi w:val="0"/>
              <w:spacing w:before="0" w:after="1"/>
              <w:ind w:left="0" w:right="0" w:hanging="0"/>
              <w:jc w:val="center"/>
              <w:rPr/>
            </w:pPr>
            <w:r>
              <w:rPr/>
              <w:t>​</w:t>
            </w:r>
          </w:p>
        </w:tc>
        <w:tc>
          <w:tcPr>
            <w:tcW w:w="791" w:type="dxa"/>
            <w:tcBorders/>
            <w:shd w:fill="CCEEFF" w:val="clear"/>
            <w:vAlign w:val="center"/>
          </w:tcPr>
          <w:p>
            <w:pPr>
              <w:pStyle w:val="TableContents"/>
              <w:bidi w:val="0"/>
              <w:spacing w:before="0" w:after="1"/>
              <w:ind w:left="0" w:right="0" w:hanging="0"/>
              <w:jc w:val="center"/>
              <w:rPr/>
            </w:pPr>
            <w:r>
              <w:rPr/>
              <w:t>​</w:t>
            </w:r>
          </w:p>
        </w:tc>
      </w:tr>
      <w:tr>
        <w:trPr/>
        <w:tc>
          <w:tcPr>
            <w:tcW w:w="2881"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Balances as of December 31, 2021</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20,399,337</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58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204</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601"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540,707</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728"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(394,754)</w:t>
            </w:r>
          </w:p>
        </w:tc>
        <w:tc>
          <w:tcPr>
            <w:tcW w:w="326"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731"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(198)</w:t>
            </w:r>
          </w:p>
        </w:tc>
        <w:tc>
          <w:tcPr>
            <w:tcW w:w="32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791"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145,959</w:t>
            </w:r>
          </w:p>
        </w:tc>
      </w:tr>
      <w:tr>
        <w:trPr/>
        <w:tc>
          <w:tcPr>
            <w:tcW w:w="2881"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Exercise of stock options</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87,634</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47</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w:t>
            </w:r>
          </w:p>
        </w:tc>
        <w:tc>
          <w:tcPr>
            <w:tcW w:w="72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pPr>
            <w:r>
              <w:rPr/>
              <w:t>​</w:t>
            </w:r>
          </w:p>
        </w:tc>
        <w:tc>
          <w:tcPr>
            <w:tcW w:w="7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48</w:t>
            </w:r>
          </w:p>
        </w:tc>
      </w:tr>
      <w:tr>
        <w:trPr/>
        <w:tc>
          <w:tcPr>
            <w:tcW w:w="2881"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Employee stock compensation</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793</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 </w:t>
            </w:r>
          </w:p>
        </w:tc>
        <w:tc>
          <w:tcPr>
            <w:tcW w:w="7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 </w:t>
            </w:r>
          </w:p>
        </w:tc>
        <w:tc>
          <w:tcPr>
            <w:tcW w:w="7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793</w:t>
            </w:r>
          </w:p>
        </w:tc>
      </w:tr>
      <w:tr>
        <w:trPr/>
        <w:tc>
          <w:tcPr>
            <w:tcW w:w="2881"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Net loss for the three months ended March 31, 2022</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 </w:t>
            </w:r>
          </w:p>
        </w:tc>
        <w:tc>
          <w:tcPr>
            <w:tcW w:w="728"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(9,991)</w:t>
            </w:r>
          </w:p>
        </w:tc>
        <w:tc>
          <w:tcPr>
            <w:tcW w:w="32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pPr>
            <w:r>
              <w:rPr/>
              <w:t> </w:t>
            </w:r>
          </w:p>
        </w:tc>
        <w:tc>
          <w:tcPr>
            <w:tcW w:w="7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 </w:t>
            </w:r>
          </w:p>
        </w:tc>
        <w:tc>
          <w:tcPr>
            <w:tcW w:w="791"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(9,991)</w:t>
            </w:r>
          </w:p>
        </w:tc>
      </w:tr>
      <w:tr>
        <w:trPr/>
        <w:tc>
          <w:tcPr>
            <w:tcW w:w="2881"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Cumulative translation adjustment</w:t>
            </w:r>
          </w:p>
        </w:tc>
        <w:tc>
          <w:tcPr>
            <w:tcW w:w="32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5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(6)</w:t>
            </w:r>
          </w:p>
        </w:tc>
        <w:tc>
          <w:tcPr>
            <w:tcW w:w="326" w:type="dxa"/>
            <w:tcBorders/>
            <w:vAlign w:val="center"/>
          </w:tcPr>
          <w:p>
            <w:pPr>
              <w:pStyle w:val="TableContents"/>
              <w:bidi w:val="0"/>
              <w:spacing w:before="0" w:after="1"/>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(6)</w:t>
            </w:r>
          </w:p>
        </w:tc>
      </w:tr>
      <w:tr>
        <w:trPr/>
        <w:tc>
          <w:tcPr>
            <w:tcW w:w="2881" w:type="dxa"/>
            <w:tcBorders/>
            <w:shd w:fill="CCEEFF" w:val="cle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Balances as of March 31, 2022</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20,486,971</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205</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541,547</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w:t>
            </w:r>
          </w:p>
        </w:tc>
        <w:tc>
          <w:tcPr>
            <w:tcW w:w="7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(404,745)</w:t>
            </w:r>
          </w:p>
        </w:tc>
        <w:tc>
          <w:tcPr>
            <w:tcW w:w="326" w:type="dxa"/>
            <w:tcBorders/>
            <w:shd w:fill="CCEEFF" w:val="clear"/>
            <w:vAlign w:val="center"/>
          </w:tcPr>
          <w:p>
            <w:pPr>
              <w:pStyle w:val="TableContents"/>
              <w:bidi w:val="0"/>
              <w:spacing w:before="0" w:after="1"/>
              <w:ind w:left="0" w:right="0" w:hanging="0"/>
              <w:jc w:val="left"/>
              <w:rPr/>
            </w:pPr>
            <w:r>
              <w:rPr/>
              <w:t>​</w:t>
            </w:r>
          </w:p>
        </w:tc>
        <w:tc>
          <w:tcPr>
            <w:tcW w:w="3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w:t>
            </w:r>
          </w:p>
        </w:tc>
        <w:tc>
          <w:tcPr>
            <w:tcW w:w="7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(204)</w:t>
            </w:r>
          </w:p>
        </w:tc>
        <w:tc>
          <w:tcPr>
            <w:tcW w:w="326" w:type="dxa"/>
            <w:tcBorders/>
            <w:shd w:fill="CCEEFF" w:val="clear"/>
            <w:vAlign w:val="center"/>
          </w:tcPr>
          <w:p>
            <w:pPr>
              <w:pStyle w:val="TableContents"/>
              <w:bidi w:val="0"/>
              <w:spacing w:before="0" w:after="1"/>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w:t>
            </w:r>
          </w:p>
        </w:tc>
        <w:tc>
          <w:tcPr>
            <w:tcW w:w="7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136,803</w:t>
            </w:r>
          </w:p>
        </w:tc>
      </w:tr>
      <w:tr>
        <w:trPr/>
        <w:tc>
          <w:tcPr>
            <w:tcW w:w="28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w:t>
            </w:r>
          </w:p>
        </w:tc>
        <w:tc>
          <w:tcPr>
            <w:tcW w:w="7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w:t>
            </w:r>
          </w:p>
        </w:tc>
        <w:tc>
          <w:tcPr>
            <w:tcW w:w="7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righ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336" w:name="_019c1241_9eb1_4c86_96ba_3839fbfc04b1"/>
      <w:bookmarkEnd w:id="336"/>
      <w:r>
        <w:rPr>
          <w:rFonts w:ascii="Arial;Helvetica;sans-serif" w:hAnsi="Arial;Helvetica;sans-serif"/>
          <w:b/>
          <w:sz w:val="20"/>
        </w:rPr>
        <w:t>CVRx, INC.</w:t>
      </w:r>
    </w:p>
    <w:p>
      <w:pPr>
        <w:pStyle w:val="TextBody"/>
        <w:bidi w:val="0"/>
        <w:spacing w:before="0" w:after="0"/>
        <w:ind w:left="0" w:right="0" w:hanging="0"/>
        <w:jc w:val="center"/>
        <w:rPr>
          <w:rFonts w:ascii="Arial;Helvetica;sans-serif" w:hAnsi="Arial;Helvetica;sans-serif"/>
          <w:b/>
          <w:sz w:val="20"/>
        </w:rPr>
      </w:pPr>
      <w:bookmarkStart w:id="337" w:name="CondensedConsolidatedStatementsofCashFlo"/>
      <w:bookmarkEnd w:id="337"/>
      <w:r>
        <w:rPr>
          <w:rFonts w:ascii="Arial;Helvetica;sans-serif" w:hAnsi="Arial;Helvetica;sans-serif"/>
          <w:b/>
          <w:sz w:val="20"/>
        </w:rPr>
        <w:t>Condensed Consolidated Statements of Cash Flows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 thousands)</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(Unaudited)</w:t>
      </w:r>
    </w:p>
    <w:p>
      <w:pPr>
        <w:pStyle w:val="Normal"/>
        <w:bidi w:val="0"/>
        <w:spacing w:before="0" w:after="0"/>
        <w:jc w:val="left"/>
        <w:rPr>
          <w:sz w:val="4"/>
          <w:szCs w:val="4"/>
        </w:rPr>
      </w:pPr>
      <w:r>
        <w:rPr>
          <w:sz w:val="4"/>
          <w:szCs w:val="4"/>
        </w:rPr>
      </w:r>
      <w:bookmarkStart w:id="338" w:name="Tc_d7kZ9FcgI0S-81mHmpysTA_31_5"/>
      <w:bookmarkStart w:id="339" w:name="Tc_OAxL1qhKtkyhJOe0CY0iqg_31_2"/>
      <w:bookmarkStart w:id="340" w:name="Tc_StZhDXvImkCjjuLPxZxgWw_31_0"/>
      <w:bookmarkStart w:id="341" w:name="Tc_P0YiHZo8NUGrJ6GPc06oIw_30_0"/>
      <w:bookmarkStart w:id="342" w:name="Tc_eGDuLX-x7U6MGtU9pGXJcQ_29_5"/>
      <w:bookmarkStart w:id="343" w:name="Tc_3ofer_cOjEGB-QD0MuFeIw_29_2"/>
      <w:bookmarkStart w:id="344" w:name="Tc_VAgHAgMUYkq_bw4sUCABdA_29_0"/>
      <w:bookmarkStart w:id="345" w:name="Tc_GY8hg3Z1SUKUmlUmp9N36g_28_0"/>
      <w:bookmarkStart w:id="346" w:name="Tc_kRiK5-I18EKAhsN9NYGTtA_27_0"/>
      <w:bookmarkStart w:id="347" w:name="Tc_qeiNTNAwEU69s82OmmiRDQ_26_0"/>
      <w:bookmarkStart w:id="348" w:name="Tc_liA3nlZ9q0S1eje0yLnqqw_25_0"/>
      <w:bookmarkStart w:id="349" w:name="Tc_US_dDlAKGUyZiX7L9j3JqQ_24_0"/>
      <w:bookmarkStart w:id="350" w:name="Tc_A6cl9QE0R0yQUzlAWk7RSA_23_0"/>
      <w:bookmarkStart w:id="351" w:name="Tc_l2QkRq_3bkaSFxhS3trwsA_22_0"/>
      <w:bookmarkStart w:id="352" w:name="Tc_gQIreI_3oUC7ISeiuU92Vw_21_0"/>
      <w:bookmarkStart w:id="353" w:name="Tc_ycwvfu8kRkaBqJ3-ACgMcA_20_0"/>
      <w:bookmarkStart w:id="354" w:name="Tc_HzjgYbOrM0iwPqUcPtbgfA_19_0"/>
      <w:bookmarkStart w:id="355" w:name="Tc__CCvkLVOUkSRyQjnSMkBPw_18_0"/>
      <w:bookmarkStart w:id="356" w:name="Tc_dotCn_wVt0GR1XMRprv9Sw_17_0"/>
      <w:bookmarkStart w:id="357" w:name="Tc_ZCz9fhqjAEyNKS586eq7Gg_16_0"/>
      <w:bookmarkStart w:id="358" w:name="Tc_iZ94p9HoJkylDl_Z2nfYRw_15_0"/>
      <w:bookmarkStart w:id="359" w:name="Tc_SDLSsWdeVEKP03Pip5eXEA_14_0"/>
      <w:bookmarkStart w:id="360" w:name="Tc_zPBa2LkYbEmoq5Jv3q3_tg_13_0"/>
      <w:bookmarkStart w:id="361" w:name="Tc_1X8wiokkbkSesQdK_91ayQ_12_0"/>
      <w:bookmarkStart w:id="362" w:name="Tc_zCcyq37ZYUm2CKhIezx9pQ_11_0"/>
      <w:bookmarkStart w:id="363" w:name="Tc_m1ao7MtHiEC67mAeujg4Ag_10_0"/>
      <w:bookmarkStart w:id="364" w:name="Tc_SH1NfkI5UE-3QdgLH22xUA_9_0"/>
      <w:bookmarkStart w:id="365" w:name="Tc_Lr1DlCOEWE2B7Ek3YCru6A_8_0"/>
      <w:bookmarkStart w:id="366" w:name="Tc_TOhDEd_JuEGRFy5iqp2xZQ_7_0"/>
      <w:bookmarkStart w:id="367" w:name="Tc_gxJ1oX1BLEmt0KgA3Q83qg_6_0"/>
      <w:bookmarkStart w:id="368" w:name="Tc_iF_SbBotJkO1RJRgkxlX8g_5_5"/>
      <w:bookmarkStart w:id="369" w:name="Tc_l3OJAmZNXkysTb60TSEORw_5_2"/>
      <w:bookmarkStart w:id="370" w:name="Tc_0rDoA_wOTEqfVfbHhSRM8Q_5_0"/>
      <w:bookmarkStart w:id="371" w:name="Tc_Ew894sOrm0S4oivwCZvQuA_4_0"/>
      <w:bookmarkStart w:id="372" w:name="Tc_GBC3f1l6J0msv_Os6zNzaA_3_5"/>
      <w:bookmarkStart w:id="373" w:name="Tc_Lky1YZ8F3UCnSWtePbr31g_3_2"/>
      <w:bookmarkStart w:id="374" w:name="Tc_0TFsS1BM6EiCpB5iiA93PQ_2_2"/>
      <w:bookmarkStart w:id="375" w:name="Tc_ZZzyNj9jBEu2C4U8LBduPQ_1_2"/>
      <w:bookmarkStart w:id="376" w:name="_aec9e398_f1cb_49a4_9d16_6e2ec4dbf0c1"/>
      <w:bookmarkStart w:id="377" w:name="Tc_d7kZ9FcgI0S-81mHmpysTA_31_5"/>
      <w:bookmarkStart w:id="378" w:name="Tc_OAxL1qhKtkyhJOe0CY0iqg_31_2"/>
      <w:bookmarkStart w:id="379" w:name="Tc_StZhDXvImkCjjuLPxZxgWw_31_0"/>
      <w:bookmarkStart w:id="380" w:name="Tc_P0YiHZo8NUGrJ6GPc06oIw_30_0"/>
      <w:bookmarkStart w:id="381" w:name="Tc_eGDuLX-x7U6MGtU9pGXJcQ_29_5"/>
      <w:bookmarkStart w:id="382" w:name="Tc_3ofer_cOjEGB-QD0MuFeIw_29_2"/>
      <w:bookmarkStart w:id="383" w:name="Tc_VAgHAgMUYkq_bw4sUCABdA_29_0"/>
      <w:bookmarkStart w:id="384" w:name="Tc_GY8hg3Z1SUKUmlUmp9N36g_28_0"/>
      <w:bookmarkStart w:id="385" w:name="Tc_kRiK5-I18EKAhsN9NYGTtA_27_0"/>
      <w:bookmarkStart w:id="386" w:name="Tc_qeiNTNAwEU69s82OmmiRDQ_26_0"/>
      <w:bookmarkStart w:id="387" w:name="Tc_liA3nlZ9q0S1eje0yLnqqw_25_0"/>
      <w:bookmarkStart w:id="388" w:name="Tc_US_dDlAKGUyZiX7L9j3JqQ_24_0"/>
      <w:bookmarkStart w:id="389" w:name="Tc_A6cl9QE0R0yQUzlAWk7RSA_23_0"/>
      <w:bookmarkStart w:id="390" w:name="Tc_l2QkRq_3bkaSFxhS3trwsA_22_0"/>
      <w:bookmarkStart w:id="391" w:name="Tc_gQIreI_3oUC7ISeiuU92Vw_21_0"/>
      <w:bookmarkStart w:id="392" w:name="Tc_ycwvfu8kRkaBqJ3-ACgMcA_20_0"/>
      <w:bookmarkStart w:id="393" w:name="Tc_HzjgYbOrM0iwPqUcPtbgfA_19_0"/>
      <w:bookmarkStart w:id="394" w:name="Tc__CCvkLVOUkSRyQjnSMkBPw_18_0"/>
      <w:bookmarkStart w:id="395" w:name="Tc_dotCn_wVt0GR1XMRprv9Sw_17_0"/>
      <w:bookmarkStart w:id="396" w:name="Tc_ZCz9fhqjAEyNKS586eq7Gg_16_0"/>
      <w:bookmarkStart w:id="397" w:name="Tc_iZ94p9HoJkylDl_Z2nfYRw_15_0"/>
      <w:bookmarkStart w:id="398" w:name="Tc_SDLSsWdeVEKP03Pip5eXEA_14_0"/>
      <w:bookmarkStart w:id="399" w:name="Tc_zPBa2LkYbEmoq5Jv3q3_tg_13_0"/>
      <w:bookmarkStart w:id="400" w:name="Tc_1X8wiokkbkSesQdK_91ayQ_12_0"/>
      <w:bookmarkStart w:id="401" w:name="Tc_zCcyq37ZYUm2CKhIezx9pQ_11_0"/>
      <w:bookmarkStart w:id="402" w:name="Tc_m1ao7MtHiEC67mAeujg4Ag_10_0"/>
      <w:bookmarkStart w:id="403" w:name="Tc_SH1NfkI5UE-3QdgLH22xUA_9_0"/>
      <w:bookmarkStart w:id="404" w:name="Tc_Lr1DlCOEWE2B7Ek3YCru6A_8_0"/>
      <w:bookmarkStart w:id="405" w:name="Tc_TOhDEd_JuEGRFy5iqp2xZQ_7_0"/>
      <w:bookmarkStart w:id="406" w:name="Tc_gxJ1oX1BLEmt0KgA3Q83qg_6_0"/>
      <w:bookmarkStart w:id="407" w:name="Tc_iF_SbBotJkO1RJRgkxlX8g_5_5"/>
      <w:bookmarkStart w:id="408" w:name="Tc_l3OJAmZNXkysTb60TSEORw_5_2"/>
      <w:bookmarkStart w:id="409" w:name="Tc_0rDoA_wOTEqfVfbHhSRM8Q_5_0"/>
      <w:bookmarkStart w:id="410" w:name="Tc_Ew894sOrm0S4oivwCZvQuA_4_0"/>
      <w:bookmarkStart w:id="411" w:name="Tc_GBC3f1l6J0msv_Os6zNzaA_3_5"/>
      <w:bookmarkStart w:id="412" w:name="Tc_Lky1YZ8F3UCnSWtePbr31g_3_2"/>
      <w:bookmarkStart w:id="413" w:name="Tc_0TFsS1BM6EiCpB5iiA93PQ_2_2"/>
      <w:bookmarkStart w:id="414" w:name="Tc_ZZzyNj9jBEu2C4U8LBduPQ_1_2"/>
      <w:bookmarkStart w:id="415" w:name="_aec9e398_f1cb_49a4_9d16_6e2ec4dbf0c1"/>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p>
    <w:tbl>
      <w:tblPr>
        <w:tblW w:w="9252" w:type="dxa"/>
        <w:jc w:val="left"/>
        <w:tblInd w:w="0" w:type="dxa"/>
        <w:tblLayout w:type="fixed"/>
        <w:tblCellMar>
          <w:top w:w="0" w:type="dxa"/>
          <w:left w:w="0" w:type="dxa"/>
          <w:bottom w:w="0" w:type="dxa"/>
          <w:right w:w="0" w:type="dxa"/>
        </w:tblCellMar>
      </w:tblPr>
      <w:tblGrid>
        <w:gridCol w:w="6511"/>
        <w:gridCol w:w="326"/>
        <w:gridCol w:w="211"/>
        <w:gridCol w:w="811"/>
        <w:gridCol w:w="326"/>
        <w:gridCol w:w="211"/>
        <w:gridCol w:w="856"/>
      </w:tblGrid>
      <w:tr>
        <w:trPr/>
        <w:tc>
          <w:tcPr>
            <w:tcW w:w="6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7010" cy="175260"/>
                      <wp:effectExtent l="0" t="0" r="0" b="0"/>
                      <wp:wrapNone/>
                      <wp:docPr id="36" name="Frame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33985" cy="175260"/>
                      <wp:effectExtent l="0" t="0" r="0" b="0"/>
                      <wp:wrapNone/>
                      <wp:docPr id="37" name="Frame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514985" cy="175260"/>
                      <wp:effectExtent l="0" t="0" r="0" b="0"/>
                      <wp:wrapNone/>
                      <wp:docPr id="38" name="Frame38"/>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7010" cy="175260"/>
                      <wp:effectExtent l="0" t="0" r="0" b="0"/>
                      <wp:wrapNone/>
                      <wp:docPr id="39" name="Frame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33985" cy="175260"/>
                      <wp:effectExtent l="0" t="0" r="0" b="0"/>
                      <wp:wrapNone/>
                      <wp:docPr id="40" name="Frame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543560" cy="175260"/>
                      <wp:effectExtent l="0" t="0" r="0" b="0"/>
                      <wp:wrapNone/>
                      <wp:docPr id="41" name="Frame41"/>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415" w:type="dxa"/>
            <w:gridSpan w:val="5"/>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r>
      <w:tr>
        <w:trPr/>
        <w:tc>
          <w:tcPr>
            <w:tcW w:w="6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March 31, </w:t>
            </w:r>
          </w:p>
        </w:tc>
      </w:tr>
      <w:tr>
        <w:trPr/>
        <w:tc>
          <w:tcPr>
            <w:tcW w:w="6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2023</w:t>
            </w:r>
          </w:p>
        </w:tc>
        <w:tc>
          <w:tcPr>
            <w:tcW w:w="326" w:type="dxa"/>
            <w:tcBorders/>
            <w:vAlign w:val="center"/>
          </w:tcPr>
          <w:p>
            <w:pPr>
              <w:pStyle w:val="TableContents"/>
              <w:bidi w:val="0"/>
              <w:spacing w:before="0" w:after="0"/>
              <w:ind w:left="0" w:right="0" w:hanging="0"/>
              <w:jc w:val="left"/>
              <w:rPr/>
            </w:pPr>
            <w:r>
              <w:rPr/>
              <w:t>    </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2022</w:t>
            </w:r>
          </w:p>
        </w:tc>
      </w:tr>
      <w:tr>
        <w:trPr/>
        <w:tc>
          <w:tcPr>
            <w:tcW w:w="6511"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  </w:t>
            </w:r>
          </w:p>
        </w:tc>
      </w:tr>
      <w:tr>
        <w:trPr/>
        <w:tc>
          <w:tcPr>
            <w:tcW w:w="65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(11,374)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(9,991)</w:t>
            </w:r>
          </w:p>
        </w:tc>
      </w:tr>
      <w:tr>
        <w:trPr/>
        <w:tc>
          <w:tcPr>
            <w:tcW w:w="65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Adjustments to reconcile net loss to net cash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  </w:t>
            </w:r>
          </w:p>
        </w:tc>
      </w:tr>
      <w:tr>
        <w:trPr/>
        <w:tc>
          <w:tcPr>
            <w:tcW w:w="65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Stock-based compensation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1,705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793</w:t>
            </w:r>
          </w:p>
        </w:tc>
      </w:tr>
      <w:tr>
        <w:trPr/>
        <w:tc>
          <w:tcPr>
            <w:tcW w:w="65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Depreciation of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62</w:t>
            </w:r>
          </w:p>
        </w:tc>
      </w:tr>
      <w:tr>
        <w:trPr/>
        <w:tc>
          <w:tcPr>
            <w:tcW w:w="65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Loss on disposal of equipment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r>
      <w:tr>
        <w:trPr/>
        <w:tc>
          <w:tcPr>
            <w:tcW w:w="65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Amortization of deferred financing costs and loan discount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65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Changes in operating assets and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  </w:t>
            </w:r>
          </w:p>
        </w:tc>
      </w:tr>
      <w:tr>
        <w:trPr/>
        <w:tc>
          <w:tcPr>
            <w:tcW w:w="65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Accounts receivable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(1,113)</w:t>
            </w:r>
          </w:p>
        </w:tc>
      </w:tr>
      <w:tr>
        <w:trPr/>
        <w:tc>
          <w:tcPr>
            <w:tcW w:w="65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Inventory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(1,284)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(1,381)</w:t>
            </w:r>
          </w:p>
        </w:tc>
      </w:tr>
      <w:tr>
        <w:trPr/>
        <w:tc>
          <w:tcPr>
            <w:tcW w:w="65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Prepaid expenses and 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1,591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485</w:t>
            </w:r>
          </w:p>
        </w:tc>
      </w:tr>
      <w:tr>
        <w:trPr/>
        <w:tc>
          <w:tcPr>
            <w:tcW w:w="65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Accounts payable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1,097</w:t>
            </w:r>
          </w:p>
        </w:tc>
      </w:tr>
      <w:tr>
        <w:trPr/>
        <w:tc>
          <w:tcPr>
            <w:tcW w:w="65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Accrued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(596)</w:t>
            </w:r>
          </w:p>
        </w:tc>
      </w:tr>
      <w:tr>
        <w:trPr/>
        <w:tc>
          <w:tcPr>
            <w:tcW w:w="65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cash used in operating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(10,249)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(10,644)</w:t>
            </w:r>
          </w:p>
        </w:tc>
      </w:tr>
      <w:tr>
        <w:trPr/>
        <w:tc>
          <w:tcPr>
            <w:tcW w:w="6511"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Cash flows from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  </w:t>
            </w:r>
          </w:p>
        </w:tc>
      </w:tr>
      <w:tr>
        <w:trPr/>
        <w:tc>
          <w:tcPr>
            <w:tcW w:w="65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Purchase of property and equipment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(293)</w:t>
            </w:r>
          </w:p>
        </w:tc>
      </w:tr>
      <w:tr>
        <w:trPr/>
        <w:tc>
          <w:tcPr>
            <w:tcW w:w="65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cash used in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(293)</w:t>
            </w:r>
          </w:p>
        </w:tc>
      </w:tr>
      <w:tr>
        <w:trPr/>
        <w:tc>
          <w:tcPr>
            <w:tcW w:w="6511"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Cash flows from financing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  </w:t>
            </w:r>
          </w:p>
        </w:tc>
      </w:tr>
      <w:tr>
        <w:trPr/>
        <w:tc>
          <w:tcPr>
            <w:tcW w:w="65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Proceeds from the exercise of common stock options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w:t>
            </w:r>
          </w:p>
        </w:tc>
      </w:tr>
      <w:tr>
        <w:trPr/>
        <w:tc>
          <w:tcPr>
            <w:tcW w:w="65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Proceeds from debt financing</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7,500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r>
      <w:tr>
        <w:trPr/>
        <w:tc>
          <w:tcPr>
            <w:tcW w:w="65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Debt financing costs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5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cash provided by financing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7,568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w:t>
            </w:r>
          </w:p>
        </w:tc>
      </w:tr>
      <w:tr>
        <w:trPr/>
        <w:tc>
          <w:tcPr>
            <w:tcW w:w="65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Effect of currency exchange on 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w:t>
            </w:r>
          </w:p>
        </w:tc>
      </w:tr>
      <w:tr>
        <w:trPr/>
        <w:tc>
          <w:tcPr>
            <w:tcW w:w="6511"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Net change in cash and cash equivalents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(2,918)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(10,895)</w:t>
            </w:r>
          </w:p>
        </w:tc>
      </w:tr>
      <w:tr>
        <w:trPr/>
        <w:tc>
          <w:tcPr>
            <w:tcW w:w="65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and cash equivalents at beginning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106,194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142,072</w:t>
            </w:r>
          </w:p>
        </w:tc>
      </w:tr>
      <w:tr>
        <w:trPr/>
        <w:tc>
          <w:tcPr>
            <w:tcW w:w="6511"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Cash and cash equivalents at end of period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103,276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131,177</w:t>
            </w:r>
          </w:p>
        </w:tc>
      </w:tr>
      <w:tr>
        <w:trPr/>
        <w:tc>
          <w:tcPr>
            <w:tcW w:w="6511"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Supplemental Information: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  </w:t>
            </w:r>
          </w:p>
        </w:tc>
      </w:tr>
      <w:tr>
        <w:trPr/>
        <w:tc>
          <w:tcPr>
            <w:tcW w:w="65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paid for interest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CVRx, INC.</w:t>
      </w:r>
    </w:p>
    <w:p>
      <w:pPr>
        <w:pStyle w:val="TextBody"/>
        <w:bidi w:val="0"/>
        <w:spacing w:before="0" w:after="0"/>
        <w:ind w:left="0" w:right="0" w:hanging="0"/>
        <w:jc w:val="center"/>
        <w:rPr>
          <w:rFonts w:ascii="Arial;Helvetica;sans-serif" w:hAnsi="Arial;Helvetica;sans-serif"/>
          <w:b/>
          <w:sz w:val="20"/>
        </w:rPr>
      </w:pPr>
      <w:bookmarkStart w:id="416" w:name="NotestoCondensedConsolidatedFinancialSta"/>
      <w:bookmarkEnd w:id="416"/>
      <w:r>
        <w:rPr>
          <w:rFonts w:ascii="Arial;Helvetica;sans-serif" w:hAnsi="Arial;Helvetica;sans-serif"/>
          <w:b/>
          <w:sz w:val="20"/>
        </w:rPr>
        <w:t>Notes to Condensed Consolidated Financial Statements</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(Unaudited)</w:t>
      </w:r>
    </w:p>
    <w:tbl>
      <w:tblPr>
        <w:tblW w:w="3032" w:type="dxa"/>
        <w:jc w:val="left"/>
        <w:tblInd w:w="0" w:type="dxa"/>
        <w:tblLayout w:type="fixed"/>
        <w:tblCellMar>
          <w:top w:w="0" w:type="dxa"/>
          <w:left w:w="0" w:type="dxa"/>
          <w:bottom w:w="0" w:type="dxa"/>
          <w:right w:w="0" w:type="dxa"/>
        </w:tblCellMar>
      </w:tblPr>
      <w:tblGrid>
        <w:gridCol w:w="316"/>
        <w:gridCol w:w="2716"/>
      </w:tblGrid>
      <w:tr>
        <w:trPr/>
        <w:tc>
          <w:tcPr>
            <w:tcW w:w="316" w:type="dxa"/>
            <w:tcBorders/>
            <w:vAlign w:val="center"/>
          </w:tcPr>
          <w:p>
            <w:pPr>
              <w:pStyle w:val="TableContents"/>
              <w:bidi w:val="0"/>
              <w:spacing w:before="0" w:after="240"/>
              <w:jc w:val="left"/>
              <w:rPr>
                <w:rFonts w:ascii="Arial;Helvetica;sans-serif" w:hAnsi="Arial;Helvetica;sans-serif"/>
                <w:b/>
                <w:sz w:val="24"/>
              </w:rPr>
            </w:pPr>
            <w:r>
              <w:rPr>
                <w:rFonts w:ascii="Arial;Helvetica;sans-serif" w:hAnsi="Arial;Helvetica;sans-serif"/>
                <w:b/>
                <w:sz w:val="24"/>
              </w:rPr>
              <w:t>1.</w:t>
            </w:r>
          </w:p>
        </w:tc>
        <w:tc>
          <w:tcPr>
            <w:tcW w:w="2716" w:type="dxa"/>
            <w:tcBorders/>
            <w:vAlign w:val="center"/>
          </w:tcPr>
          <w:p>
            <w:pPr>
              <w:pStyle w:val="TableContents"/>
              <w:bidi w:val="0"/>
              <w:spacing w:before="0" w:after="240"/>
              <w:jc w:val="left"/>
              <w:rPr>
                <w:rFonts w:ascii="Arial;Helvetica;sans-serif" w:hAnsi="Arial;Helvetica;sans-serif"/>
                <w:b/>
                <w:sz w:val="24"/>
              </w:rPr>
            </w:pPr>
            <w:r>
              <w:rPr>
                <w:rFonts w:ascii="Arial;Helvetica;sans-serif" w:hAnsi="Arial;Helvetica;sans-serif"/>
                <w:b/>
                <w:sz w:val="24"/>
              </w:rPr>
              <w:t>Business organization</w:t>
            </w:r>
          </w:p>
        </w:tc>
      </w:tr>
    </w:tbl>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CVRx, Inc. (the “Company”) was incorporated in Delaware and is headquartered in Minneapolis, Minnesota. The Company has developed and is marketing a medical device, Barostim, for heart failure (“HF”) and resistant hypertension. The Company is focused on the sale of its product in the U.S. and Europe.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Management expects that operating losses and negative cash flows from operations could continue in the foreseeable future. There is no assurance that the Company will generate sufficient product sales to produce positive earnings or cash flows.</w:t>
      </w:r>
    </w:p>
    <w:tbl>
      <w:tblPr>
        <w:tblW w:w="5387" w:type="dxa"/>
        <w:jc w:val="left"/>
        <w:tblInd w:w="0" w:type="dxa"/>
        <w:tblLayout w:type="fixed"/>
        <w:tblCellMar>
          <w:top w:w="0" w:type="dxa"/>
          <w:left w:w="0" w:type="dxa"/>
          <w:bottom w:w="0" w:type="dxa"/>
          <w:right w:w="0" w:type="dxa"/>
        </w:tblCellMar>
      </w:tblPr>
      <w:tblGrid>
        <w:gridCol w:w="316"/>
        <w:gridCol w:w="5071"/>
      </w:tblGrid>
      <w:tr>
        <w:trPr/>
        <w:tc>
          <w:tcPr>
            <w:tcW w:w="316" w:type="dxa"/>
            <w:tcBorders/>
            <w:vAlign w:val="center"/>
          </w:tcPr>
          <w:p>
            <w:pPr>
              <w:pStyle w:val="TableContents"/>
              <w:bidi w:val="0"/>
              <w:spacing w:before="0" w:after="240"/>
              <w:jc w:val="left"/>
              <w:rPr>
                <w:rFonts w:ascii="Arial;Helvetica;sans-serif" w:hAnsi="Arial;Helvetica;sans-serif"/>
                <w:b/>
                <w:sz w:val="24"/>
              </w:rPr>
            </w:pPr>
            <w:r>
              <w:rPr>
                <w:rFonts w:ascii="Arial;Helvetica;sans-serif" w:hAnsi="Arial;Helvetica;sans-serif"/>
                <w:b/>
                <w:sz w:val="24"/>
              </w:rPr>
              <w:t>2.</w:t>
            </w:r>
          </w:p>
        </w:tc>
        <w:tc>
          <w:tcPr>
            <w:tcW w:w="5071" w:type="dxa"/>
            <w:tcBorders/>
            <w:vAlign w:val="center"/>
          </w:tcPr>
          <w:p>
            <w:pPr>
              <w:pStyle w:val="TableContents"/>
              <w:bidi w:val="0"/>
              <w:spacing w:before="0" w:after="240"/>
              <w:jc w:val="left"/>
              <w:rPr>
                <w:rFonts w:ascii="Arial;Helvetica;sans-serif" w:hAnsi="Arial;Helvetica;sans-serif"/>
                <w:b/>
                <w:sz w:val="24"/>
              </w:rPr>
            </w:pPr>
            <w:r>
              <w:rPr>
                <w:rFonts w:ascii="Arial;Helvetica;sans-serif" w:hAnsi="Arial;Helvetica;sans-serif"/>
                <w:b/>
                <w:sz w:val="24"/>
              </w:rPr>
              <w:t>Summary of significant accounting policies</w:t>
            </w:r>
          </w:p>
        </w:tc>
      </w:tr>
    </w:tbl>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Statement presentation and basis of consolidation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accompanying unaudited condensed consolidated financial statements have been prepared in accordance with accounting principles generally accepted in the United States of America (“U.S. GAAP”) for interim financial information and with the rules and regulations of the U.S. Securities and Exchange Commission (“SEC”) applicable to interim financial statements. In the Company’s opinion, the accompanying unaudited condensed consolidated financial statements reflect all adjustments necessary for a fair presentation of the Company’s statements of financial position, results of operations and cash flows for the periods presented. The results of operations for the interim periods are not necessarily indicative of results that may be expected for the fiscal year as a whole or any other future period.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condensed consolidated financial statements include the accounts of CVRx, Inc., its wholly owned subsidiary, CVRx Switzerland LLC, and its sales branch in Italy. All intercompany balances and transactions have been eliminated in consolidation.</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JOBS Act accounting election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Company is an emerging growth company under the Jumpstart Our Business Startups Act of 2012 (the “JOBS Act”). As a result, the Company has elected to take advantage of certain exemptions from various reporting requirements that are applicable to other public companies that are not emerging growth companies.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Use of estimates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Preparation of the condensed consolidated financial statements in conformity with U.S. GAAP requires management to make estimates and assumptions that affect the amounts reported in the condensed consolidated financial statements and the accompanying notes. Actual results could differ from those estimates.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Cash and cash equivalents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Cash and cash equivalents include highly liquid investments with an original maturity of three months or less. As of March 31, 2023 and December 31, 2022, cash equivalents consisted of money market funds, which are stated at cost and approximate fair value. Additionally, as of March 31, 2023 and December 31, 2022, our cash and cash equivalents were maintained with two financial institutions in the U.S., and our current deposits are likely in excess of insured limits.</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Accounts Receivable</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Trade accounts receivable are recorded at the invoiced amount and do not bear interest. Customer credit terms are established prior to shipment with the standard generally being net 30 days. </w:t>
      </w:r>
      <w:r>
        <w:rPr>
          <w:rFonts w:ascii="Arial;Helvetica;sans-serif" w:hAnsi="Arial;Helvetica;sans-serif"/>
          <w:sz w:val="20"/>
          <w:shd w:fill="FFFFFF" w:val="clear"/>
        </w:rPr>
        <w:t>We evaluate the collectability of our accounts receivable based on known collection risks and historical experience. In circumstances where we are aware of a specific customer's inability to meet its financial obligations to us, we record a specific allowance for bad debts against amounts due to reduce the carrying amount of accounts receivable to the amount we reasonably believe will be collected.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Inventory</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Inventory is stated at the lower of cost or net realizable value, with cost determined on a first-in, first-out basis. The Company regularly reviews inventory quantities in consideration of actual loss experiences, projected future demand and remaining shelf life to record a provision for excess and obsolete inventory when appropriate.</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Leases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Operating leases are included in operating lease right-of-use (“ROU”) asset, accrued expenses, and operating lease liability – non-current portion in our balance sheets. ROU assets represent our right to use an underlying asset for the lease term and lease liabilities represent our obligation to make lease payments arising from the lease. Operating lease ROU assets and liabilities are recognized at the lease commencement date based on the present value of lease payments over the lease term. We used the incremental borrowing rate based on information readily available at the time of recognition to determine the present value of the lease payments. The determination of our incremental borrowing rate requires management judgement based on information available at lease commencement.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Revenue recognition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Company sells its products primarily through a direct sales force and to a lesser extent through a combination of sales agents and independent distributors. The Company’s revenue consists primarily of the sale of its Barostim, which consists of two implantable components: a pulse generator and a stimulation lead.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Under Accounting Standards Codification (“ASC”) Topic 606, </w:t>
      </w:r>
      <w:r>
        <w:rPr>
          <w:rFonts w:ascii="Arial;Helvetica;sans-serif" w:hAnsi="Arial;Helvetica;sans-serif"/>
          <w:i/>
          <w:sz w:val="20"/>
        </w:rPr>
        <w:t>Revenue from Contracts with Customers</w:t>
      </w:r>
      <w:r>
        <w:rPr>
          <w:rFonts w:ascii="Arial;Helvetica;sans-serif" w:hAnsi="Arial;Helvetica;sans-serif"/>
          <w:sz w:val="20"/>
        </w:rPr>
        <w:t xml:space="preserve"> (“ASC 606”), revenue is recognized when a customer obtains control of promised goods or services, in an amount that reflects the consideration that the entity expects to receive in exchange for those goods or services. To determine revenue recognition for arrangements that an entity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Company will collect the consideration it is entitled to in exchange for the goods or services it transfers to the customer. The Company recognizes net revenue on product sales when the customer obtains control of the Company’s product, which generally occurs at a point in time upon delivery based on the contractual shipping terms of a contract.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Stock-Based Compensation</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We recognize equity-based compensation expense for awards of equity instruments to employees and non-employees based on the grant date fair value of those awards in accordance with Financial Accounting Standards Board (“FASB”) ASC Topic 718, </w:t>
      </w:r>
      <w:r>
        <w:rPr>
          <w:rFonts w:ascii="Arial;Helvetica;sans-serif" w:hAnsi="Arial;Helvetica;sans-serif"/>
          <w:i/>
          <w:sz w:val="20"/>
        </w:rPr>
        <w:t>Compensation—Stock Compensation</w:t>
      </w:r>
      <w:r>
        <w:rPr>
          <w:rFonts w:ascii="Arial;Helvetica;sans-serif" w:hAnsi="Arial;Helvetica;sans-serif"/>
          <w:sz w:val="20"/>
        </w:rPr>
        <w:t xml:space="preserve"> (“ASC 718”). ASC 718 requires all equity-based compensation awards to employees and non-employee directors, including grants of restricted shares and stock options, to be recognized as expense in the statements of operations and comprehensive loss based on their grant date fair values. We estimate the grant date fair value of stock options using the Black-Scholes option pricing model. We account for forfeitures as they occur. We expense </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fair value of our equity-based compensation awards granted to employees on a straight-line basis over the associated service period, which is generally the period in which the related services are received.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Recent accounting pronouncements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In June 2016, the FASB issued Accounting Standards Update (“ASU”) 2016-13, </w:t>
      </w:r>
      <w:r>
        <w:rPr>
          <w:rFonts w:ascii="Arial;Helvetica;sans-serif" w:hAnsi="Arial;Helvetica;sans-serif"/>
          <w:i/>
          <w:sz w:val="20"/>
        </w:rPr>
        <w:t>Financial Instruments - Credit Losses</w:t>
      </w:r>
      <w:r>
        <w:rPr>
          <w:rFonts w:ascii="Arial;Helvetica;sans-serif" w:hAnsi="Arial;Helvetica;sans-serif"/>
          <w:sz w:val="20"/>
        </w:rPr>
        <w:t> ("ASU 2016-13"), to require the measurement of expected credit losses for financial instruments held at the reporting date to be based on historical experience, current conditions, and reasonable forecasts. ASU 2016-13 became effective for us for interim and annual periods beginning January 1, 2023. The adoption of ASU 2016-13 did not have a material impact on our results of operations, cash flows, or financial position.</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417" w:name="Tc_8O0gD3OuBUOoXDWTKfm0iw_10_5"/>
      <w:bookmarkStart w:id="418" w:name="Tc_tEWYgd2ofEK7Z7M6vOjQnQ_10_2"/>
      <w:bookmarkStart w:id="419" w:name="Tc_yNb-pEBfuU6BB0sQl_37jQ_9_0"/>
      <w:bookmarkStart w:id="420" w:name="Tc_sinPwBGBJEGTBNl_XDTkmQ_7_0"/>
      <w:bookmarkStart w:id="421" w:name="Tc_TjQ9wdSEokeW-WV8F5J8SQ_6_0"/>
      <w:bookmarkStart w:id="422" w:name="Tc_QQxf-K4HDU2DnujDV789UQ_5_0"/>
      <w:bookmarkStart w:id="423" w:name="Tc_CftBd17De0Gp95u9ePo69g_4_0"/>
      <w:bookmarkStart w:id="424" w:name="Tc_lAEyWgKqKE-szUP0g01-2Q_3_5"/>
      <w:bookmarkStart w:id="425" w:name="Tc_BewBKME0Ekmhofvi3TeJMg_3_2"/>
      <w:bookmarkStart w:id="426" w:name="Tc_HBjLSIxbjk6Oy_gwPPjaFg_3_0"/>
      <w:bookmarkStart w:id="427" w:name="Tc_1ltSPBlg90ijtT0GO9LDJw_2_5"/>
      <w:bookmarkStart w:id="428" w:name="Tc_9fKU6bG190iOrtOwHdq7Tg_2_2"/>
      <w:bookmarkStart w:id="429" w:name="Tc_96lIvXSLg0y5vjl19enQNQ_2_0"/>
      <w:bookmarkStart w:id="430" w:name="Tc_ekZHd-DSUkiY_JedscqZzw_1_5"/>
      <w:bookmarkStart w:id="431" w:name="Tc_GUkJ01XSa0mU79c1PQ4eYA_1_2"/>
      <w:bookmarkStart w:id="432" w:name="Tc_7bLWYNKYb06fPzyKGNrVmA_6_5"/>
      <w:bookmarkStart w:id="433" w:name="Tc_AU8QqVz2w0G0f5_XO1ZIag_6_2"/>
      <w:bookmarkStart w:id="434" w:name="Tc_4Hu2Lq-b70OTTX8kqoBjHg_5_0"/>
      <w:bookmarkStart w:id="435" w:name="Tc_6eKAPylklEivWEAd8zQBhA_4_0"/>
      <w:bookmarkStart w:id="436" w:name="Tc_j8iDZthYLE2A7KPnfPyBpA_3_5"/>
      <w:bookmarkStart w:id="437" w:name="Tc_0zG3h-szekGACSvH7zRHOg_3_2"/>
      <w:bookmarkStart w:id="438" w:name="Tc_i92NM4rrsUGv-4ZtC5btEw_3_0"/>
      <w:bookmarkStart w:id="439" w:name="Tc_6zsVrMHwh0ePXdAUPIa49Q_2_5"/>
      <w:bookmarkStart w:id="440" w:name="Tc_ppUjhAg3j0OKC_PTv77Q6A_2_2"/>
      <w:bookmarkStart w:id="441" w:name="Tc_67vvwKElW06or_gne33Zeg_2_0"/>
      <w:bookmarkStart w:id="442" w:name="Tc_9yyibXH5Rkyw3hM3BSJsNw_1_5"/>
      <w:bookmarkStart w:id="443" w:name="Tc_m-CP__1fI0aZhS6Wk_ZmMw_1_2"/>
      <w:bookmarkStart w:id="444" w:name="_32f539bb_67c4_4ac3_982a_bd76d3c40eed"/>
      <w:bookmarkStart w:id="445" w:name="Tc_8O0gD3OuBUOoXDWTKfm0iw_10_5"/>
      <w:bookmarkStart w:id="446" w:name="Tc_tEWYgd2ofEK7Z7M6vOjQnQ_10_2"/>
      <w:bookmarkStart w:id="447" w:name="Tc_yNb-pEBfuU6BB0sQl_37jQ_9_0"/>
      <w:bookmarkStart w:id="448" w:name="Tc_sinPwBGBJEGTBNl_XDTkmQ_7_0"/>
      <w:bookmarkStart w:id="449" w:name="Tc_TjQ9wdSEokeW-WV8F5J8SQ_6_0"/>
      <w:bookmarkStart w:id="450" w:name="Tc_QQxf-K4HDU2DnujDV789UQ_5_0"/>
      <w:bookmarkStart w:id="451" w:name="Tc_CftBd17De0Gp95u9ePo69g_4_0"/>
      <w:bookmarkStart w:id="452" w:name="Tc_lAEyWgKqKE-szUP0g01-2Q_3_5"/>
      <w:bookmarkStart w:id="453" w:name="Tc_BewBKME0Ekmhofvi3TeJMg_3_2"/>
      <w:bookmarkStart w:id="454" w:name="Tc_HBjLSIxbjk6Oy_gwPPjaFg_3_0"/>
      <w:bookmarkStart w:id="455" w:name="Tc_1ltSPBlg90ijtT0GO9LDJw_2_5"/>
      <w:bookmarkStart w:id="456" w:name="Tc_9fKU6bG190iOrtOwHdq7Tg_2_2"/>
      <w:bookmarkStart w:id="457" w:name="Tc_96lIvXSLg0y5vjl19enQNQ_2_0"/>
      <w:bookmarkStart w:id="458" w:name="Tc_ekZHd-DSUkiY_JedscqZzw_1_5"/>
      <w:bookmarkStart w:id="459" w:name="Tc_GUkJ01XSa0mU79c1PQ4eYA_1_2"/>
      <w:bookmarkStart w:id="460" w:name="Tc_7bLWYNKYb06fPzyKGNrVmA_6_5"/>
      <w:bookmarkStart w:id="461" w:name="Tc_AU8QqVz2w0G0f5_XO1ZIag_6_2"/>
      <w:bookmarkStart w:id="462" w:name="Tc_4Hu2Lq-b70OTTX8kqoBjHg_5_0"/>
      <w:bookmarkStart w:id="463" w:name="Tc_6eKAPylklEivWEAd8zQBhA_4_0"/>
      <w:bookmarkStart w:id="464" w:name="Tc_j8iDZthYLE2A7KPnfPyBpA_3_5"/>
      <w:bookmarkStart w:id="465" w:name="Tc_0zG3h-szekGACSvH7zRHOg_3_2"/>
      <w:bookmarkStart w:id="466" w:name="Tc_i92NM4rrsUGv-4ZtC5btEw_3_0"/>
      <w:bookmarkStart w:id="467" w:name="Tc_6zsVrMHwh0ePXdAUPIa49Q_2_5"/>
      <w:bookmarkStart w:id="468" w:name="Tc_ppUjhAg3j0OKC_PTv77Q6A_2_2"/>
      <w:bookmarkStart w:id="469" w:name="Tc_67vvwKElW06or_gne33Zeg_2_0"/>
      <w:bookmarkStart w:id="470" w:name="Tc_9yyibXH5Rkyw3hM3BSJsNw_1_5"/>
      <w:bookmarkStart w:id="471" w:name="Tc_m-CP__1fI0aZhS6Wk_ZmMw_1_2"/>
      <w:bookmarkStart w:id="472" w:name="_32f539bb_67c4_4ac3_982a_bd76d3c40eed"/>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p>
    <w:tbl>
      <w:tblPr>
        <w:tblW w:w="4472" w:type="dxa"/>
        <w:jc w:val="left"/>
        <w:tblInd w:w="0" w:type="dxa"/>
        <w:tblLayout w:type="fixed"/>
        <w:tblCellMar>
          <w:top w:w="0" w:type="dxa"/>
          <w:left w:w="0" w:type="dxa"/>
          <w:bottom w:w="0" w:type="dxa"/>
          <w:right w:w="0" w:type="dxa"/>
        </w:tblCellMar>
      </w:tblPr>
      <w:tblGrid>
        <w:gridCol w:w="316"/>
        <w:gridCol w:w="4156"/>
      </w:tblGrid>
      <w:tr>
        <w:trPr/>
        <w:tc>
          <w:tcPr>
            <w:tcW w:w="316" w:type="dxa"/>
            <w:tcBorders/>
            <w:vAlign w:val="center"/>
          </w:tcPr>
          <w:p>
            <w:pPr>
              <w:pStyle w:val="TableContents"/>
              <w:bidi w:val="0"/>
              <w:spacing w:before="0" w:after="240"/>
              <w:jc w:val="left"/>
              <w:rPr>
                <w:rFonts w:ascii="Arial;Helvetica;sans-serif" w:hAnsi="Arial;Helvetica;sans-serif"/>
                <w:b/>
                <w:sz w:val="24"/>
              </w:rPr>
            </w:pPr>
            <w:r>
              <w:rPr>
                <w:rFonts w:ascii="Arial;Helvetica;sans-serif" w:hAnsi="Arial;Helvetica;sans-serif"/>
                <w:b/>
                <w:sz w:val="24"/>
              </w:rPr>
              <w:t>3.</w:t>
            </w:r>
          </w:p>
        </w:tc>
        <w:tc>
          <w:tcPr>
            <w:tcW w:w="4156" w:type="dxa"/>
            <w:tcBorders/>
            <w:vAlign w:val="center"/>
          </w:tcPr>
          <w:p>
            <w:pPr>
              <w:pStyle w:val="TableContents"/>
              <w:bidi w:val="0"/>
              <w:spacing w:before="0" w:after="240"/>
              <w:jc w:val="left"/>
              <w:rPr>
                <w:rFonts w:ascii="Arial;Helvetica;sans-serif" w:hAnsi="Arial;Helvetica;sans-serif"/>
                <w:b/>
                <w:sz w:val="24"/>
              </w:rPr>
            </w:pPr>
            <w:r>
              <w:rPr>
                <w:rFonts w:ascii="Arial;Helvetica;sans-serif" w:hAnsi="Arial;Helvetica;sans-serif"/>
                <w:b/>
                <w:sz w:val="24"/>
              </w:rPr>
              <w:t>Selected balance sheet information</w:t>
            </w:r>
          </w:p>
        </w:tc>
      </w:tr>
    </w:tbl>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Inventory consists of the following at:</w:t>
      </w:r>
    </w:p>
    <w:p>
      <w:pPr>
        <w:pStyle w:val="TextBody"/>
        <w:bidi w:val="0"/>
        <w:spacing w:before="0" w:after="240"/>
        <w:ind w:left="0" w:right="0" w:hanging="0"/>
        <w:jc w:val="left"/>
        <w:rPr/>
      </w:pPr>
      <w:r>
        <w:rPr/>
        <w:t>​</w:t>
      </w:r>
    </w:p>
    <w:tbl>
      <w:tblPr>
        <w:tblW w:w="4343" w:type="dxa"/>
        <w:jc w:val="left"/>
        <w:tblInd w:w="0" w:type="dxa"/>
        <w:tblLayout w:type="fixed"/>
        <w:tblCellMar>
          <w:top w:w="0" w:type="dxa"/>
          <w:left w:w="0" w:type="dxa"/>
          <w:bottom w:w="0" w:type="dxa"/>
          <w:right w:w="0" w:type="dxa"/>
        </w:tblCellMar>
      </w:tblPr>
      <w:tblGrid>
        <w:gridCol w:w="1531"/>
        <w:gridCol w:w="326"/>
        <w:gridCol w:w="237"/>
        <w:gridCol w:w="663"/>
        <w:gridCol w:w="326"/>
        <w:gridCol w:w="290"/>
        <w:gridCol w:w="970"/>
      </w:tblGrid>
      <w:tr>
        <w:trPr/>
        <w:tc>
          <w:tcPr>
            <w:tcW w:w="15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07010" cy="175260"/>
                      <wp:effectExtent l="0" t="0" r="0" b="0"/>
                      <wp:wrapNone/>
                      <wp:docPr id="42" name="Frame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50495" cy="175260"/>
                      <wp:effectExtent l="0" t="0" r="0" b="0"/>
                      <wp:wrapNone/>
                      <wp:docPr id="43" name="Frame43"/>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421005" cy="175260"/>
                      <wp:effectExtent l="0" t="0" r="0" b="0"/>
                      <wp:wrapNone/>
                      <wp:docPr id="44" name="Frame44"/>
                      <a:graphic xmlns:a="http://schemas.openxmlformats.org/drawingml/2006/main">
                        <a:graphicData uri="http://schemas.microsoft.com/office/word/2010/wordprocessingShape">
                          <wps:wsp>
                            <wps:cNvSpPr txBox="1"/>
                            <wps:spPr>
                              <a:xfrm>
                                <a:off x="0" y="0"/>
                                <a:ext cx="421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07010" cy="175260"/>
                      <wp:effectExtent l="0" t="0" r="0" b="0"/>
                      <wp:wrapNone/>
                      <wp:docPr id="45" name="Frame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84150" cy="175260"/>
                      <wp:effectExtent l="0" t="0" r="0" b="0"/>
                      <wp:wrapNone/>
                      <wp:docPr id="46" name="Frame46"/>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15950" cy="175260"/>
                      <wp:effectExtent l="0" t="0" r="0" b="0"/>
                      <wp:wrapNone/>
                      <wp:docPr id="47" name="Frame47"/>
                      <a:graphic xmlns:a="http://schemas.openxmlformats.org/drawingml/2006/main">
                        <a:graphicData uri="http://schemas.microsoft.com/office/word/2010/wordprocessingShape">
                          <wps:wsp>
                            <wps:cNvSpPr txBox="1"/>
                            <wps:spPr>
                              <a:xfrm>
                                <a:off x="0" y="0"/>
                                <a:ext cx="615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00"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March 31, </w:t>
            </w:r>
          </w:p>
        </w:tc>
        <w:tc>
          <w:tcPr>
            <w:tcW w:w="326" w:type="dxa"/>
            <w:tcBorders/>
            <w:vAlign w:val="center"/>
          </w:tcPr>
          <w:p>
            <w:pPr>
              <w:pStyle w:val="TableContents"/>
              <w:bidi w:val="0"/>
              <w:spacing w:before="0" w:after="1"/>
              <w:ind w:left="0" w:right="0" w:hanging="0"/>
              <w:jc w:val="left"/>
              <w:rPr/>
            </w:pPr>
            <w:r>
              <w:rPr/>
              <w:t>    </w:t>
            </w:r>
          </w:p>
        </w:tc>
        <w:tc>
          <w:tcPr>
            <w:tcW w:w="1260"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153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i/>
                <w:sz w:val="16"/>
              </w:rPr>
            </w:pPr>
            <w:r>
              <w:rPr>
                <w:rFonts w:ascii="Arial;Helvetica;sans-serif" w:hAnsi="Arial;Helvetica;sans-serif"/>
                <w:i/>
                <w:sz w:val="16"/>
              </w:rPr>
              <w:t>(in thousands)</w:t>
            </w:r>
          </w:p>
        </w:tc>
        <w:tc>
          <w:tcPr>
            <w:tcW w:w="326" w:type="dxa"/>
            <w:tcBorders/>
            <w:vAlign w:val="center"/>
          </w:tcPr>
          <w:p>
            <w:pPr>
              <w:pStyle w:val="TableContents"/>
              <w:bidi w:val="0"/>
              <w:spacing w:before="0" w:after="1"/>
              <w:ind w:left="0" w:right="0" w:hanging="0"/>
              <w:jc w:val="left"/>
              <w:rPr/>
            </w:pPr>
            <w:r>
              <w:rPr/>
              <w:t>​</w:t>
            </w:r>
          </w:p>
        </w:tc>
        <w:tc>
          <w:tcPr>
            <w:tcW w:w="9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vAlign w:val="center"/>
          </w:tcPr>
          <w:p>
            <w:pPr>
              <w:pStyle w:val="TableContents"/>
              <w:bidi w:val="0"/>
              <w:spacing w:before="0" w:after="1"/>
              <w:ind w:left="0" w:right="0" w:hanging="0"/>
              <w:jc w:val="left"/>
              <w:rPr/>
            </w:pPr>
            <w:r>
              <w:rPr/>
              <w:t>​</w:t>
            </w:r>
          </w:p>
        </w:tc>
        <w:tc>
          <w:tcPr>
            <w:tcW w:w="12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r>
      <w:tr>
        <w:trPr/>
        <w:tc>
          <w:tcPr>
            <w:tcW w:w="15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Raw material</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6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3,037</w:t>
            </w:r>
          </w:p>
        </w:tc>
        <w:tc>
          <w:tcPr>
            <w:tcW w:w="32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7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2,390</w:t>
            </w:r>
          </w:p>
        </w:tc>
      </w:tr>
      <w:tr>
        <w:trPr/>
        <w:tc>
          <w:tcPr>
            <w:tcW w:w="15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Work-in-process</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66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519</w:t>
            </w:r>
          </w:p>
        </w:tc>
        <w:tc>
          <w:tcPr>
            <w:tcW w:w="32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 </w:t>
            </w:r>
          </w:p>
        </w:tc>
        <w:tc>
          <w:tcPr>
            <w:tcW w:w="97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1,033</w:t>
            </w:r>
          </w:p>
        </w:tc>
      </w:tr>
      <w:tr>
        <w:trPr/>
        <w:tc>
          <w:tcPr>
            <w:tcW w:w="15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Finished goods</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4,685</w:t>
            </w:r>
          </w:p>
        </w:tc>
        <w:tc>
          <w:tcPr>
            <w:tcW w:w="326" w:type="dxa"/>
            <w:tcBorders/>
            <w:shd w:fill="CCEEFF" w:val="clear"/>
            <w:vAlign w:val="center"/>
          </w:tcPr>
          <w:p>
            <w:pPr>
              <w:pStyle w:val="TableContents"/>
              <w:bidi w:val="0"/>
              <w:spacing w:before="0" w:after="1"/>
              <w:ind w:left="0" w:right="0" w:hanging="0"/>
              <w:jc w:val="left"/>
              <w:rPr/>
            </w:pPr>
            <w:r>
              <w:rPr/>
              <w:t>​</w:t>
            </w:r>
          </w:p>
        </w:tc>
        <w:tc>
          <w:tcPr>
            <w:tcW w:w="29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3,534</w:t>
            </w:r>
          </w:p>
        </w:tc>
      </w:tr>
      <w:tr>
        <w:trPr/>
        <w:tc>
          <w:tcPr>
            <w:tcW w:w="15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63"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8,241</w:t>
            </w:r>
          </w:p>
        </w:tc>
        <w:tc>
          <w:tcPr>
            <w:tcW w:w="326" w:type="dxa"/>
            <w:tcBorders/>
            <w:vAlign w:val="center"/>
          </w:tcPr>
          <w:p>
            <w:pPr>
              <w:pStyle w:val="TableContents"/>
              <w:bidi w:val="0"/>
              <w:spacing w:before="0" w:after="1"/>
              <w:ind w:left="0" w:right="0" w:hanging="0"/>
              <w:jc w:val="left"/>
              <w:rPr/>
            </w:pPr>
            <w:r>
              <w:rPr/>
              <w:t>​</w:t>
            </w:r>
          </w:p>
        </w:tc>
        <w:tc>
          <w:tcPr>
            <w:tcW w:w="290"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70" w:type="dxa"/>
            <w:tcBorders>
              <w:bottom w:val="double" w:sz="6" w:space="0" w:color="000000"/>
            </w:tcBorders>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6,957</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Property and equipment, net consists of the following at:</w:t>
      </w:r>
    </w:p>
    <w:p>
      <w:pPr>
        <w:pStyle w:val="TextBody"/>
        <w:bidi w:val="0"/>
        <w:spacing w:before="0" w:after="240"/>
        <w:ind w:left="0" w:right="0" w:hanging="0"/>
        <w:jc w:val="left"/>
        <w:rPr/>
      </w:pPr>
      <w:r>
        <w:rPr/>
        <w:t>​</w:t>
      </w:r>
    </w:p>
    <w:tbl>
      <w:tblPr>
        <w:tblW w:w="7223" w:type="dxa"/>
        <w:jc w:val="left"/>
        <w:tblInd w:w="0" w:type="dxa"/>
        <w:tblLayout w:type="fixed"/>
        <w:tblCellMar>
          <w:top w:w="0" w:type="dxa"/>
          <w:left w:w="0" w:type="dxa"/>
          <w:bottom w:w="0" w:type="dxa"/>
          <w:right w:w="0" w:type="dxa"/>
        </w:tblCellMar>
      </w:tblPr>
      <w:tblGrid>
        <w:gridCol w:w="4411"/>
        <w:gridCol w:w="326"/>
        <w:gridCol w:w="237"/>
        <w:gridCol w:w="663"/>
        <w:gridCol w:w="326"/>
        <w:gridCol w:w="290"/>
        <w:gridCol w:w="970"/>
      </w:tblGrid>
      <w:tr>
        <w:trPr/>
        <w:tc>
          <w:tcPr>
            <w:tcW w:w="44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07010" cy="175260"/>
                      <wp:effectExtent l="0" t="0" r="0" b="0"/>
                      <wp:wrapNone/>
                      <wp:docPr id="48" name="Frame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50495" cy="175260"/>
                      <wp:effectExtent l="0" t="0" r="0" b="0"/>
                      <wp:wrapNone/>
                      <wp:docPr id="49" name="Frame49"/>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421005" cy="175260"/>
                      <wp:effectExtent l="0" t="0" r="0" b="0"/>
                      <wp:wrapNone/>
                      <wp:docPr id="50" name="Frame50"/>
                      <a:graphic xmlns:a="http://schemas.openxmlformats.org/drawingml/2006/main">
                        <a:graphicData uri="http://schemas.microsoft.com/office/word/2010/wordprocessingShape">
                          <wps:wsp>
                            <wps:cNvSpPr txBox="1"/>
                            <wps:spPr>
                              <a:xfrm>
                                <a:off x="0" y="0"/>
                                <a:ext cx="421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51" name="Frame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84150" cy="175260"/>
                      <wp:effectExtent l="0" t="0" r="0" b="0"/>
                      <wp:wrapNone/>
                      <wp:docPr id="52" name="Frame52"/>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15950" cy="175260"/>
                      <wp:effectExtent l="0" t="0" r="0" b="0"/>
                      <wp:wrapNone/>
                      <wp:docPr id="53" name="Frame53"/>
                      <a:graphic xmlns:a="http://schemas.openxmlformats.org/drawingml/2006/main">
                        <a:graphicData uri="http://schemas.microsoft.com/office/word/2010/wordprocessingShape">
                          <wps:wsp>
                            <wps:cNvSpPr txBox="1"/>
                            <wps:spPr>
                              <a:xfrm>
                                <a:off x="0" y="0"/>
                                <a:ext cx="615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4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00"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March 31, </w:t>
            </w:r>
          </w:p>
        </w:tc>
        <w:tc>
          <w:tcPr>
            <w:tcW w:w="326" w:type="dxa"/>
            <w:tcBorders/>
            <w:vAlign w:val="center"/>
          </w:tcPr>
          <w:p>
            <w:pPr>
              <w:pStyle w:val="TableContents"/>
              <w:bidi w:val="0"/>
              <w:spacing w:before="0" w:after="1"/>
              <w:ind w:left="0" w:right="0" w:hanging="0"/>
              <w:jc w:val="left"/>
              <w:rPr/>
            </w:pPr>
            <w:r>
              <w:rPr/>
              <w:t>    </w:t>
            </w:r>
          </w:p>
        </w:tc>
        <w:tc>
          <w:tcPr>
            <w:tcW w:w="1260"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441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i/>
                <w:sz w:val="16"/>
              </w:rPr>
            </w:pPr>
            <w:r>
              <w:rPr>
                <w:rFonts w:ascii="Arial;Helvetica;sans-serif" w:hAnsi="Arial;Helvetica;sans-serif"/>
                <w:i/>
                <w:sz w:val="16"/>
              </w:rPr>
              <w:t>(in thousands)</w:t>
            </w:r>
          </w:p>
        </w:tc>
        <w:tc>
          <w:tcPr>
            <w:tcW w:w="326" w:type="dxa"/>
            <w:tcBorders/>
            <w:vAlign w:val="center"/>
          </w:tcPr>
          <w:p>
            <w:pPr>
              <w:pStyle w:val="TableContents"/>
              <w:bidi w:val="0"/>
              <w:spacing w:before="0" w:after="1"/>
              <w:ind w:left="0" w:right="0" w:hanging="0"/>
              <w:jc w:val="left"/>
              <w:rPr/>
            </w:pPr>
            <w:r>
              <w:rPr/>
              <w:t>​</w:t>
            </w:r>
          </w:p>
        </w:tc>
        <w:tc>
          <w:tcPr>
            <w:tcW w:w="9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vAlign w:val="center"/>
          </w:tcPr>
          <w:p>
            <w:pPr>
              <w:pStyle w:val="TableContents"/>
              <w:bidi w:val="0"/>
              <w:spacing w:before="0" w:after="1"/>
              <w:ind w:left="0" w:right="0" w:hanging="0"/>
              <w:jc w:val="left"/>
              <w:rPr/>
            </w:pPr>
            <w:r>
              <w:rPr/>
              <w:t>​</w:t>
            </w:r>
          </w:p>
        </w:tc>
        <w:tc>
          <w:tcPr>
            <w:tcW w:w="12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r>
      <w:tr>
        <w:trPr/>
        <w:tc>
          <w:tcPr>
            <w:tcW w:w="44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Office furniture and equipment</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6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350</w:t>
            </w:r>
          </w:p>
        </w:tc>
        <w:tc>
          <w:tcPr>
            <w:tcW w:w="32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7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350</w:t>
            </w:r>
          </w:p>
        </w:tc>
      </w:tr>
      <w:tr>
        <w:trPr/>
        <w:tc>
          <w:tcPr>
            <w:tcW w:w="44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Lab equipment</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66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2,685</w:t>
            </w:r>
          </w:p>
        </w:tc>
        <w:tc>
          <w:tcPr>
            <w:tcW w:w="32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 </w:t>
            </w:r>
          </w:p>
        </w:tc>
        <w:tc>
          <w:tcPr>
            <w:tcW w:w="97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2,684</w:t>
            </w:r>
          </w:p>
        </w:tc>
      </w:tr>
      <w:tr>
        <w:trPr/>
        <w:tc>
          <w:tcPr>
            <w:tcW w:w="44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Computer equipment and software</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 </w:t>
            </w:r>
          </w:p>
        </w:tc>
        <w:tc>
          <w:tcPr>
            <w:tcW w:w="66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640</w:t>
            </w:r>
          </w:p>
        </w:tc>
        <w:tc>
          <w:tcPr>
            <w:tcW w:w="32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pPr>
            <w:r>
              <w:rPr/>
              <w:t> </w:t>
            </w:r>
          </w:p>
        </w:tc>
        <w:tc>
          <w:tcPr>
            <w:tcW w:w="97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618</w:t>
            </w:r>
          </w:p>
        </w:tc>
      </w:tr>
      <w:tr>
        <w:trPr/>
        <w:tc>
          <w:tcPr>
            <w:tcW w:w="44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Leasehold improvements</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66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95</w:t>
            </w:r>
          </w:p>
        </w:tc>
        <w:tc>
          <w:tcPr>
            <w:tcW w:w="32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 </w:t>
            </w:r>
          </w:p>
        </w:tc>
        <w:tc>
          <w:tcPr>
            <w:tcW w:w="97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95</w:t>
            </w:r>
          </w:p>
        </w:tc>
      </w:tr>
      <w:tr>
        <w:trPr/>
        <w:tc>
          <w:tcPr>
            <w:tcW w:w="44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Capital equipment in process</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430</w:t>
            </w:r>
          </w:p>
        </w:tc>
        <w:tc>
          <w:tcPr>
            <w:tcW w:w="326" w:type="dxa"/>
            <w:tcBorders/>
            <w:shd w:fill="CCEEFF" w:val="clear"/>
            <w:vAlign w:val="center"/>
          </w:tcPr>
          <w:p>
            <w:pPr>
              <w:pStyle w:val="TableContents"/>
              <w:bidi w:val="0"/>
              <w:spacing w:before="0" w:after="1"/>
              <w:ind w:left="0" w:right="0" w:hanging="0"/>
              <w:jc w:val="left"/>
              <w:rPr/>
            </w:pPr>
            <w:r>
              <w:rPr/>
              <w:t>​</w:t>
            </w:r>
          </w:p>
        </w:tc>
        <w:tc>
          <w:tcPr>
            <w:tcW w:w="29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231</w:t>
            </w:r>
          </w:p>
        </w:tc>
      </w:tr>
      <w:tr>
        <w:trPr/>
        <w:tc>
          <w:tcPr>
            <w:tcW w:w="44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66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4,200</w:t>
            </w:r>
          </w:p>
        </w:tc>
        <w:tc>
          <w:tcPr>
            <w:tcW w:w="32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 </w:t>
            </w:r>
          </w:p>
        </w:tc>
        <w:tc>
          <w:tcPr>
            <w:tcW w:w="97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3,978</w:t>
            </w:r>
          </w:p>
        </w:tc>
      </w:tr>
      <w:tr>
        <w:trPr/>
        <w:tc>
          <w:tcPr>
            <w:tcW w:w="44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Less: Accumulated depreciation and amortization</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2,395</w:t>
            </w:r>
          </w:p>
        </w:tc>
        <w:tc>
          <w:tcPr>
            <w:tcW w:w="326" w:type="dxa"/>
            <w:tcBorders/>
            <w:shd w:fill="CCEEFF" w:val="clear"/>
            <w:vAlign w:val="center"/>
          </w:tcPr>
          <w:p>
            <w:pPr>
              <w:pStyle w:val="TableContents"/>
              <w:bidi w:val="0"/>
              <w:spacing w:before="0" w:after="1"/>
              <w:ind w:left="0" w:right="0" w:hanging="0"/>
              <w:jc w:val="left"/>
              <w:rPr/>
            </w:pPr>
            <w:r>
              <w:rPr/>
              <w:t>​</w:t>
            </w:r>
          </w:p>
        </w:tc>
        <w:tc>
          <w:tcPr>
            <w:tcW w:w="29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2,280</w:t>
            </w:r>
          </w:p>
        </w:tc>
      </w:tr>
      <w:tr>
        <w:trPr/>
        <w:tc>
          <w:tcPr>
            <w:tcW w:w="44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63"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1,805</w:t>
            </w:r>
          </w:p>
        </w:tc>
        <w:tc>
          <w:tcPr>
            <w:tcW w:w="326" w:type="dxa"/>
            <w:tcBorders/>
            <w:vAlign w:val="center"/>
          </w:tcPr>
          <w:p>
            <w:pPr>
              <w:pStyle w:val="TableContents"/>
              <w:bidi w:val="0"/>
              <w:spacing w:before="0" w:after="1"/>
              <w:ind w:left="0" w:right="0" w:hanging="0"/>
              <w:jc w:val="left"/>
              <w:rPr/>
            </w:pPr>
            <w:r>
              <w:rPr/>
              <w:t>​</w:t>
            </w:r>
          </w:p>
        </w:tc>
        <w:tc>
          <w:tcPr>
            <w:tcW w:w="290"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70" w:type="dxa"/>
            <w:tcBorders>
              <w:bottom w:val="double" w:sz="6" w:space="0" w:color="000000"/>
            </w:tcBorders>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1,698</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Depreciation is determined using the straight-line method over the estimated useful lives of the respective assets, generally </w:t>
      </w:r>
      <w:r>
        <w:rPr>
          <w:rFonts w:ascii="Arial;Helvetica;sans-serif" w:hAnsi="Arial;Helvetica;sans-serif"/>
          <w:b w:val="false"/>
          <w:i w:val="false"/>
          <w:caps w:val="false"/>
          <w:smallCaps w:val="false"/>
          <w:sz w:val="20"/>
        </w:rPr>
        <w:t>three</w:t>
      </w:r>
      <w:r>
        <w:rPr>
          <w:rFonts w:ascii="Arial;Helvetica;sans-serif" w:hAnsi="Arial;Helvetica;sans-serif"/>
          <w:sz w:val="20"/>
        </w:rPr>
        <w:t> to five years. Leasehold improvements are amortized on a straight-line basis over the shorter of their estimated useful lives or the term of the lease. Depreciation expense was $129,000 and $62,000 for the three months ended March 31, 2023 and 2022, respectively.</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bookmarkStart w:id="473" w:name="Tc_GQzwpbGIYkmEV-DnnRN_tQ_10_5"/>
      <w:bookmarkStart w:id="474" w:name="Tc_At89dhYXbUyp_HTOMuD_0Q_10_2"/>
      <w:bookmarkStart w:id="475" w:name="Tc_GpsS2pbWHE6xzf5uWzlgMA_9_0"/>
      <w:bookmarkStart w:id="476" w:name="Tc_nRYj1FdtOUy2m2FB1U1nFQ_8_0"/>
      <w:bookmarkStart w:id="477" w:name="Tc_o-FXRlQzWE2oFmx1OUyJEQ_7_0"/>
      <w:bookmarkStart w:id="478" w:name="Tc_oKTSNmWvE0ac6d0HuFt6RA_6_0"/>
      <w:bookmarkStart w:id="479" w:name="Tc_qjxr2kzxQEKLoiRVh16zBg_5_0"/>
      <w:bookmarkStart w:id="480" w:name="Tc_qLd9l9o9qkuV8IvlgAvcXw_4_0"/>
      <w:bookmarkStart w:id="481" w:name="Tc_syyZ9YuQJEqFEELfq3r3Cw_3_5"/>
      <w:bookmarkStart w:id="482" w:name="Tc_hPRWftmdSkC4fNdMmgGoDw_3_2"/>
      <w:bookmarkStart w:id="483" w:name="Tc_7llgzknK_E2mdhWqkMI3Ww_3_0"/>
      <w:bookmarkStart w:id="484" w:name="Tc_AoOrZHuGQUqMqsZ2IFIxFw_2_5"/>
      <w:bookmarkStart w:id="485" w:name="Tc_ES08EGjagkqA6Ltt00ENKg_2_2"/>
      <w:bookmarkStart w:id="486" w:name="Tc_r2naJP9YKEy2lBiN5pLXeA_2_0"/>
      <w:bookmarkStart w:id="487" w:name="Tc_-_uRDRg9REq8kaCP7J23Yg_1_5"/>
      <w:bookmarkStart w:id="488" w:name="Tc_KaP92f8w0kiQk5sPhNafMA_1_2"/>
      <w:bookmarkStart w:id="489" w:name="_fdc13b0f_c9f8_417a_a27c_315374830de9"/>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r>
        <w:rPr>
          <w:rFonts w:ascii="Arial;Helvetica;sans-serif" w:hAnsi="Arial;Helvetica;sans-serif"/>
          <w:sz w:val="20"/>
        </w:rPr>
        <w:t>Accrued expenses consist of the following at:</w:t>
      </w:r>
    </w:p>
    <w:p>
      <w:pPr>
        <w:pStyle w:val="TextBody"/>
        <w:bidi w:val="0"/>
        <w:spacing w:before="0" w:after="240"/>
        <w:ind w:left="0" w:right="0" w:hanging="0"/>
        <w:jc w:val="left"/>
        <w:rPr/>
      </w:pPr>
      <w:r>
        <w:rPr/>
        <w:t>​</w:t>
      </w:r>
    </w:p>
    <w:tbl>
      <w:tblPr>
        <w:tblW w:w="6353" w:type="dxa"/>
        <w:jc w:val="left"/>
        <w:tblInd w:w="0" w:type="dxa"/>
        <w:tblLayout w:type="fixed"/>
        <w:tblCellMar>
          <w:top w:w="0" w:type="dxa"/>
          <w:left w:w="0" w:type="dxa"/>
          <w:bottom w:w="0" w:type="dxa"/>
          <w:right w:w="0" w:type="dxa"/>
        </w:tblCellMar>
      </w:tblPr>
      <w:tblGrid>
        <w:gridCol w:w="3541"/>
        <w:gridCol w:w="326"/>
        <w:gridCol w:w="237"/>
        <w:gridCol w:w="663"/>
        <w:gridCol w:w="326"/>
        <w:gridCol w:w="290"/>
        <w:gridCol w:w="970"/>
      </w:tblGrid>
      <w:tr>
        <w:trPr/>
        <w:tc>
          <w:tcPr>
            <w:tcW w:w="3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7010" cy="175260"/>
                      <wp:effectExtent l="0" t="0" r="0" b="0"/>
                      <wp:wrapNone/>
                      <wp:docPr id="54" name="Frame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50495" cy="175260"/>
                      <wp:effectExtent l="0" t="0" r="0" b="0"/>
                      <wp:wrapNone/>
                      <wp:docPr id="55" name="Frame55"/>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421005" cy="175260"/>
                      <wp:effectExtent l="0" t="0" r="0" b="0"/>
                      <wp:wrapNone/>
                      <wp:docPr id="56" name="Frame56"/>
                      <a:graphic xmlns:a="http://schemas.openxmlformats.org/drawingml/2006/main">
                        <a:graphicData uri="http://schemas.microsoft.com/office/word/2010/wordprocessingShape">
                          <wps:wsp>
                            <wps:cNvSpPr txBox="1"/>
                            <wps:spPr>
                              <a:xfrm>
                                <a:off x="0" y="0"/>
                                <a:ext cx="421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07010" cy="175260"/>
                      <wp:effectExtent l="0" t="0" r="0" b="0"/>
                      <wp:wrapNone/>
                      <wp:docPr id="57" name="Frame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84150" cy="175260"/>
                      <wp:effectExtent l="0" t="0" r="0" b="0"/>
                      <wp:wrapNone/>
                      <wp:docPr id="58" name="Frame58"/>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15950" cy="175260"/>
                      <wp:effectExtent l="0" t="0" r="0" b="0"/>
                      <wp:wrapNone/>
                      <wp:docPr id="59" name="Frame59"/>
                      <a:graphic xmlns:a="http://schemas.openxmlformats.org/drawingml/2006/main">
                        <a:graphicData uri="http://schemas.microsoft.com/office/word/2010/wordprocessingShape">
                          <wps:wsp>
                            <wps:cNvSpPr txBox="1"/>
                            <wps:spPr>
                              <a:xfrm>
                                <a:off x="0" y="0"/>
                                <a:ext cx="615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0"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March 31, </w:t>
            </w:r>
          </w:p>
        </w:tc>
        <w:tc>
          <w:tcPr>
            <w:tcW w:w="32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354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i/>
                <w:sz w:val="16"/>
              </w:rPr>
            </w:pPr>
            <w:r>
              <w:rPr>
                <w:rFonts w:ascii="Arial;Helvetica;sans-serif" w:hAnsi="Arial;Helvetica;sans-serif"/>
                <w:i/>
                <w:sz w:val="16"/>
              </w:rPr>
              <w:t>(in thousands)</w:t>
            </w:r>
          </w:p>
        </w:tc>
        <w:tc>
          <w:tcPr>
            <w:tcW w:w="326" w:type="dxa"/>
            <w:tcBorders/>
            <w:vAlign w:val="center"/>
          </w:tcPr>
          <w:p>
            <w:pPr>
              <w:pStyle w:val="TableContents"/>
              <w:bidi w:val="0"/>
              <w:spacing w:before="0" w:after="0"/>
              <w:ind w:left="0" w:right="0" w:hanging="0"/>
              <w:jc w:val="left"/>
              <w:rPr/>
            </w:pPr>
            <w:r>
              <w:rPr/>
              <w:t>​</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vAlign w:val="center"/>
          </w:tcPr>
          <w:p>
            <w:pPr>
              <w:pStyle w:val="TableContents"/>
              <w:bidi w:val="0"/>
              <w:spacing w:before="0" w:after="0"/>
              <w:ind w:left="0" w:right="0" w:hanging="0"/>
              <w:jc w:val="left"/>
              <w:rPr/>
            </w:pPr>
            <w:r>
              <w:rPr/>
              <w:t>​</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r>
      <w:tr>
        <w:trPr/>
        <w:tc>
          <w:tcPr>
            <w:tcW w:w="354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Bonuses</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6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1,813</w:t>
            </w:r>
          </w:p>
        </w:tc>
        <w:tc>
          <w:tcPr>
            <w:tcW w:w="32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7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2,303</w:t>
            </w:r>
          </w:p>
        </w:tc>
      </w:tr>
      <w:tr>
        <w:trPr/>
        <w:tc>
          <w:tcPr>
            <w:tcW w:w="35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Clinical trial and other professional fees</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1,384</w:t>
            </w:r>
          </w:p>
        </w:tc>
        <w:tc>
          <w:tcPr>
            <w:tcW w:w="32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1,733</w:t>
            </w:r>
          </w:p>
        </w:tc>
      </w:tr>
      <w:tr>
        <w:trPr/>
        <w:tc>
          <w:tcPr>
            <w:tcW w:w="354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Paid time off</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 </w:t>
            </w:r>
          </w:p>
        </w:tc>
        <w:tc>
          <w:tcPr>
            <w:tcW w:w="66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1,112</w:t>
            </w:r>
          </w:p>
        </w:tc>
        <w:tc>
          <w:tcPr>
            <w:tcW w:w="32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 </w:t>
            </w:r>
          </w:p>
        </w:tc>
        <w:tc>
          <w:tcPr>
            <w:tcW w:w="97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960</w:t>
            </w:r>
          </w:p>
        </w:tc>
      </w:tr>
      <w:tr>
        <w:trPr/>
        <w:tc>
          <w:tcPr>
            <w:tcW w:w="35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Customer rebates</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334</w:t>
            </w:r>
          </w:p>
        </w:tc>
        <w:tc>
          <w:tcPr>
            <w:tcW w:w="32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256</w:t>
            </w:r>
          </w:p>
        </w:tc>
      </w:tr>
      <w:tr>
        <w:trPr/>
        <w:tc>
          <w:tcPr>
            <w:tcW w:w="354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lease liability, current portion</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227</w:t>
            </w:r>
          </w:p>
        </w:tc>
        <w:tc>
          <w:tcPr>
            <w:tcW w:w="32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97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222</w:t>
            </w:r>
          </w:p>
        </w:tc>
      </w:tr>
      <w:tr>
        <w:trPr/>
        <w:tc>
          <w:tcPr>
            <w:tcW w:w="35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Taxes</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114</w:t>
            </w:r>
          </w:p>
        </w:tc>
        <w:tc>
          <w:tcPr>
            <w:tcW w:w="32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120</w:t>
            </w:r>
          </w:p>
        </w:tc>
      </w:tr>
      <w:tr>
        <w:trPr/>
        <w:tc>
          <w:tcPr>
            <w:tcW w:w="354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977</w:t>
            </w:r>
          </w:p>
        </w:tc>
        <w:tc>
          <w:tcPr>
            <w:tcW w:w="326" w:type="dxa"/>
            <w:tcBorders/>
            <w:shd w:fill="CCEEFF" w:val="clear"/>
            <w:vAlign w:val="center"/>
          </w:tcPr>
          <w:p>
            <w:pPr>
              <w:pStyle w:val="TableContents"/>
              <w:bidi w:val="0"/>
              <w:spacing w:before="0" w:after="0"/>
              <w:ind w:left="0" w:right="0" w:hanging="0"/>
              <w:jc w:val="left"/>
              <w:rPr/>
            </w:pPr>
            <w:r>
              <w:rPr/>
              <w:t>​</w:t>
            </w:r>
          </w:p>
        </w:tc>
        <w:tc>
          <w:tcPr>
            <w:tcW w:w="2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775</w:t>
            </w:r>
          </w:p>
        </w:tc>
      </w:tr>
      <w:tr>
        <w:trPr/>
        <w:tc>
          <w:tcPr>
            <w:tcW w:w="3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63"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5,961</w:t>
            </w:r>
          </w:p>
        </w:tc>
        <w:tc>
          <w:tcPr>
            <w:tcW w:w="326" w:type="dxa"/>
            <w:tcBorders/>
            <w:vAlign w:val="center"/>
          </w:tcPr>
          <w:p>
            <w:pPr>
              <w:pStyle w:val="TableContents"/>
              <w:bidi w:val="0"/>
              <w:spacing w:before="0" w:after="0"/>
              <w:ind w:left="0" w:right="0" w:hanging="0"/>
              <w:jc w:val="left"/>
              <w:rPr/>
            </w:pPr>
            <w:r>
              <w:rPr/>
              <w:t>​</w:t>
            </w:r>
          </w:p>
        </w:tc>
        <w:tc>
          <w:tcPr>
            <w:tcW w:w="290"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70" w:type="dxa"/>
            <w:tcBorders>
              <w:bottom w:val="double" w:sz="6" w:space="0" w:color="000000"/>
            </w:tcBorders>
            <w:tcMar>
              <w:bottom w:w="28" w:type="dxa"/>
            </w:tcMar>
            <w:vAlign w:val="center"/>
          </w:tcPr>
          <w:p>
            <w:pPr>
              <w:pStyle w:val="TableContents"/>
              <w:bidi w:val="0"/>
              <w:spacing w:before="0" w:after="0"/>
              <w:ind w:left="0" w:right="72" w:hanging="0"/>
              <w:jc w:val="right"/>
              <w:rPr>
                <w:rFonts w:ascii="Arial;Helvetica;sans-serif" w:hAnsi="Arial;Helvetica;sans-serif"/>
                <w:sz w:val="20"/>
              </w:rPr>
            </w:pPr>
            <w:r>
              <w:rPr>
                <w:rFonts w:ascii="Arial;Helvetica;sans-serif" w:hAnsi="Arial;Helvetica;sans-serif"/>
                <w:sz w:val="20"/>
              </w:rPr>
              <w:t>6,369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pBdr/>
        <w:bidi w:val="0"/>
        <w:spacing w:before="0" w:after="240"/>
        <w:ind w:left="0" w:right="0" w:hanging="360"/>
        <w:jc w:val="left"/>
        <w:rPr>
          <w:rFonts w:ascii="Arial;Helvetica;sans-serif" w:hAnsi="Arial;Helvetica;sans-serif"/>
          <w:b/>
          <w:sz w:val="24"/>
        </w:rPr>
      </w:pPr>
      <w:bookmarkStart w:id="490" w:name="_228b6523_6585_4d17_b881_86c956ffb0d3"/>
      <w:bookmarkEnd w:id="490"/>
      <w:r>
        <w:rPr>
          <w:rFonts w:ascii="Arial;Helvetica;sans-serif" w:hAnsi="Arial;Helvetica;sans-serif"/>
          <w:b/>
          <w:sz w:val="24"/>
        </w:rPr>
        <w:t>4. Debt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Innovatus Loan Agreement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October 31, 2022, the Company entered into a Loan and Security Agreement (the “Loan Agreement”) with Innovatus Life Sciences Fund I, LP, as the collateral agent and a lender, under which the Company may borrow, subject to the Company’s achievement of certain milestones, up to a total of $50.0 million in a series of term loans. On the closing date, the Company borrowed the minimum amount of $7.5 million under the Loan Agreement. On March 10, 2023, the Company borrowed the $7.5 million remaining under the first tranche of the Loan Agreement</w:t>
      </w:r>
      <w:r>
        <w:rPr>
          <w:rFonts w:ascii="Arial;Helvetica;sans-serif" w:hAnsi="Arial;Helvetica;sans-serif"/>
          <w:sz w:val="20"/>
          <w:shd w:fill="FFFFFF" w:val="clear"/>
        </w:rPr>
        <w:t>, with $4.0 million received on March 13, 2023 and $3.5 million received on March 15, 2023</w:t>
      </w:r>
      <w:r>
        <w:rPr>
          <w:rFonts w:ascii="Arial;Helvetica;sans-serif" w:hAnsi="Arial;Helvetica;sans-serif"/>
          <w:sz w:val="20"/>
        </w:rPr>
        <w:t>. The Loan Agreement initially requires interest only payments through November 2027, followed by three monthly principal and interest payments. A final payment of $0.7 million, equal to 4.5% of the original borrowed principal, is due in January 2028. The terms loans advanced pursuant to the Loan Agreement (collectively, the “Term Loans”) bear interest at a floating rate per annum equal to the sum of (a) the greater of (i) the prime rate and (ii) 5.50% plus (b) 2.65%. The Term Loans are secured by substantially all of the personal property of the Company. The Company has the option to draw down (i) up to $30.0 million less the amount funded from the first tranche between September 1, 2023 and December 15, 2023 if the Company achieves trailing three months revenue of $5.75 million prior to June 30, 2023, and (ii) up to $20.0 million between September 1, 2024 and December 15, 2024 if the Company achieves trailing three months revenue of $9.0 million prior to June 30, 2024. A performance covenant takes effect at the earlier of September 30, 2025 or the third tranche funding requiring that the Company achieve 50% of the trailing twelve months revenue target set in the Board-approved revenue plan in effect for such period. The Loan Agreement requires the payment of certain penalties if the Term Loans are paid off prior to maturity for any reason, including pursuant to an acceleration clause, and includes various restrictive covenants, including a restriction on the payment of dividends or making other distributions or payments on the Company’s capital stock, subject to limited exceptions. The Company was in compliance with these covenants as of March 31, 2023.</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In connection with the Loan Agreement, the Company recorded $0.8 million of debt issuance costs and discounts as a reduction of long-term debt. </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bookmarkStart w:id="491" w:name="Tc_ZhvQn1TFDU2vCQzMjPrQtg_11_2"/>
      <w:bookmarkStart w:id="492" w:name="Tc_FhWD6cbBLkq-kwTUeEvXWw_11_0"/>
      <w:bookmarkStart w:id="493" w:name="Tc_O2ZpWqYt7E-ootyQEBBHSQ_10_0"/>
      <w:bookmarkStart w:id="494" w:name="Tc_cB4PcMUzKkWZRfvUl57Q9A_8_0"/>
      <w:bookmarkStart w:id="495" w:name="Tc_OiGHbb7J2k6YSQwKjujcLg_7_0"/>
      <w:bookmarkStart w:id="496" w:name="Tc_dTor8qPJJU6dfKQDElbzOA_6_3"/>
      <w:bookmarkStart w:id="497" w:name="Tc_b6PqwATOx06otVl2XfSWXA_6_0"/>
      <w:bookmarkStart w:id="498" w:name="Tc_gjdEdM-rTkuzAbTdZSm98A_5_3"/>
      <w:bookmarkStart w:id="499" w:name="Tc_jKSFqSGae02dVCh4ul5bLQ_5_0"/>
      <w:bookmarkStart w:id="500" w:name="Tc_BqaBZRNkhkOgT78CzuHN9A_4_3"/>
      <w:bookmarkStart w:id="501" w:name="Tc_VQDsxnWlGE2f8yn6Mttxdg_4_0"/>
      <w:bookmarkStart w:id="502" w:name="Tc_8XlWTDnBSkK2x31soNTFFw_3_3"/>
      <w:bookmarkStart w:id="503" w:name="Tc_nBhdqn641kK4GcIL8jpJQg_3_2"/>
      <w:bookmarkStart w:id="504" w:name="Tc_AjQf0hXmAUOVHpyodvRElA_3_0"/>
      <w:bookmarkStart w:id="505" w:name="Tc_0gTYdBWB8kuU6ap8vzjV5A_2_2"/>
      <w:bookmarkStart w:id="506" w:name="Tc_vUr0HsJCRE-UxyLqkK7Gqw_2_0"/>
      <w:bookmarkStart w:id="507" w:name="Tc_X--CeNxmcUON4d78WOOH0w_1_2"/>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r>
        <w:rPr>
          <w:rFonts w:ascii="Arial;Helvetica;sans-serif" w:hAnsi="Arial;Helvetica;sans-serif"/>
          <w:sz w:val="20"/>
        </w:rPr>
        <w:t>The annual principal maturities of debt under the Loan Agreement are as follows:</w:t>
      </w:r>
    </w:p>
    <w:p>
      <w:pPr>
        <w:pStyle w:val="TextBody"/>
        <w:bidi w:val="0"/>
        <w:spacing w:before="0" w:after="0"/>
        <w:ind w:left="0" w:right="0" w:hanging="0"/>
        <w:jc w:val="left"/>
        <w:rPr/>
      </w:pPr>
      <w:r>
        <w:rPr/>
        <w:t>​</w:t>
      </w:r>
    </w:p>
    <w:tbl>
      <w:tblPr>
        <w:tblW w:w="5351" w:type="dxa"/>
        <w:jc w:val="left"/>
        <w:tblInd w:w="0" w:type="dxa"/>
        <w:tblLayout w:type="fixed"/>
        <w:tblCellMar>
          <w:top w:w="0" w:type="dxa"/>
          <w:left w:w="0" w:type="dxa"/>
          <w:bottom w:w="0" w:type="dxa"/>
          <w:right w:w="0" w:type="dxa"/>
        </w:tblCellMar>
      </w:tblPr>
      <w:tblGrid>
        <w:gridCol w:w="4006"/>
        <w:gridCol w:w="326"/>
        <w:gridCol w:w="211"/>
        <w:gridCol w:w="808"/>
      </w:tblGrid>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07010" cy="175260"/>
                      <wp:effectExtent l="0" t="0" r="0" b="0"/>
                      <wp:wrapNone/>
                      <wp:docPr id="60" name="Frame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33985" cy="175260"/>
                      <wp:effectExtent l="0" t="0" r="0" b="0"/>
                      <wp:wrapNone/>
                      <wp:docPr id="61" name="Frame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513080" cy="175260"/>
                      <wp:effectExtent l="0" t="0" r="0" b="0"/>
                      <wp:wrapNone/>
                      <wp:docPr id="62" name="Frame62"/>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19"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March 31, </w:t>
            </w:r>
          </w:p>
        </w:tc>
      </w:tr>
      <w:tr>
        <w:trPr/>
        <w:tc>
          <w:tcPr>
            <w:tcW w:w="400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i/>
                <w:sz w:val="16"/>
              </w:rPr>
            </w:pPr>
            <w:r>
              <w:rPr>
                <w:rFonts w:ascii="Arial;Helvetica;sans-serif" w:hAnsi="Arial;Helvetica;sans-serif"/>
                <w:i/>
                <w:sz w:val="16"/>
              </w:rPr>
              <w:t>(in thousands)</w:t>
            </w:r>
          </w:p>
        </w:tc>
        <w:tc>
          <w:tcPr>
            <w:tcW w:w="326" w:type="dxa"/>
            <w:tcBorders/>
            <w:vAlign w:val="center"/>
          </w:tcPr>
          <w:p>
            <w:pPr>
              <w:pStyle w:val="TableContents"/>
              <w:bidi w:val="0"/>
              <w:spacing w:before="0" w:after="0"/>
              <w:ind w:left="0" w:right="0" w:hanging="0"/>
              <w:jc w:val="left"/>
              <w:rPr/>
            </w:pPr>
            <w:r>
              <w:rPr/>
              <w:t>​</w:t>
            </w:r>
          </w:p>
        </w:tc>
        <w:tc>
          <w:tcPr>
            <w:tcW w:w="10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r>
      <w:tr>
        <w:trPr/>
        <w:tc>
          <w:tcPr>
            <w:tcW w:w="40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2023</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08" w:type="dxa"/>
            <w:tcBorders/>
            <w:shd w:fill="CCEEFF" w:val="clear"/>
            <w:vAlign w:val="center"/>
          </w:tcPr>
          <w:p>
            <w:pPr>
              <w:pStyle w:val="TableContents"/>
              <w:bidi w:val="0"/>
              <w:spacing w:before="0" w:after="0"/>
              <w:ind w:left="0" w:right="0" w:hanging="0"/>
              <w:jc w:val="right"/>
              <w:rPr/>
            </w:pPr>
            <w:r>
              <w:rPr/>
              <w:t>—</w:t>
            </w:r>
          </w:p>
        </w:tc>
      </w:tr>
      <w:tr>
        <w:trPr/>
        <w:tc>
          <w:tcPr>
            <w:tcW w:w="40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pPr>
            <w:r>
              <w:rPr/>
              <w:t>—</w:t>
            </w:r>
          </w:p>
        </w:tc>
      </w:tr>
      <w:tr>
        <w:trPr/>
        <w:tc>
          <w:tcPr>
            <w:tcW w:w="40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08" w:type="dxa"/>
            <w:tcBorders/>
            <w:shd w:fill="CCEEFF" w:val="clear"/>
            <w:vAlign w:val="center"/>
          </w:tcPr>
          <w:p>
            <w:pPr>
              <w:pStyle w:val="TableContents"/>
              <w:bidi w:val="0"/>
              <w:spacing w:before="0" w:after="0"/>
              <w:ind w:left="0" w:right="0" w:hanging="0"/>
              <w:jc w:val="right"/>
              <w:rPr/>
            </w:pPr>
            <w:r>
              <w:rPr/>
              <w:t>—</w:t>
            </w:r>
          </w:p>
        </w:tc>
      </w:tr>
      <w:tr>
        <w:trPr/>
        <w:tc>
          <w:tcPr>
            <w:tcW w:w="40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pPr>
            <w:r>
              <w:rPr/>
              <w:t>—</w:t>
            </w:r>
          </w:p>
        </w:tc>
      </w:tr>
      <w:tr>
        <w:trPr/>
        <w:tc>
          <w:tcPr>
            <w:tcW w:w="40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0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10,000</w:t>
            </w:r>
          </w:p>
        </w:tc>
      </w:tr>
      <w:tr>
        <w:trPr/>
        <w:tc>
          <w:tcPr>
            <w:tcW w:w="40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5,000</w:t>
            </w:r>
          </w:p>
        </w:tc>
      </w:tr>
      <w:tr>
        <w:trPr/>
        <w:tc>
          <w:tcPr>
            <w:tcW w:w="400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0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15,000</w:t>
            </w:r>
          </w:p>
        </w:tc>
      </w:tr>
      <w:tr>
        <w:trPr/>
        <w:tc>
          <w:tcPr>
            <w:tcW w:w="40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Less: Unamortized debt costs and discounts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(782)</w:t>
            </w:r>
          </w:p>
        </w:tc>
      </w:tr>
      <w:tr>
        <w:trPr/>
        <w:tc>
          <w:tcPr>
            <w:tcW w:w="40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Long-term debt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08"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Arial;Helvetica;sans-serif" w:hAnsi="Arial;Helvetica;sans-serif"/>
                <w:sz w:val="20"/>
              </w:rPr>
            </w:pPr>
            <w:r>
              <w:rPr>
                <w:rFonts w:ascii="Arial;Helvetica;sans-serif" w:hAnsi="Arial;Helvetica;sans-serif"/>
                <w:sz w:val="20"/>
              </w:rPr>
              <w:t>14,218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pBdr/>
        <w:bidi w:val="0"/>
        <w:spacing w:before="0" w:after="240"/>
        <w:ind w:left="0" w:right="0" w:hanging="360"/>
        <w:jc w:val="left"/>
        <w:rPr>
          <w:rFonts w:ascii="Arial;Helvetica;sans-serif" w:hAnsi="Arial;Helvetica;sans-serif"/>
          <w:b/>
          <w:sz w:val="24"/>
        </w:rPr>
      </w:pPr>
      <w:bookmarkStart w:id="508" w:name="Tc_25krJIisW0Wxb3nInKCzFw_7_2"/>
      <w:bookmarkStart w:id="509" w:name="Tc_xRGTMSsLPUCuliC3UXb5hQ_7_0"/>
      <w:bookmarkStart w:id="510" w:name="Tc_px026xSkq0KMTmLggPXnJw_6_0"/>
      <w:bookmarkStart w:id="511" w:name="Tc_fgHkWblXmUSmp2nbYfnUVA_5_0"/>
      <w:bookmarkStart w:id="512" w:name="Tc_d-k5hk7wvkKeR4TSjmt6pw_4_0"/>
      <w:bookmarkStart w:id="513" w:name="Tc_Jbm76192rU-RxiSy8f4CBA_3_0"/>
      <w:bookmarkStart w:id="514" w:name="Tc_kZ_uotY-wUS6EL7AJh08DQ_2_2"/>
      <w:bookmarkStart w:id="515" w:name="Tc_QM09425zk0WLONyAwUU9hA_2_0"/>
      <w:bookmarkStart w:id="516" w:name="Tc_RJ-l7D_mZEyZB98MH5VyLw_1_2"/>
      <w:bookmarkStart w:id="517" w:name="_5ddc4b72_aa48_4535_b7ab_39c5d57f5c2b"/>
      <w:bookmarkStart w:id="518" w:name="Tc_q6Zd4QdluUyuwIHNmsb7Jg_8_5"/>
      <w:bookmarkStart w:id="519" w:name="Tc_eFr1WKm2HkG1fBKBr2iaNw_8_2"/>
      <w:bookmarkStart w:id="520" w:name="Tc_eKhsJZrQfEudFtJ-Y3ofzw_8_0"/>
      <w:bookmarkStart w:id="521" w:name="Tc_ToudbXVDC0WYRHofsTt1Bg_7_0"/>
      <w:bookmarkStart w:id="522" w:name="Tc_vDwVLkiNj0WH0CrUQsJR-g_5_0"/>
      <w:bookmarkStart w:id="523" w:name="Tc_srTJ-GDI1069ODxphTHWrA_4_5"/>
      <w:bookmarkStart w:id="524" w:name="Tc_U7X0KPzimkuKS8N-_nbxcg_4_2"/>
      <w:bookmarkStart w:id="525" w:name="Tc_Z5N8_n2NFEafD5TL38I2GQ_4_0"/>
      <w:bookmarkStart w:id="526" w:name="Tc_T7oVO5QFnkqGuf2kUr8P5A_3_0"/>
      <w:bookmarkStart w:id="527" w:name="Tc_pVosRJ4ZnkeMlHrkyVAeBA_2_5"/>
      <w:bookmarkStart w:id="528" w:name="Tc_2vlbqISKPUigqxzBUs-Tsw_2_2"/>
      <w:bookmarkStart w:id="529" w:name="Tc_FVGFMzl5GUmmvObnWE4qxA_2_0"/>
      <w:bookmarkStart w:id="530" w:name="Tc_b_8YmFPpkEGEYZjcaHwFpw_1_5"/>
      <w:bookmarkStart w:id="531" w:name="Tc_mLWkWmmZ9kCfDrdC-4D1zw_1_2"/>
      <w:bookmarkStart w:id="532" w:name="_e01050d8_07a6_47ad_828f_b369a5a289f8"/>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r>
        <w:rPr>
          <w:rFonts w:ascii="Arial;Helvetica;sans-serif" w:hAnsi="Arial;Helvetica;sans-serif"/>
          <w:b/>
          <w:sz w:val="24"/>
        </w:rPr>
        <w:t>5. Leases</w:t>
      </w:r>
    </w:p>
    <w:p>
      <w:pPr>
        <w:pStyle w:val="TextBody"/>
        <w:bidi w:val="0"/>
        <w:spacing w:before="0" w:after="240"/>
        <w:ind w:left="0" w:right="0" w:hanging="0"/>
        <w:jc w:val="left"/>
        <w:rPr>
          <w:rFonts w:ascii="Arial;Helvetica;sans-serif" w:hAnsi="Arial;Helvetica;sans-serif"/>
          <w:sz w:val="20"/>
          <w:shd w:fill="FFFFFF" w:val="clear"/>
        </w:rPr>
      </w:pPr>
      <w:r>
        <w:rPr>
          <w:rFonts w:ascii="Arial;Helvetica;sans-serif" w:hAnsi="Arial;Helvetica;sans-serif"/>
          <w:sz w:val="20"/>
          <w:shd w:fill="FFFFFF" w:val="clear"/>
        </w:rPr>
        <w:t>We lease 23,890 square feet of office space in Minneapolis, Minnesota, which houses our principal executive offices and our manufacturing facility. We lease this space under an operating lease agreement that commenced December 1, 2008 and expires July 31, 2024. We intend to add new facilities as we grow, and we believe that suitable additional or substitute space will be available as needed to accommodate any such expansion of our operations. Our operating lease agreement includes an option to renew for one additional period of five years. The exercise of the lease renewal option is at our sole discretion and was not included in the lease term for the calculation of the ROU asset and lease liability, as it is not reasonably certain of exercise.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addition to base rent, we also pay our proportionate share of operating expenses, as defined in the lease. These payments are made monthly and are adjusted annually to reflect actual charges incurred for operating expenses, such as common area maintenance, taxes and insurance.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following table presents the lease balances within the condensed consolidated balance sheets:</w:t>
      </w:r>
    </w:p>
    <w:tbl>
      <w:tblPr>
        <w:tblW w:w="6481" w:type="dxa"/>
        <w:jc w:val="left"/>
        <w:tblInd w:w="0" w:type="dxa"/>
        <w:tblLayout w:type="fixed"/>
        <w:tblCellMar>
          <w:top w:w="0" w:type="dxa"/>
          <w:left w:w="0" w:type="dxa"/>
          <w:bottom w:w="0" w:type="dxa"/>
          <w:right w:w="0" w:type="dxa"/>
        </w:tblCellMar>
      </w:tblPr>
      <w:tblGrid>
        <w:gridCol w:w="3886"/>
        <w:gridCol w:w="326"/>
        <w:gridCol w:w="299"/>
        <w:gridCol w:w="601"/>
        <w:gridCol w:w="109"/>
        <w:gridCol w:w="354"/>
        <w:gridCol w:w="906"/>
      </w:tblGrid>
      <w:tr>
        <w:trPr/>
        <w:tc>
          <w:tcPr>
            <w:tcW w:w="3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467610" cy="175260"/>
                      <wp:effectExtent l="0" t="0" r="0" b="0"/>
                      <wp:wrapNone/>
                      <wp:docPr id="63" name="Frame63"/>
                      <a:graphic xmlns:a="http://schemas.openxmlformats.org/drawingml/2006/main">
                        <a:graphicData uri="http://schemas.microsoft.com/office/word/2010/wordprocessingShape">
                          <wps:wsp>
                            <wps:cNvSpPr txBox="1"/>
                            <wps:spPr>
                              <a:xfrm>
                                <a:off x="0" y="0"/>
                                <a:ext cx="2467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4" name="Frame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89865" cy="175260"/>
                      <wp:effectExtent l="0" t="0" r="0" b="0"/>
                      <wp:wrapNone/>
                      <wp:docPr id="65" name="Frame65"/>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381635" cy="175260"/>
                      <wp:effectExtent l="0" t="0" r="0" b="0"/>
                      <wp:wrapNone/>
                      <wp:docPr id="66" name="Frame66"/>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9215" cy="175260"/>
                      <wp:effectExtent l="0" t="0" r="0" b="0"/>
                      <wp:wrapNone/>
                      <wp:docPr id="67" name="Frame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24790" cy="175260"/>
                      <wp:effectExtent l="0" t="0" r="0" b="0"/>
                      <wp:wrapNone/>
                      <wp:docPr id="68" name="Frame68"/>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575310" cy="175260"/>
                      <wp:effectExtent l="0" t="0" r="0" b="0"/>
                      <wp:wrapNone/>
                      <wp:docPr id="69" name="Frame69"/>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00"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March 31, </w:t>
            </w:r>
          </w:p>
        </w:tc>
        <w:tc>
          <w:tcPr>
            <w:tcW w:w="109" w:type="dxa"/>
            <w:tcBorders/>
            <w:vAlign w:val="center"/>
          </w:tcPr>
          <w:p>
            <w:pPr>
              <w:pStyle w:val="TableContents"/>
              <w:bidi w:val="0"/>
              <w:spacing w:before="0" w:after="1"/>
              <w:ind w:left="0" w:right="0" w:hanging="0"/>
              <w:jc w:val="left"/>
              <w:rPr/>
            </w:pPr>
            <w:r>
              <w:rPr/>
              <w:t>​</w:t>
            </w:r>
          </w:p>
        </w:tc>
        <w:tc>
          <w:tcPr>
            <w:tcW w:w="1260"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3886"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i/>
                <w:sz w:val="16"/>
              </w:rPr>
            </w:pPr>
            <w:r>
              <w:rPr>
                <w:rFonts w:ascii="Arial;Helvetica;sans-serif" w:hAnsi="Arial;Helvetica;sans-serif"/>
                <w:i/>
                <w:sz w:val="16"/>
              </w:rPr>
              <w:t>(in thousands)</w:t>
            </w:r>
          </w:p>
        </w:tc>
        <w:tc>
          <w:tcPr>
            <w:tcW w:w="326" w:type="dxa"/>
            <w:tcBorders/>
            <w:vAlign w:val="center"/>
          </w:tcPr>
          <w:p>
            <w:pPr>
              <w:pStyle w:val="TableContents"/>
              <w:bidi w:val="0"/>
              <w:spacing w:before="0" w:after="1"/>
              <w:ind w:left="0" w:right="0" w:hanging="0"/>
              <w:jc w:val="left"/>
              <w:rPr/>
            </w:pPr>
            <w:r>
              <w:rPr/>
              <w:t>​</w:t>
            </w:r>
          </w:p>
        </w:tc>
        <w:tc>
          <w:tcPr>
            <w:tcW w:w="9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109" w:type="dxa"/>
            <w:tcBorders/>
            <w:vAlign w:val="center"/>
          </w:tcPr>
          <w:p>
            <w:pPr>
              <w:pStyle w:val="TableContents"/>
              <w:bidi w:val="0"/>
              <w:spacing w:before="0" w:after="1"/>
              <w:ind w:left="0" w:right="0" w:hanging="0"/>
              <w:jc w:val="left"/>
              <w:rPr/>
            </w:pPr>
            <w:r>
              <w:rPr/>
              <w:t>​</w:t>
            </w:r>
          </w:p>
        </w:tc>
        <w:tc>
          <w:tcPr>
            <w:tcW w:w="12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r>
      <w:tr>
        <w:trPr/>
        <w:tc>
          <w:tcPr>
            <w:tcW w:w="3886" w:type="dxa"/>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Right-of-use assets:</w:t>
            </w:r>
          </w:p>
        </w:tc>
        <w:tc>
          <w:tcPr>
            <w:tcW w:w="32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left"/>
              <w:rPr/>
            </w:pPr>
            <w:r>
              <w:rPr/>
              <w:t>​</w:t>
            </w:r>
          </w:p>
        </w:tc>
      </w:tr>
      <w:tr>
        <w:trPr/>
        <w:tc>
          <w:tcPr>
            <w:tcW w:w="388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lease right-of-use asset</w:t>
            </w:r>
          </w:p>
        </w:tc>
        <w:tc>
          <w:tcPr>
            <w:tcW w:w="32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0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277</w:t>
            </w:r>
          </w:p>
        </w:tc>
        <w:tc>
          <w:tcPr>
            <w:tcW w:w="109"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0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334</w:t>
            </w:r>
          </w:p>
        </w:tc>
      </w:tr>
      <w:tr>
        <w:trPr/>
        <w:tc>
          <w:tcPr>
            <w:tcW w:w="3886" w:type="dxa"/>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Operating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left"/>
              <w:rPr/>
            </w:pPr>
            <w:r>
              <w:rPr/>
              <w:t>​</w:t>
            </w:r>
          </w:p>
        </w:tc>
      </w:tr>
      <w:tr>
        <w:trPr/>
        <w:tc>
          <w:tcPr>
            <w:tcW w:w="3886" w:type="dxa"/>
            <w:tcBorders/>
            <w:vAlign w:val="center"/>
          </w:tcPr>
          <w:p>
            <w:pPr>
              <w:pStyle w:val="TableContents"/>
              <w:bidi w:val="0"/>
              <w:spacing w:before="0" w:after="1"/>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Accrued expenses</w:t>
            </w:r>
          </w:p>
        </w:tc>
        <w:tc>
          <w:tcPr>
            <w:tcW w:w="32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227</w:t>
            </w:r>
          </w:p>
        </w:tc>
        <w:tc>
          <w:tcPr>
            <w:tcW w:w="109"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222</w:t>
            </w:r>
          </w:p>
        </w:tc>
      </w:tr>
      <w:tr>
        <w:trPr/>
        <w:tc>
          <w:tcPr>
            <w:tcW w:w="388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lease liability, non-current portion</w:t>
            </w:r>
          </w:p>
        </w:tc>
        <w:tc>
          <w:tcPr>
            <w:tcW w:w="326" w:type="dxa"/>
            <w:tcBorders/>
            <w:shd w:fill="CCEEFF" w:val="clear"/>
            <w:vAlign w:val="center"/>
          </w:tcPr>
          <w:p>
            <w:pPr>
              <w:pStyle w:val="TableContents"/>
              <w:bidi w:val="0"/>
              <w:spacing w:before="0" w:after="1"/>
              <w:ind w:left="0" w:right="0" w:hanging="0"/>
              <w:jc w:val="left"/>
              <w:rPr/>
            </w:pPr>
            <w:r>
              <w:rPr/>
              <w:t>​</w:t>
            </w:r>
          </w:p>
        </w:tc>
        <w:tc>
          <w:tcPr>
            <w:tcW w:w="29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59</w:t>
            </w:r>
          </w:p>
        </w:tc>
        <w:tc>
          <w:tcPr>
            <w:tcW w:w="109" w:type="dxa"/>
            <w:tcBorders/>
            <w:shd w:fill="CCEEFF" w:val="clear"/>
            <w:vAlign w:val="center"/>
          </w:tcPr>
          <w:p>
            <w:pPr>
              <w:pStyle w:val="TableContents"/>
              <w:bidi w:val="0"/>
              <w:spacing w:before="0" w:after="1"/>
              <w:ind w:left="0" w:right="0" w:hanging="0"/>
              <w:jc w:val="left"/>
              <w:rPr/>
            </w:pPr>
            <w:r>
              <w:rPr/>
              <w:t>​</w:t>
            </w:r>
          </w:p>
        </w:tc>
        <w:tc>
          <w:tcPr>
            <w:tcW w:w="35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117</w:t>
            </w:r>
          </w:p>
        </w:tc>
      </w:tr>
      <w:tr>
        <w:trPr/>
        <w:tc>
          <w:tcPr>
            <w:tcW w:w="388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xml:space="preserve">Total operating lease liabilities </w:t>
            </w:r>
          </w:p>
        </w:tc>
        <w:tc>
          <w:tcPr>
            <w:tcW w:w="326" w:type="dxa"/>
            <w:tcBorders/>
            <w:vAlign w:val="center"/>
          </w:tcPr>
          <w:p>
            <w:pPr>
              <w:pStyle w:val="TableContents"/>
              <w:bidi w:val="0"/>
              <w:spacing w:before="0" w:after="1"/>
              <w:ind w:left="0" w:right="0" w:hanging="0"/>
              <w:jc w:val="left"/>
              <w:rPr/>
            </w:pPr>
            <w:r>
              <w:rPr/>
              <w:t>​</w:t>
            </w:r>
          </w:p>
        </w:tc>
        <w:tc>
          <w:tcPr>
            <w:tcW w:w="299"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286</w:t>
            </w:r>
          </w:p>
        </w:tc>
        <w:tc>
          <w:tcPr>
            <w:tcW w:w="109" w:type="dxa"/>
            <w:tcBorders/>
            <w:vAlign w:val="center"/>
          </w:tcPr>
          <w:p>
            <w:pPr>
              <w:pStyle w:val="TableContents"/>
              <w:bidi w:val="0"/>
              <w:spacing w:before="0" w:after="1"/>
              <w:ind w:left="0" w:right="0" w:hanging="0"/>
              <w:jc w:val="left"/>
              <w:rPr/>
            </w:pPr>
            <w:r>
              <w:rPr/>
              <w:t>​</w:t>
            </w:r>
          </w:p>
        </w:tc>
        <w:tc>
          <w:tcPr>
            <w:tcW w:w="354"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06" w:type="dxa"/>
            <w:tcBorders>
              <w:bottom w:val="double" w:sz="6" w:space="0" w:color="000000"/>
            </w:tcBorders>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339</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Maturities of our lease liability for our operating lease are as follows as of March 31, 2023:</w:t>
      </w:r>
    </w:p>
    <w:p>
      <w:pPr>
        <w:pStyle w:val="TextBody"/>
        <w:bidi w:val="0"/>
        <w:spacing w:before="0" w:after="240"/>
        <w:ind w:left="0" w:right="0" w:hanging="0"/>
        <w:jc w:val="left"/>
        <w:rPr/>
      </w:pPr>
      <w:r>
        <w:rPr/>
        <w:t>​</w:t>
      </w:r>
    </w:p>
    <w:tbl>
      <w:tblPr>
        <w:tblW w:w="4265" w:type="dxa"/>
        <w:jc w:val="left"/>
        <w:tblInd w:w="0" w:type="dxa"/>
        <w:tblLayout w:type="fixed"/>
        <w:tblCellMar>
          <w:top w:w="0" w:type="dxa"/>
          <w:left w:w="0" w:type="dxa"/>
          <w:bottom w:w="0" w:type="dxa"/>
          <w:right w:w="0" w:type="dxa"/>
        </w:tblCellMar>
      </w:tblPr>
      <w:tblGrid>
        <w:gridCol w:w="3211"/>
        <w:gridCol w:w="109"/>
        <w:gridCol w:w="266"/>
        <w:gridCol w:w="679"/>
      </w:tblGrid>
      <w:tr>
        <w:trPr/>
        <w:tc>
          <w:tcPr>
            <w:tcW w:w="3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038985" cy="175260"/>
                      <wp:effectExtent l="0" t="0" r="0" b="0"/>
                      <wp:wrapNone/>
                      <wp:docPr id="70" name="Frame70"/>
                      <a:graphic xmlns:a="http://schemas.openxmlformats.org/drawingml/2006/main">
                        <a:graphicData uri="http://schemas.microsoft.com/office/word/2010/wordprocessingShape">
                          <wps:wsp>
                            <wps:cNvSpPr txBox="1"/>
                            <wps:spPr>
                              <a:xfrm>
                                <a:off x="0" y="0"/>
                                <a:ext cx="2038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9215" cy="175260"/>
                      <wp:effectExtent l="0" t="0" r="0" b="0"/>
                      <wp:wrapNone/>
                      <wp:docPr id="71" name="Frame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68910" cy="175260"/>
                      <wp:effectExtent l="0" t="0" r="0" b="0"/>
                      <wp:wrapNone/>
                      <wp:docPr id="72" name="Frame72"/>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431165" cy="175260"/>
                      <wp:effectExtent l="0" t="0" r="0" b="0"/>
                      <wp:wrapNone/>
                      <wp:docPr id="73" name="Frame73"/>
                      <a:graphic xmlns:a="http://schemas.openxmlformats.org/drawingml/2006/main">
                        <a:graphicData uri="http://schemas.microsoft.com/office/word/2010/wordprocessingShape">
                          <wps:wsp>
                            <wps:cNvSpPr txBox="1"/>
                            <wps:spPr>
                              <a:xfrm>
                                <a:off x="0" y="0"/>
                                <a:ext cx="431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45"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March 31, </w:t>
            </w:r>
          </w:p>
        </w:tc>
      </w:tr>
      <w:tr>
        <w:trPr/>
        <w:tc>
          <w:tcPr>
            <w:tcW w:w="321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i/>
                <w:sz w:val="16"/>
              </w:rPr>
            </w:pPr>
            <w:r>
              <w:rPr>
                <w:rFonts w:ascii="Arial;Helvetica;sans-serif" w:hAnsi="Arial;Helvetica;sans-serif"/>
                <w:i/>
                <w:sz w:val="16"/>
              </w:rPr>
              <w:t>(in thousands)</w:t>
            </w:r>
          </w:p>
        </w:tc>
        <w:tc>
          <w:tcPr>
            <w:tcW w:w="109" w:type="dxa"/>
            <w:tcBorders/>
            <w:vAlign w:val="center"/>
          </w:tcPr>
          <w:p>
            <w:pPr>
              <w:pStyle w:val="TableContents"/>
              <w:bidi w:val="0"/>
              <w:spacing w:before="0" w:after="1"/>
              <w:ind w:left="0" w:right="0" w:hanging="0"/>
              <w:jc w:val="left"/>
              <w:rPr/>
            </w:pPr>
            <w:r>
              <w:rPr/>
              <w:t>​</w:t>
            </w:r>
          </w:p>
        </w:tc>
        <w:tc>
          <w:tcPr>
            <w:tcW w:w="9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r>
      <w:tr>
        <w:trPr/>
        <w:tc>
          <w:tcPr>
            <w:tcW w:w="3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2023</w:t>
            </w:r>
          </w:p>
        </w:tc>
        <w:tc>
          <w:tcPr>
            <w:tcW w:w="109"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67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177</w:t>
            </w:r>
          </w:p>
        </w:tc>
      </w:tr>
      <w:tr>
        <w:trPr/>
        <w:tc>
          <w:tcPr>
            <w:tcW w:w="3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2024</w:t>
            </w:r>
          </w:p>
        </w:tc>
        <w:tc>
          <w:tcPr>
            <w:tcW w:w="109" w:type="dxa"/>
            <w:tcBorders/>
            <w:vAlign w:val="center"/>
          </w:tcPr>
          <w:p>
            <w:pPr>
              <w:pStyle w:val="TableContents"/>
              <w:bidi w:val="0"/>
              <w:spacing w:before="0" w:after="1"/>
              <w:ind w:left="0" w:right="0" w:hanging="0"/>
              <w:jc w:val="left"/>
              <w:rPr/>
            </w:pPr>
            <w:r>
              <w:rPr/>
              <w:t>​</w:t>
            </w:r>
          </w:p>
        </w:tc>
        <w:tc>
          <w:tcPr>
            <w:tcW w:w="26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119</w:t>
            </w:r>
          </w:p>
        </w:tc>
      </w:tr>
      <w:tr>
        <w:trPr/>
        <w:tc>
          <w:tcPr>
            <w:tcW w:w="3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undiscounted lease payments</w:t>
            </w:r>
          </w:p>
        </w:tc>
        <w:tc>
          <w:tcPr>
            <w:tcW w:w="109"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67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296</w:t>
            </w:r>
          </w:p>
        </w:tc>
      </w:tr>
      <w:tr>
        <w:trPr/>
        <w:tc>
          <w:tcPr>
            <w:tcW w:w="3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Less: imputed interest</w:t>
            </w:r>
          </w:p>
        </w:tc>
        <w:tc>
          <w:tcPr>
            <w:tcW w:w="109" w:type="dxa"/>
            <w:tcBorders/>
            <w:vAlign w:val="center"/>
          </w:tcPr>
          <w:p>
            <w:pPr>
              <w:pStyle w:val="TableContents"/>
              <w:bidi w:val="0"/>
              <w:spacing w:before="0" w:after="1"/>
              <w:ind w:left="0" w:right="0" w:hanging="0"/>
              <w:jc w:val="left"/>
              <w:rPr/>
            </w:pPr>
            <w:r>
              <w:rPr/>
              <w:t>​</w:t>
            </w:r>
          </w:p>
        </w:tc>
        <w:tc>
          <w:tcPr>
            <w:tcW w:w="26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w:t>
            </w:r>
          </w:p>
        </w:tc>
      </w:tr>
      <w:tr>
        <w:trPr/>
        <w:tc>
          <w:tcPr>
            <w:tcW w:w="3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Present value of lease liability</w:t>
            </w:r>
          </w:p>
        </w:tc>
        <w:tc>
          <w:tcPr>
            <w:tcW w:w="109" w:type="dxa"/>
            <w:tcBorders/>
            <w:shd w:fill="CCEEFF" w:val="clear"/>
            <w:vAlign w:val="center"/>
          </w:tcPr>
          <w:p>
            <w:pPr>
              <w:pStyle w:val="TableContents"/>
              <w:bidi w:val="0"/>
              <w:spacing w:before="0" w:after="1"/>
              <w:ind w:left="0" w:right="0" w:hanging="0"/>
              <w:jc w:val="left"/>
              <w:rPr/>
            </w:pPr>
            <w:r>
              <w:rPr/>
              <w:t>​</w:t>
            </w:r>
          </w:p>
        </w:tc>
        <w:tc>
          <w:tcPr>
            <w:tcW w:w="26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79"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286</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As of March 31, 2023, the remaining lease term was 1.3 years and the discount rate was 5.0%. The operating cash outflows from our operating lease were $0.1 million and $0.2 million for the three months ended March 31, 2023 and 2022, respectively. </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r>
        <w:rPr/>
        <w:t>​</w:t>
      </w:r>
    </w:p>
    <w:tbl>
      <w:tblPr>
        <w:tblW w:w="2822" w:type="dxa"/>
        <w:jc w:val="left"/>
        <w:tblInd w:w="0" w:type="dxa"/>
        <w:tblLayout w:type="fixed"/>
        <w:tblCellMar>
          <w:top w:w="0" w:type="dxa"/>
          <w:left w:w="0" w:type="dxa"/>
          <w:bottom w:w="0" w:type="dxa"/>
          <w:right w:w="0" w:type="dxa"/>
        </w:tblCellMar>
      </w:tblPr>
      <w:tblGrid>
        <w:gridCol w:w="316"/>
        <w:gridCol w:w="2506"/>
      </w:tblGrid>
      <w:tr>
        <w:trPr/>
        <w:tc>
          <w:tcPr>
            <w:tcW w:w="316" w:type="dxa"/>
            <w:tcBorders/>
            <w:vAlign w:val="center"/>
          </w:tcPr>
          <w:p>
            <w:pPr>
              <w:pStyle w:val="TableContents"/>
              <w:bidi w:val="0"/>
              <w:spacing w:before="0" w:after="240"/>
              <w:jc w:val="left"/>
              <w:rPr>
                <w:rFonts w:ascii="Arial;Helvetica;sans-serif" w:hAnsi="Arial;Helvetica;sans-serif"/>
                <w:b/>
                <w:sz w:val="24"/>
              </w:rPr>
            </w:pPr>
            <w:r>
              <w:rPr>
                <w:rFonts w:ascii="Arial;Helvetica;sans-serif" w:hAnsi="Arial;Helvetica;sans-serif"/>
                <w:b/>
                <w:sz w:val="24"/>
              </w:rPr>
              <w:t>6.</w:t>
            </w:r>
          </w:p>
        </w:tc>
        <w:tc>
          <w:tcPr>
            <w:tcW w:w="2506" w:type="dxa"/>
            <w:tcBorders/>
            <w:vAlign w:val="center"/>
          </w:tcPr>
          <w:p>
            <w:pPr>
              <w:pStyle w:val="TableContents"/>
              <w:bidi w:val="0"/>
              <w:spacing w:before="0" w:after="240"/>
              <w:jc w:val="left"/>
              <w:rPr>
                <w:rFonts w:ascii="Arial;Helvetica;sans-serif" w:hAnsi="Arial;Helvetica;sans-serif"/>
                <w:b/>
                <w:sz w:val="24"/>
              </w:rPr>
            </w:pPr>
            <w:r>
              <w:rPr>
                <w:rFonts w:ascii="Arial;Helvetica;sans-serif" w:hAnsi="Arial;Helvetica;sans-serif"/>
                <w:b/>
                <w:sz w:val="24"/>
              </w:rPr>
              <w:t>Stockholders’ equity</w:t>
            </w:r>
          </w:p>
        </w:tc>
      </w:tr>
    </w:tbl>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Common Stock Warrants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In connection with the initial public offering (the “IPO”), the warrants to purchase shares of convertible preferred stock automatically converted into warrants to purchase common stock, resulting in the reclassification of the related convertible preferred stock warrant liability to additional paid-in capital. Upon the closing of the IPO, these warrants to purchase convertible preferred stock became exercisable for 716,131 shares of common stock upon conversion at a weighted average exercise price of $2.39 per share. </w:t>
      </w:r>
    </w:p>
    <w:tbl>
      <w:tblPr>
        <w:tblW w:w="3602" w:type="dxa"/>
        <w:jc w:val="left"/>
        <w:tblInd w:w="0" w:type="dxa"/>
        <w:tblLayout w:type="fixed"/>
        <w:tblCellMar>
          <w:top w:w="0" w:type="dxa"/>
          <w:left w:w="0" w:type="dxa"/>
          <w:bottom w:w="0" w:type="dxa"/>
          <w:right w:w="0" w:type="dxa"/>
        </w:tblCellMar>
      </w:tblPr>
      <w:tblGrid>
        <w:gridCol w:w="316"/>
        <w:gridCol w:w="3286"/>
      </w:tblGrid>
      <w:tr>
        <w:trPr/>
        <w:tc>
          <w:tcPr>
            <w:tcW w:w="316" w:type="dxa"/>
            <w:tcBorders/>
            <w:vAlign w:val="center"/>
          </w:tcPr>
          <w:p>
            <w:pPr>
              <w:pStyle w:val="TableContents"/>
              <w:bidi w:val="0"/>
              <w:spacing w:before="0" w:after="240"/>
              <w:jc w:val="left"/>
              <w:rPr>
                <w:rFonts w:ascii="Arial;Helvetica;sans-serif" w:hAnsi="Arial;Helvetica;sans-serif"/>
                <w:b/>
                <w:sz w:val="24"/>
              </w:rPr>
            </w:pPr>
            <w:r>
              <w:rPr>
                <w:rFonts w:ascii="Arial;Helvetica;sans-serif" w:hAnsi="Arial;Helvetica;sans-serif"/>
                <w:b/>
                <w:sz w:val="24"/>
              </w:rPr>
              <w:t>7.</w:t>
            </w:r>
          </w:p>
        </w:tc>
        <w:tc>
          <w:tcPr>
            <w:tcW w:w="3286" w:type="dxa"/>
            <w:tcBorders/>
            <w:vAlign w:val="center"/>
          </w:tcPr>
          <w:p>
            <w:pPr>
              <w:pStyle w:val="TableContents"/>
              <w:bidi w:val="0"/>
              <w:spacing w:before="0" w:after="240"/>
              <w:jc w:val="left"/>
              <w:rPr>
                <w:rFonts w:ascii="Arial;Helvetica;sans-serif" w:hAnsi="Arial;Helvetica;sans-serif"/>
                <w:b/>
                <w:sz w:val="24"/>
              </w:rPr>
            </w:pPr>
            <w:r>
              <w:rPr>
                <w:rFonts w:ascii="Arial;Helvetica;sans-serif" w:hAnsi="Arial;Helvetica;sans-serif"/>
                <w:b/>
                <w:sz w:val="24"/>
              </w:rPr>
              <w:t>Stock-based compensation</w:t>
            </w:r>
          </w:p>
        </w:tc>
      </w:tr>
    </w:tbl>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Summary of plans and activity</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In June 2001, the Company’s Board of Directors and stockholders established the 2001 Stock Incentive Award Plan (“2001 Plan”). Under the 2001 Plan, as amended, 2,674,749 shares of common stock had been reserved for the issuance of incentive stock options granted to employees, non-employee directors, consultants or independent contractors. Options granted under the 2001 Plan have vesting terms that range from the date of grant to four years and expire within a maximum term of 10 years from the grant date. </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2021, the Company’s Board of Directors and stockholders established the 2021 Equity Incentive Plan (“2021 Plan”). The number of shares of common stock initially reserved for issuance under the 2021 Plan was 1,854,490 newly reserved shares in addition to the 600,737 shares that remained available for issuance under the 2001 Plan. The shares available for issuance under the 2021 Plan automatically increase on the first day of each year, commencing January 1, 2022, and ending on (and including) January 1, 2031, in an amount equal to 5% of the total number of shares of the Company’s common stock outstanding on the last day of the calendar month before the date of each automatic increase, or such lesser number of shares as determined by the Board of Directors. The annual increase resulted in an additional 1,033,186 shares being reserved for issuance under the 2021 Plan as of January 1, 2023. The 2021 Plan provides for the issuance of stock options, stock appreciation rights, restricted stock awards, stock unit awards and other stock-based awards and cash incentive awards to employees, consultants and non-employee directors of the Company and its subsidiaries. Awards granted under the 2021 Plan will have such vesting schedules and other terms as determined by the Compensation Committee and stock options and stock appreciation rights have a maximum term of 10 years from the grant date. No further awards can be made under the 2001 Plan following the adoption of the 2021 Plan. As of March 31, 2023, there were 1,832,425 shares available for future issuance under the 2021 Plan.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Options are granted at exercise prices not less than the fair market value (as determined by the Board of Directors) of the Company’s common stock on the date of grant. </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During the years 2008 through the IPO, the Board of Directors authorized the grant of stock options for the purchase of shares of common stock to the employers of certain non-employee directors. The options were not granted under the 2001 Plan or the 2021 Plan, but terms are substantially the same as the Company’s standard form of option agreement for non-employee directors as they have an exercise price not less than the fair market value on the grant date and vest over 48 months from the date of grant.</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bookmarkStart w:id="533" w:name="Tc_M2Pv5OvfsUSiyzecvRT_3g_11_8"/>
      <w:bookmarkStart w:id="534" w:name="Tc_vZvu9WDvTkOGZSttyz2rkg_11_4"/>
      <w:bookmarkStart w:id="535" w:name="Tc_fO718cD2r0mb7WEFUMMP7A_11_0"/>
      <w:bookmarkStart w:id="536" w:name="Tc_OJ6BRc4jx0GBC9pGQGLRcQ_10_8"/>
      <w:bookmarkStart w:id="537" w:name="Tc_PGoyLT4alku1R1VgIQevOw_10_4"/>
      <w:bookmarkStart w:id="538" w:name="Tc_NKMtkNwVi0SPRW_zNH8rHQ_10_0"/>
      <w:bookmarkStart w:id="539" w:name="Tc_9U6K6G_8ikOHBnnhcdDE7w_9_0"/>
      <w:bookmarkStart w:id="540" w:name="Tc_jEolTSSGoUik3eomvGmX5A_8_0"/>
      <w:bookmarkStart w:id="541" w:name="Tc_ETLpl_ms_E6IWlCChGoaHw_7_0"/>
      <w:bookmarkStart w:id="542" w:name="Tc_3u8c9IeOdEm2mq1jGqDYag_6_8"/>
      <w:bookmarkStart w:id="543" w:name="Tc_s2QcM6yRAkqjRTOcPbi3Fg_6_4"/>
      <w:bookmarkStart w:id="544" w:name="Tc_lcMITLOTUUuvFxnkWxsf4Q_6_0"/>
      <w:bookmarkStart w:id="545" w:name="Tc_ZDhfZllUsECHotMrZG2OYQ_5_7"/>
      <w:bookmarkStart w:id="546" w:name="Tc_H0411coAE0GudtT8i5THmg_4_7"/>
      <w:bookmarkStart w:id="547" w:name="Tc_J_D_vZo7VUC3ReZfD5ZUCw_4_4"/>
      <w:bookmarkStart w:id="548" w:name="Tc_0KTohBLP_0qzXAkW2AKVOA_4_2"/>
      <w:bookmarkStart w:id="549" w:name="Tc_5yATVDSRwUKQT7tkptEsEQ_3_7"/>
      <w:bookmarkStart w:id="550" w:name="Tc_2ac65ZHHQ02vieDmb8m4rg_3_4"/>
      <w:bookmarkStart w:id="551" w:name="Tc_3rvNYa4q2E6noY6-fG5lEg_3_2"/>
      <w:bookmarkStart w:id="552" w:name="Tc_eL7Sgm_ZpkuObYuvGYW6Dw_2_7"/>
      <w:bookmarkStart w:id="553" w:name="Tc_X9VpWhFVmk6yr8NYjKbWSA_2_4"/>
      <w:bookmarkStart w:id="554" w:name="Tc_ochwePB-9UaW40vSL80nsg_2_2"/>
      <w:bookmarkStart w:id="555" w:name="Tc_PRrHCkfXQUy8D49rnmxD7A_1_4"/>
      <w:bookmarkStart w:id="556" w:name="_9eb82ce5_df0f_475e_99de_a10da6b0e7aa"/>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r>
        <w:rPr>
          <w:rFonts w:ascii="Arial;Helvetica;sans-serif" w:hAnsi="Arial;Helvetica;sans-serif"/>
          <w:sz w:val="20"/>
        </w:rPr>
        <w:t>The following is a summary of stock option activity:</w:t>
      </w:r>
    </w:p>
    <w:tbl>
      <w:tblPr>
        <w:tblW w:w="7550" w:type="dxa"/>
        <w:jc w:val="left"/>
        <w:tblInd w:w="0" w:type="dxa"/>
        <w:tblLayout w:type="fixed"/>
        <w:tblCellMar>
          <w:top w:w="0" w:type="dxa"/>
          <w:left w:w="0" w:type="dxa"/>
          <w:bottom w:w="0" w:type="dxa"/>
          <w:right w:w="0" w:type="dxa"/>
        </w:tblCellMar>
      </w:tblPr>
      <w:tblGrid>
        <w:gridCol w:w="3496"/>
        <w:gridCol w:w="326"/>
        <w:gridCol w:w="931"/>
        <w:gridCol w:w="326"/>
        <w:gridCol w:w="243"/>
        <w:gridCol w:w="658"/>
        <w:gridCol w:w="326"/>
        <w:gridCol w:w="130"/>
        <w:gridCol w:w="252"/>
        <w:gridCol w:w="862"/>
      </w:tblGrid>
      <w:tr>
        <w:trPr/>
        <w:tc>
          <w:tcPr>
            <w:tcW w:w="3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219960" cy="175260"/>
                      <wp:effectExtent l="0" t="0" r="0" b="0"/>
                      <wp:wrapNone/>
                      <wp:docPr id="74" name="Frame74"/>
                      <a:graphic xmlns:a="http://schemas.openxmlformats.org/drawingml/2006/main">
                        <a:graphicData uri="http://schemas.microsoft.com/office/word/2010/wordprocessingShape">
                          <wps:wsp>
                            <wps:cNvSpPr txBox="1"/>
                            <wps:spPr>
                              <a:xfrm>
                                <a:off x="0" y="0"/>
                                <a:ext cx="2219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7010" cy="175260"/>
                      <wp:effectExtent l="0" t="0" r="0" b="0"/>
                      <wp:wrapNone/>
                      <wp:docPr id="75" name="Frame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91185" cy="175260"/>
                      <wp:effectExtent l="0" t="0" r="0" b="0"/>
                      <wp:wrapNone/>
                      <wp:docPr id="76" name="Frame7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07010" cy="175260"/>
                      <wp:effectExtent l="0" t="0" r="0" b="0"/>
                      <wp:wrapNone/>
                      <wp:docPr id="77" name="Frame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54305" cy="175260"/>
                      <wp:effectExtent l="0" t="0" r="0" b="0"/>
                      <wp:wrapNone/>
                      <wp:docPr id="78" name="Frame78"/>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417830" cy="175260"/>
                      <wp:effectExtent l="0" t="0" r="0" b="0"/>
                      <wp:wrapNone/>
                      <wp:docPr id="79" name="Frame79"/>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07010" cy="175260"/>
                      <wp:effectExtent l="0" t="0" r="0" b="0"/>
                      <wp:wrapNone/>
                      <wp:docPr id="80" name="Frame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82550" cy="175260"/>
                      <wp:effectExtent l="0" t="0" r="0" b="0"/>
                      <wp:wrapNone/>
                      <wp:docPr id="81" name="Frame81"/>
                      <a:graphic xmlns:a="http://schemas.openxmlformats.org/drawingml/2006/main">
                        <a:graphicData uri="http://schemas.microsoft.com/office/word/2010/wordprocessingShape">
                          <wps:wsp>
                            <wps:cNvSpPr txBox="1"/>
                            <wps:spPr>
                              <a:xfrm>
                                <a:off x="0" y="0"/>
                                <a:ext cx="82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60020" cy="175260"/>
                      <wp:effectExtent l="0" t="0" r="0" b="0"/>
                      <wp:wrapNone/>
                      <wp:docPr id="82" name="Frame82"/>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547370" cy="175260"/>
                      <wp:effectExtent l="0" t="0" r="0" b="0"/>
                      <wp:wrapNone/>
                      <wp:docPr id="83" name="Frame83"/>
                      <a:graphic xmlns:a="http://schemas.openxmlformats.org/drawingml/2006/main">
                        <a:graphicData uri="http://schemas.microsoft.com/office/word/2010/wordprocessingShape">
                          <wps:wsp>
                            <wps:cNvSpPr txBox="1"/>
                            <wps:spPr>
                              <a:xfrm>
                                <a:off x="0" y="0"/>
                                <a:ext cx="547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01" w:type="dxa"/>
            <w:gridSpan w:val="2"/>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b/>
                <w:sz w:val="16"/>
              </w:rPr>
              <w:t>Weighted</w:t>
            </w:r>
            <w:r>
              <w:rPr>
                <w:rFonts w:ascii="Arial;Helvetica;sans-serif" w:hAnsi="Arial;Helvetica;sans-serif"/>
                <w:sz w:val="16"/>
              </w:rPr>
              <w:t> </w:t>
            </w:r>
          </w:p>
        </w:tc>
        <w:tc>
          <w:tcPr>
            <w:tcW w:w="326" w:type="dxa"/>
            <w:tcBorders/>
            <w:vAlign w:val="center"/>
          </w:tcPr>
          <w:p>
            <w:pPr>
              <w:pStyle w:val="TableContents"/>
              <w:bidi w:val="0"/>
              <w:spacing w:before="0" w:after="0"/>
              <w:ind w:left="0" w:right="0" w:hanging="0"/>
              <w:jc w:val="left"/>
              <w:rPr/>
            </w:pPr>
            <w:r>
              <w:rPr/>
              <w:t>    </w:t>
            </w:r>
          </w:p>
        </w:tc>
        <w:tc>
          <w:tcPr>
            <w:tcW w:w="130" w:type="dxa"/>
            <w:tcBorders/>
            <w:vAlign w:val="center"/>
          </w:tcPr>
          <w:p>
            <w:pPr>
              <w:pStyle w:val="TableContents"/>
              <w:bidi w:val="0"/>
              <w:spacing w:before="0" w:after="0"/>
              <w:ind w:left="0" w:right="0" w:hanging="0"/>
              <w:jc w:val="center"/>
              <w:rPr/>
            </w:pPr>
            <w:r>
              <w:rPr/>
              <w:t>​</w:t>
            </w:r>
          </w:p>
        </w:tc>
        <w:tc>
          <w:tcPr>
            <w:tcW w:w="1114" w:type="dxa"/>
            <w:gridSpan w:val="2"/>
            <w:tcBorders/>
            <w:vAlign w:val="center"/>
          </w:tcPr>
          <w:p>
            <w:pPr>
              <w:pStyle w:val="TableContents"/>
              <w:bidi w:val="0"/>
              <w:spacing w:before="0" w:after="0"/>
              <w:ind w:left="0" w:right="0" w:hanging="0"/>
              <w:jc w:val="center"/>
              <w:rPr/>
            </w:pPr>
            <w:r>
              <w:rPr/>
              <w:t>​</w:t>
            </w:r>
          </w:p>
        </w:tc>
      </w:tr>
      <w:tr>
        <w:trPr/>
        <w:tc>
          <w:tcPr>
            <w:tcW w:w="3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b/>
                <w:sz w:val="16"/>
              </w:rPr>
              <w:t>Number</w:t>
            </w:r>
            <w:r>
              <w:rPr>
                <w:rFonts w:ascii="Arial;Helvetica;sans-serif" w:hAnsi="Arial;Helvetica;sans-serif"/>
                <w:sz w:val="16"/>
              </w:rPr>
              <w:t> </w:t>
            </w:r>
          </w:p>
        </w:tc>
        <w:tc>
          <w:tcPr>
            <w:tcW w:w="32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b/>
                <w:sz w:val="16"/>
              </w:rPr>
              <w:t>Average</w:t>
            </w:r>
            <w:r>
              <w:rPr>
                <w:rFonts w:ascii="Arial;Helvetica;sans-serif" w:hAnsi="Arial;Helvetica;sans-serif"/>
                <w:sz w:val="16"/>
              </w:rPr>
              <w:t> </w:t>
            </w:r>
          </w:p>
        </w:tc>
        <w:tc>
          <w:tcPr>
            <w:tcW w:w="326" w:type="dxa"/>
            <w:tcBorders/>
            <w:vAlign w:val="center"/>
          </w:tcPr>
          <w:p>
            <w:pPr>
              <w:pStyle w:val="TableContents"/>
              <w:bidi w:val="0"/>
              <w:spacing w:before="0" w:after="0"/>
              <w:ind w:left="0" w:right="0" w:hanging="0"/>
              <w:jc w:val="left"/>
              <w:rPr/>
            </w:pPr>
            <w:r>
              <w:rPr/>
              <w:t>​</w:t>
            </w:r>
          </w:p>
        </w:tc>
        <w:tc>
          <w:tcPr>
            <w:tcW w:w="1244" w:type="dxa"/>
            <w:gridSpan w:val="3"/>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b/>
                <w:sz w:val="16"/>
              </w:rPr>
              <w:t>Aggregate</w:t>
            </w:r>
            <w:r>
              <w:rPr>
                <w:rFonts w:ascii="Arial;Helvetica;sans-serif" w:hAnsi="Arial;Helvetica;sans-serif"/>
                <w:sz w:val="16"/>
              </w:rPr>
              <w:t> </w:t>
            </w:r>
          </w:p>
        </w:tc>
      </w:tr>
      <w:tr>
        <w:trPr/>
        <w:tc>
          <w:tcPr>
            <w:tcW w:w="3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b/>
                <w:sz w:val="16"/>
              </w:rPr>
              <w:t>of</w:t>
            </w:r>
            <w:r>
              <w:rPr>
                <w:rFonts w:ascii="Arial;Helvetica;sans-serif" w:hAnsi="Arial;Helvetica;sans-serif"/>
                <w:sz w:val="16"/>
              </w:rPr>
              <w:t> </w:t>
            </w:r>
          </w:p>
        </w:tc>
        <w:tc>
          <w:tcPr>
            <w:tcW w:w="32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b/>
                <w:sz w:val="16"/>
              </w:rPr>
              <w:t>Exercise</w:t>
            </w:r>
            <w:r>
              <w:rPr>
                <w:rFonts w:ascii="Arial;Helvetica;sans-serif" w:hAnsi="Arial;Helvetica;sans-serif"/>
                <w:sz w:val="16"/>
              </w:rPr>
              <w:t> </w:t>
            </w:r>
          </w:p>
        </w:tc>
        <w:tc>
          <w:tcPr>
            <w:tcW w:w="326" w:type="dxa"/>
            <w:tcBorders/>
            <w:vAlign w:val="center"/>
          </w:tcPr>
          <w:p>
            <w:pPr>
              <w:pStyle w:val="TableContents"/>
              <w:bidi w:val="0"/>
              <w:spacing w:before="0" w:after="0"/>
              <w:ind w:left="0" w:right="0" w:hanging="0"/>
              <w:jc w:val="left"/>
              <w:rPr/>
            </w:pPr>
            <w:r>
              <w:rPr/>
              <w:t>​</w:t>
            </w:r>
          </w:p>
        </w:tc>
        <w:tc>
          <w:tcPr>
            <w:tcW w:w="1244" w:type="dxa"/>
            <w:gridSpan w:val="3"/>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b/>
                <w:sz w:val="16"/>
              </w:rPr>
              <w:t>Intrinsic</w:t>
            </w:r>
            <w:r>
              <w:rPr>
                <w:rFonts w:ascii="Arial;Helvetica;sans-serif" w:hAnsi="Arial;Helvetica;sans-serif"/>
                <w:sz w:val="16"/>
              </w:rPr>
              <w:t> </w:t>
            </w:r>
          </w:p>
        </w:tc>
      </w:tr>
      <w:tr>
        <w:trPr/>
        <w:tc>
          <w:tcPr>
            <w:tcW w:w="3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Options</w:t>
            </w:r>
          </w:p>
        </w:tc>
        <w:tc>
          <w:tcPr>
            <w:tcW w:w="326" w:type="dxa"/>
            <w:tcBorders/>
            <w:vAlign w:val="center"/>
          </w:tcPr>
          <w:p>
            <w:pPr>
              <w:pStyle w:val="TableContents"/>
              <w:bidi w:val="0"/>
              <w:spacing w:before="0" w:after="0"/>
              <w:ind w:left="0" w:right="0" w:hanging="0"/>
              <w:jc w:val="left"/>
              <w:rPr/>
            </w:pPr>
            <w:r>
              <w:rPr/>
              <w:t>​</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Price</w:t>
            </w:r>
          </w:p>
        </w:tc>
        <w:tc>
          <w:tcPr>
            <w:tcW w:w="326" w:type="dxa"/>
            <w:tcBorders/>
            <w:vAlign w:val="center"/>
          </w:tcPr>
          <w:p>
            <w:pPr>
              <w:pStyle w:val="TableContents"/>
              <w:bidi w:val="0"/>
              <w:spacing w:before="0" w:after="0"/>
              <w:ind w:left="0" w:right="0" w:hanging="0"/>
              <w:jc w:val="left"/>
              <w:rPr/>
            </w:pPr>
            <w:r>
              <w:rPr/>
              <w:t>​</w:t>
            </w:r>
          </w:p>
        </w:tc>
        <w:tc>
          <w:tcPr>
            <w:tcW w:w="124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Value</w:t>
            </w:r>
          </w:p>
        </w:tc>
      </w:tr>
      <w:tr>
        <w:trPr/>
        <w:tc>
          <w:tcPr>
            <w:tcW w:w="3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44" w:type="dxa"/>
            <w:gridSpan w:val="3"/>
            <w:tcBorders/>
            <w:vAlign w:val="center"/>
          </w:tcPr>
          <w:p>
            <w:pPr>
              <w:pStyle w:val="TableContents"/>
              <w:bidi w:val="0"/>
              <w:spacing w:before="0" w:after="0"/>
              <w:ind w:left="0" w:right="0" w:hanging="0"/>
              <w:jc w:val="center"/>
              <w:rPr>
                <w:rFonts w:ascii="Arial;Helvetica;sans-serif" w:hAnsi="Arial;Helvetica;sans-serif"/>
                <w:i/>
                <w:sz w:val="16"/>
              </w:rPr>
            </w:pPr>
            <w:r>
              <w:rPr>
                <w:rFonts w:ascii="Arial;Helvetica;sans-serif" w:hAnsi="Arial;Helvetica;sans-serif"/>
                <w:i/>
                <w:sz w:val="16"/>
              </w:rPr>
              <w:t>(in  thousands)</w:t>
            </w:r>
          </w:p>
        </w:tc>
      </w:tr>
      <w:tr>
        <w:trPr/>
        <w:tc>
          <w:tcPr>
            <w:tcW w:w="349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Balance as of December 31, 2022</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3,756,835</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58"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8.28</w:t>
            </w:r>
          </w:p>
        </w:tc>
        <w:tc>
          <w:tcPr>
            <w:tcW w:w="326" w:type="dxa"/>
            <w:tcBorders/>
            <w:shd w:fill="CCEEFF" w:val="clear"/>
            <w:vAlign w:val="center"/>
          </w:tcPr>
          <w:p>
            <w:pPr>
              <w:pStyle w:val="TableContents"/>
              <w:bidi w:val="0"/>
              <w:spacing w:before="0" w:after="0"/>
              <w:ind w:left="0" w:right="0" w:hanging="0"/>
              <w:jc w:val="left"/>
              <w:rPr/>
            </w:pPr>
            <w:r>
              <w:rPr/>
              <w:t> </w:t>
            </w:r>
          </w:p>
        </w:tc>
        <w:tc>
          <w:tcPr>
            <w:tcW w:w="130"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62"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36,616</w:t>
            </w:r>
          </w:p>
        </w:tc>
      </w:tr>
      <w:tr>
        <w:trPr/>
        <w:tc>
          <w:tcPr>
            <w:tcW w:w="349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Granted</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847,479</w:t>
            </w:r>
          </w:p>
        </w:tc>
        <w:tc>
          <w:tcPr>
            <w:tcW w:w="3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 </w:t>
            </w:r>
          </w:p>
        </w:tc>
        <w:tc>
          <w:tcPr>
            <w:tcW w:w="658"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13.92</w:t>
            </w:r>
          </w:p>
        </w:tc>
        <w:tc>
          <w:tcPr>
            <w:tcW w:w="326" w:type="dxa"/>
            <w:tcBorders/>
            <w:vAlign w:val="center"/>
          </w:tcPr>
          <w:p>
            <w:pPr>
              <w:pStyle w:val="TableContents"/>
              <w:bidi w:val="0"/>
              <w:spacing w:before="0" w:after="0"/>
              <w:ind w:left="0" w:right="0" w:hanging="0"/>
              <w:jc w:val="left"/>
              <w:rPr/>
            </w:pPr>
            <w:r>
              <w:rPr/>
              <w:t> </w:t>
            </w:r>
          </w:p>
        </w:tc>
        <w:tc>
          <w:tcPr>
            <w:tcW w:w="130"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right"/>
              <w:rPr/>
            </w:pPr>
            <w:r>
              <w:rPr/>
              <w:t>  </w:t>
            </w:r>
          </w:p>
        </w:tc>
      </w:tr>
      <w:tr>
        <w:trPr/>
        <w:tc>
          <w:tcPr>
            <w:tcW w:w="349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Cancelled / Forfeited</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(132,505)</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 </w:t>
            </w:r>
          </w:p>
        </w:tc>
        <w:tc>
          <w:tcPr>
            <w:tcW w:w="658"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7.55</w:t>
            </w:r>
          </w:p>
        </w:tc>
        <w:tc>
          <w:tcPr>
            <w:tcW w:w="326" w:type="dxa"/>
            <w:tcBorders/>
            <w:shd w:fill="CCEEFF" w:val="clear"/>
            <w:vAlign w:val="center"/>
          </w:tcPr>
          <w:p>
            <w:pPr>
              <w:pStyle w:val="TableContents"/>
              <w:bidi w:val="0"/>
              <w:spacing w:before="0" w:after="0"/>
              <w:ind w:left="0" w:right="0" w:hanging="0"/>
              <w:jc w:val="left"/>
              <w:rPr/>
            </w:pPr>
            <w:r>
              <w:rPr/>
              <w:t> </w:t>
            </w:r>
          </w:p>
        </w:tc>
        <w:tc>
          <w:tcPr>
            <w:tcW w:w="130"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right"/>
              <w:rPr/>
            </w:pPr>
            <w:r>
              <w:rPr/>
              <w:t>  </w:t>
            </w:r>
          </w:p>
        </w:tc>
      </w:tr>
      <w:tr>
        <w:trPr/>
        <w:tc>
          <w:tcPr>
            <w:tcW w:w="349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Exercised</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(45,204)</w:t>
            </w:r>
          </w:p>
        </w:tc>
        <w:tc>
          <w:tcPr>
            <w:tcW w:w="3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 </w:t>
            </w:r>
          </w:p>
        </w:tc>
        <w:tc>
          <w:tcPr>
            <w:tcW w:w="658"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2.83</w:t>
            </w:r>
          </w:p>
        </w:tc>
        <w:tc>
          <w:tcPr>
            <w:tcW w:w="326" w:type="dxa"/>
            <w:tcBorders/>
            <w:vAlign w:val="center"/>
          </w:tcPr>
          <w:p>
            <w:pPr>
              <w:pStyle w:val="TableContents"/>
              <w:bidi w:val="0"/>
              <w:spacing w:before="0" w:after="0"/>
              <w:ind w:left="0" w:right="0" w:hanging="0"/>
              <w:jc w:val="left"/>
              <w:rPr/>
            </w:pPr>
            <w:r>
              <w:rPr/>
              <w:t> </w:t>
            </w:r>
          </w:p>
        </w:tc>
        <w:tc>
          <w:tcPr>
            <w:tcW w:w="130"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right"/>
              <w:rPr/>
            </w:pPr>
            <w:r>
              <w:rPr/>
              <w:t>  </w:t>
            </w:r>
          </w:p>
        </w:tc>
      </w:tr>
      <w:tr>
        <w:trPr/>
        <w:tc>
          <w:tcPr>
            <w:tcW w:w="349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Balance as of March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4,426,605</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58"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9.44</w:t>
            </w:r>
          </w:p>
        </w:tc>
        <w:tc>
          <w:tcPr>
            <w:tcW w:w="326" w:type="dxa"/>
            <w:tcBorders/>
            <w:shd w:fill="CCEEFF" w:val="clear"/>
            <w:vAlign w:val="center"/>
          </w:tcPr>
          <w:p>
            <w:pPr>
              <w:pStyle w:val="TableContents"/>
              <w:bidi w:val="0"/>
              <w:spacing w:before="0" w:after="0"/>
              <w:ind w:left="0" w:right="0" w:hanging="0"/>
              <w:jc w:val="left"/>
              <w:rPr/>
            </w:pPr>
            <w:r>
              <w:rPr/>
              <w:t>​</w:t>
            </w:r>
          </w:p>
        </w:tc>
        <w:tc>
          <w:tcPr>
            <w:tcW w:w="130"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10,105</w:t>
            </w:r>
          </w:p>
        </w:tc>
      </w:tr>
      <w:tr>
        <w:trPr/>
        <w:tc>
          <w:tcPr>
            <w:tcW w:w="349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Options exercisable as of March 31, 2023</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1,877,891</w:t>
            </w:r>
          </w:p>
        </w:tc>
        <w:tc>
          <w:tcPr>
            <w:tcW w:w="3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58"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6.74</w:t>
            </w:r>
          </w:p>
        </w:tc>
        <w:tc>
          <w:tcPr>
            <w:tcW w:w="326" w:type="dxa"/>
            <w:tcBorders/>
            <w:vAlign w:val="center"/>
          </w:tcPr>
          <w:p>
            <w:pPr>
              <w:pStyle w:val="TableContents"/>
              <w:bidi w:val="0"/>
              <w:spacing w:before="0" w:after="0"/>
              <w:ind w:left="0" w:right="0" w:hanging="0"/>
              <w:jc w:val="left"/>
              <w:rPr/>
            </w:pPr>
            <w:r>
              <w:rPr/>
              <w:t>​</w:t>
            </w:r>
          </w:p>
        </w:tc>
        <w:tc>
          <w:tcPr>
            <w:tcW w:w="130"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62" w:type="dxa"/>
            <w:tcBorders/>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7,846</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As of March 31, 2023, stock options outstanding included 8,796 options that were not granted under the 2001 Plan or the 2021 Plan. For options outstanding as of March 31, 2023, the weighted average remaining contractual life was 7.9 years. For options exercisable as of March 31, 2023, the weighted average remaining contractual life was 6.5 years.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Company’s Board of Directors and stockholders also established an Employee Stock Purchase Plan (the “ESPP”). The number of shares of common stock initially reserved for issuance under the ESPP was 278,170. The shares available for issuance under the ESPP automatically increase on the first day of each year, commencing January 1, 2022, and ending on (and including) January 1, 2031, in an amount equal to 1% of the total number of shares of the Company’s common stock outstanding on the last day of the calendar month before the date of each automatic increase, or such lesser number of shares as determined by the Board of Directors. The annual increase resulted in an additional 206,637 shares being reserved for issuance under the ESPP as of January 1, 2023. The ESPP permits certain of the Company’s U.S. employees to purchase shares of the Company’s common stock at a price per share not less than 85% of the l</w:t>
      </w:r>
      <w:r>
        <w:rPr>
          <w:rFonts w:ascii="Arial;Helvetica;sans-serif" w:hAnsi="Arial;Helvetica;sans-serif"/>
          <w:spacing w:val="5"/>
          <w:sz w:val="20"/>
        </w:rPr>
        <w:t xml:space="preserve">ower of (i) the closing market price per share of the Company’s common stock on the first day of the applicable purchase period or (ii) the closing market price per share of the Company’s common stock on the purchase date at the end </w:t>
      </w:r>
      <w:r>
        <w:rPr>
          <w:rFonts w:ascii="Arial;Helvetica;sans-serif" w:hAnsi="Arial;Helvetica;sans-serif"/>
          <w:sz w:val="20"/>
        </w:rPr>
        <w:t>of the applicable six-month purchase period. The first purchase date under the ESPP was June 30, 2022. As of March 31, 2023, there were 574,910 shares available for issuance under the ESPP.</w:t>
      </w:r>
      <w:r>
        <w:rPr>
          <w:rFonts w:ascii="Arial;Helvetica;sans-serif" w:hAnsi="Arial;Helvetica;sans-serif"/>
          <w:spacing w:val="5"/>
          <w:sz w:val="20"/>
        </w:rPr>
        <w:t xml:space="preserve"> </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Stock-based compensation expense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Company uses the Black-Scholes option pricing model to determine the fair value of stock options and ESPP purchase rights on the grant date. The Company measures stock-based compensation expense based on the grant date fair value of the award and recognizes compensation expense over the requisite service period, which is generally the vesting period for stock options and the offering period for ESPP purchase rights. The amount of stock-based compensation expense recognized for stock option awards during a period is based on the portion of the awards that are ultimately expected to vest. The amount of stock-based compensation expense recognized for ESPP purchase rights during a period is based on the estimated purchase rights as of the grant date. The Company accounts for forfeitures as they occur.</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bookmarkStart w:id="557" w:name="Tc_Z7KvO7hTfkyCMKnG8CyuTw_11_5"/>
      <w:bookmarkStart w:id="558" w:name="Tc_DNjrQy2Ok0aCaFLvnDPDgA_11_2"/>
      <w:bookmarkStart w:id="559" w:name="Tc_wLlXbqgiFUSYJlUgAV3FYA_10_0"/>
      <w:bookmarkStart w:id="560" w:name="Tc_Rr8enFK1vkynecct1LgX6w_9_0"/>
      <w:bookmarkStart w:id="561" w:name="Tc_4y-8kcmz20OqUMgxP5VZPA_8_5"/>
      <w:bookmarkStart w:id="562" w:name="Tc_oGEwaNqlK0eU8l0UMYJkUg_8_2"/>
      <w:bookmarkStart w:id="563" w:name="Tc_e82N1QqT3kGxfU8fhWyTWA_8_0"/>
      <w:bookmarkStart w:id="564" w:name="Tc_PuYTS5rnqky-G-OI0nzJAA_6_5"/>
      <w:bookmarkStart w:id="565" w:name="Tc_8SEr0FPbHEmwZ20LQqW7Kw_6_2"/>
      <w:bookmarkStart w:id="566" w:name="Tc_TwDod6qne0aryqCl2QfTyw_6_0"/>
      <w:bookmarkStart w:id="567" w:name="Tc_cBxuilU1jU6oU4AcErVgVw_5_6"/>
      <w:bookmarkStart w:id="568" w:name="Tc_VyRi7A-xNUq9owLFmxUv0g_5_0"/>
      <w:bookmarkStart w:id="569" w:name="Tc_8M0_e3EUz0uNRZwxoWRSFQ_4_5"/>
      <w:bookmarkStart w:id="570" w:name="Tc_PI_tNLBPcUmkOJp3BxsNSw_4_2"/>
      <w:bookmarkStart w:id="571" w:name="Tc__nk9F6zm6EWC_EOzLhfbmg_4_0"/>
      <w:bookmarkStart w:id="572" w:name="Tc_zxcmKib-zUCZCy5jAv7cnQ_3_5"/>
      <w:bookmarkStart w:id="573" w:name="Tc_ZxfLDA3UDEuJIjRZpJ0xYw_3_2"/>
      <w:bookmarkStart w:id="574" w:name="Tc_NGy8BqVQPkmWb5OdSiygRw_3_0"/>
      <w:bookmarkStart w:id="575" w:name="Tc_T9NHOzi7hkWjJfdU_NV5Hg_2_2"/>
      <w:bookmarkStart w:id="576" w:name="Tc_JlMyBTfFxU2ksW6k9btX_g_1_2"/>
      <w:bookmarkStart w:id="577" w:name="_271d42ff_8f1d_482b_8bd2_ccb11f67ee86"/>
      <w:bookmarkStart w:id="578" w:name="Tc_AUIeW5DZS0euSNB7YB2wVw_7_8"/>
      <w:bookmarkStart w:id="579" w:name="Tc_qrwu4F_W7U-LuIWCKsOuew_7_4"/>
      <w:bookmarkStart w:id="580" w:name="Tc_qEnWB2CZFki1CxtBYIix9w_7_0"/>
      <w:bookmarkStart w:id="581" w:name="Tc_9tjrf4_2Fk6jDan_FRqfBA_6_8"/>
      <w:bookmarkStart w:id="582" w:name="Tc_iks3-09KyEqBQzy_UEmGuA_6_4"/>
      <w:bookmarkStart w:id="583" w:name="Tc_Aw0qZbIdOEG32BCtCAq8bw_6_0"/>
      <w:bookmarkStart w:id="584" w:name="Tc_aX0KgCkGxUKpwvvdi90NGw_5_8"/>
      <w:bookmarkStart w:id="585" w:name="Tc_JOnbVEba5k6K4MvgZCgO9g_5_4"/>
      <w:bookmarkStart w:id="586" w:name="Tc_6BgUsI0xTUmP52Shnu3Iaw_5_0"/>
      <w:bookmarkStart w:id="587" w:name="Tc_qSPrq4VYAkyKT_2VTnbZXQ_4_0"/>
      <w:bookmarkStart w:id="588" w:name="Tc_IUVstfM0sU638saE9acetg_3_6"/>
      <w:bookmarkStart w:id="589" w:name="Tc_wcdqhc4WR0ybk9MBlLeIXQ_3_2"/>
      <w:bookmarkStart w:id="590" w:name="Tc_ymcstvRvE0SaaiUEuDwphA_3_0"/>
      <w:bookmarkStart w:id="591" w:name="Tc_SstsIsC8Wk6PscRhoMmrfw_2_7"/>
      <w:bookmarkStart w:id="592" w:name="Tc_78sx2CCIFku25Aq23bvn_Q_2_3"/>
      <w:bookmarkStart w:id="593" w:name="Tc_fNN3kU3JDkG1DRQk2a8jIA_1_2"/>
      <w:bookmarkStart w:id="594" w:name="_0a4aed32_f817_4f9d_85c0_865b8c7c2cf0"/>
      <w:bookmarkStart w:id="595" w:name="Tc_nE5FPED7wUCLIb7SmLNPTg_8_8"/>
      <w:bookmarkStart w:id="596" w:name="Tc_Mq-uBfY7bUehlAKt0k9-NA_8_7"/>
      <w:bookmarkStart w:id="597" w:name="Tc_xFaXeswP-02KWsPf7JtpZw_8_4"/>
      <w:bookmarkStart w:id="598" w:name="Tc_6ytRHGy1p0uBGyLsvdkdog_8_3"/>
      <w:bookmarkStart w:id="599" w:name="Tc_bTbYgsU1aki9BfWLrRzu9Q_8_0"/>
      <w:bookmarkStart w:id="600" w:name="Tc_QudPEbspnEeJzqKGUx7RUg_7_8"/>
      <w:bookmarkStart w:id="601" w:name="Tc_5iPSjQmpnUCQ-ZYUnFGGNA_7_4"/>
      <w:bookmarkStart w:id="602" w:name="Tc_4HQkNKBsyki4SibRure5wQ_7_0"/>
      <w:bookmarkStart w:id="603" w:name="Tc_WKw2NxBjGUSuWGFdxaS_5A_6_8"/>
      <w:bookmarkStart w:id="604" w:name="Tc_b_nGlBkSL0WhfilP0_2qxQ_6_7"/>
      <w:bookmarkStart w:id="605" w:name="Tc__iaTeAyFPEmbcdhmeJljLw_6_4"/>
      <w:bookmarkStart w:id="606" w:name="Tc_boIOwLkFvEesmS99v_a0Jg_6_3"/>
      <w:bookmarkStart w:id="607" w:name="Tc_eCvqy_zSZEGVR3NYVGHXMA_6_0"/>
      <w:bookmarkStart w:id="608" w:name="Tc_fjuXwFTKc0K4CytQU-fOOg_5_3"/>
      <w:bookmarkStart w:id="609" w:name="Tc_ZqLjwqnkD0Sq3ImZj-vXvw_5_0"/>
      <w:bookmarkStart w:id="610" w:name="Tc_fAi-ye_SmUyW8OTvxae-og_4_0"/>
      <w:bookmarkStart w:id="611" w:name="Tc_rM6__tthNUem7XZGrNTKRA_3_6"/>
      <w:bookmarkStart w:id="612" w:name="Tc_ZBN8kz0lME--8RIjqW84nQ_3_2"/>
      <w:bookmarkStart w:id="613" w:name="Tc_WcCAJ4pLaUGzGAuWF35INA_3_0"/>
      <w:bookmarkStart w:id="614" w:name="Tc_E9_m33EWZ06bxE0LWA9sqw_2_7"/>
      <w:bookmarkStart w:id="615" w:name="Tc_pXjQktmU50apgprwM3Aa9A_2_3"/>
      <w:bookmarkStart w:id="616" w:name="Tc_IJ1P61kX90iGHVqdKeSMIw_1_2"/>
      <w:bookmarkStart w:id="617" w:name="_ddbe76a4_b4e0_46c0_930a_8556a4231823"/>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r>
        <w:rPr>
          <w:rFonts w:ascii="Arial;Helvetica;sans-serif" w:hAnsi="Arial;Helvetica;sans-serif"/>
          <w:sz w:val="20"/>
        </w:rPr>
        <w:t xml:space="preserve">The following table provides the weighted average fair value of options granted to employees and the related assumptions used in the Black-Scholes option pricing model for the three months ended March 31, 2023 and 2022: </w:t>
      </w:r>
    </w:p>
    <w:tbl>
      <w:tblPr>
        <w:tblW w:w="8587" w:type="dxa"/>
        <w:jc w:val="left"/>
        <w:tblInd w:w="0" w:type="dxa"/>
        <w:tblLayout w:type="fixed"/>
        <w:tblCellMar>
          <w:top w:w="0" w:type="dxa"/>
          <w:left w:w="0" w:type="dxa"/>
          <w:bottom w:w="0" w:type="dxa"/>
          <w:right w:w="0" w:type="dxa"/>
        </w:tblCellMar>
      </w:tblPr>
      <w:tblGrid>
        <w:gridCol w:w="4471"/>
        <w:gridCol w:w="326"/>
        <w:gridCol w:w="211"/>
        <w:gridCol w:w="1321"/>
        <w:gridCol w:w="286"/>
        <w:gridCol w:w="109"/>
        <w:gridCol w:w="211"/>
        <w:gridCol w:w="1321"/>
        <w:gridCol w:w="331"/>
      </w:tblGrid>
      <w:tr>
        <w:trPr/>
        <w:tc>
          <w:tcPr>
            <w:tcW w:w="4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839085" cy="175260"/>
                      <wp:effectExtent l="0" t="0" r="0" b="0"/>
                      <wp:wrapNone/>
                      <wp:docPr id="84" name="Frame84"/>
                      <a:graphic xmlns:a="http://schemas.openxmlformats.org/drawingml/2006/main">
                        <a:graphicData uri="http://schemas.microsoft.com/office/word/2010/wordprocessingShape">
                          <wps:wsp>
                            <wps:cNvSpPr txBox="1"/>
                            <wps:spPr>
                              <a:xfrm>
                                <a:off x="0" y="0"/>
                                <a:ext cx="2839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85" name="Frame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33985" cy="175260"/>
                      <wp:effectExtent l="0" t="0" r="0" b="0"/>
                      <wp:wrapNone/>
                      <wp:docPr id="86" name="Frame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838835" cy="175260"/>
                      <wp:effectExtent l="0" t="0" r="0" b="0"/>
                      <wp:wrapNone/>
                      <wp:docPr id="87" name="Frame87"/>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81610" cy="175260"/>
                      <wp:effectExtent l="0" t="0" r="0" b="0"/>
                      <wp:wrapNone/>
                      <wp:docPr id="88" name="Frame88"/>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9215" cy="175260"/>
                      <wp:effectExtent l="0" t="0" r="0" b="0"/>
                      <wp:wrapNone/>
                      <wp:docPr id="89" name="Frame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33985" cy="175260"/>
                      <wp:effectExtent l="0" t="0" r="0" b="0"/>
                      <wp:wrapNone/>
                      <wp:docPr id="90" name="Frame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838835" cy="175260"/>
                      <wp:effectExtent l="0" t="0" r="0" b="0"/>
                      <wp:wrapNone/>
                      <wp:docPr id="91" name="Frame91"/>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10185" cy="175260"/>
                      <wp:effectExtent l="0" t="0" r="0" b="0"/>
                      <wp:wrapNone/>
                      <wp:docPr id="92" name="Frame92"/>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459" w:type="dxa"/>
            <w:gridSpan w:val="6"/>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March 31, </w:t>
            </w:r>
          </w:p>
        </w:tc>
        <w:tc>
          <w:tcPr>
            <w:tcW w:w="331" w:type="dxa"/>
            <w:tcBorders/>
            <w:vAlign w:val="center"/>
          </w:tcPr>
          <w:p>
            <w:pPr>
              <w:pStyle w:val="TableContents"/>
              <w:bidi w:val="0"/>
              <w:spacing w:before="0" w:after="0"/>
              <w:ind w:left="0" w:right="0" w:hanging="0"/>
              <w:jc w:val="center"/>
              <w:rPr/>
            </w:pPr>
            <w:r>
              <w:rPr/>
              <w:t>​</w:t>
            </w:r>
          </w:p>
        </w:tc>
      </w:tr>
      <w:tr>
        <w:trPr/>
        <w:tc>
          <w:tcPr>
            <w:tcW w:w="4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286" w:type="dxa"/>
            <w:tcBorders/>
            <w:vAlign w:val="center"/>
          </w:tcPr>
          <w:p>
            <w:pPr>
              <w:pStyle w:val="TableContents"/>
              <w:bidi w:val="0"/>
              <w:spacing w:before="0" w:after="0"/>
              <w:ind w:left="0" w:right="0" w:hanging="0"/>
              <w:jc w:val="center"/>
              <w:rPr/>
            </w:pPr>
            <w:r>
              <w:rPr/>
              <w:t> </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c>
          <w:tcPr>
            <w:tcW w:w="331" w:type="dxa"/>
            <w:tcBorders/>
            <w:vAlign w:val="center"/>
          </w:tcPr>
          <w:p>
            <w:pPr>
              <w:pStyle w:val="TableContents"/>
              <w:bidi w:val="0"/>
              <w:spacing w:before="0" w:after="0"/>
              <w:ind w:left="0" w:right="0" w:hanging="0"/>
              <w:jc w:val="center"/>
              <w:rPr/>
            </w:pPr>
            <w:r>
              <w:rPr/>
              <w:t> </w:t>
            </w:r>
          </w:p>
        </w:tc>
      </w:tr>
      <w:tr>
        <w:trPr/>
        <w:tc>
          <w:tcPr>
            <w:tcW w:w="447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Weighted average fair value of options granted</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32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10.72</w:t>
            </w:r>
          </w:p>
        </w:tc>
        <w:tc>
          <w:tcPr>
            <w:tcW w:w="2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32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4.77</w:t>
            </w:r>
          </w:p>
        </w:tc>
        <w:tc>
          <w:tcPr>
            <w:tcW w:w="331" w:type="dxa"/>
            <w:tcBorders/>
            <w:shd w:fill="CCEEFF" w:val="clear"/>
            <w:vAlign w:val="center"/>
          </w:tcPr>
          <w:p>
            <w:pPr>
              <w:pStyle w:val="TableContents"/>
              <w:bidi w:val="0"/>
              <w:spacing w:before="0" w:after="0"/>
              <w:ind w:left="0" w:right="0" w:hanging="0"/>
              <w:jc w:val="left"/>
              <w:rPr/>
            </w:pPr>
            <w:r>
              <w:rPr/>
              <w:t>​</w:t>
            </w:r>
          </w:p>
        </w:tc>
      </w:tr>
      <w:tr>
        <w:trPr/>
        <w:tc>
          <w:tcPr>
            <w:tcW w:w="447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Expected term (in years) — non-officer employees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w:t>
            </w:r>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w:t>
            </w:r>
          </w:p>
        </w:tc>
        <w:tc>
          <w:tcPr>
            <w:tcW w:w="331" w:type="dxa"/>
            <w:tcBorders/>
            <w:vAlign w:val="center"/>
          </w:tcPr>
          <w:p>
            <w:pPr>
              <w:pStyle w:val="TableContents"/>
              <w:bidi w:val="0"/>
              <w:spacing w:before="0" w:after="0"/>
              <w:ind w:left="0" w:right="0" w:hanging="0"/>
              <w:jc w:val="left"/>
              <w:rPr/>
            </w:pPr>
            <w:r>
              <w:rPr/>
              <w:t>​</w:t>
            </w:r>
          </w:p>
        </w:tc>
      </w:tr>
      <w:tr>
        <w:trPr/>
        <w:tc>
          <w:tcPr>
            <w:tcW w:w="447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Expected term (in years) — officer employees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 to 6.1</w:t>
            </w:r>
          </w:p>
        </w:tc>
        <w:tc>
          <w:tcPr>
            <w:tcW w:w="2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w:t>
            </w:r>
          </w:p>
        </w:tc>
        <w:tc>
          <w:tcPr>
            <w:tcW w:w="331" w:type="dxa"/>
            <w:tcBorders/>
            <w:shd w:fill="CCEEFF" w:val="clear"/>
            <w:vAlign w:val="center"/>
          </w:tcPr>
          <w:p>
            <w:pPr>
              <w:pStyle w:val="TableContents"/>
              <w:bidi w:val="0"/>
              <w:spacing w:before="0" w:after="0"/>
              <w:ind w:left="0" w:right="0" w:hanging="0"/>
              <w:jc w:val="left"/>
              <w:rPr/>
            </w:pPr>
            <w:r>
              <w:rPr/>
              <w:t>​</w:t>
            </w:r>
          </w:p>
        </w:tc>
      </w:tr>
      <w:tr>
        <w:trPr/>
        <w:tc>
          <w:tcPr>
            <w:tcW w:w="447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Expected volatility</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77.6% to 79.2</w:t>
            </w:r>
          </w:p>
        </w:tc>
        <w:tc>
          <w:tcPr>
            <w:tcW w:w="2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56.3% to 56.8</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447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Expected dividend yield</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447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Risk-free interest rate</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3.40% to 4.18</w:t>
            </w:r>
          </w:p>
        </w:tc>
        <w:tc>
          <w:tcPr>
            <w:tcW w:w="2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1.75% to 2.40</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provides the weighted average fair value of ESPP purchase rights and the related assumptions used in the Black-Scholes option pricing model for the three months ended March 31, 2023 and 2022:</w:t>
      </w:r>
    </w:p>
    <w:p>
      <w:pPr>
        <w:pStyle w:val="TextBody"/>
        <w:bidi w:val="0"/>
        <w:spacing w:before="0" w:after="0"/>
        <w:ind w:left="0" w:right="0" w:hanging="0"/>
        <w:jc w:val="left"/>
        <w:rPr/>
      </w:pPr>
      <w:r>
        <w:rPr/>
        <w:t>​</w:t>
      </w:r>
    </w:p>
    <w:tbl>
      <w:tblPr>
        <w:tblW w:w="7192" w:type="dxa"/>
        <w:jc w:val="left"/>
        <w:tblInd w:w="0" w:type="dxa"/>
        <w:tblLayout w:type="fixed"/>
        <w:tblCellMar>
          <w:top w:w="0" w:type="dxa"/>
          <w:left w:w="0" w:type="dxa"/>
          <w:bottom w:w="0" w:type="dxa"/>
          <w:right w:w="0" w:type="dxa"/>
        </w:tblCellMar>
      </w:tblPr>
      <w:tblGrid>
        <w:gridCol w:w="4756"/>
        <w:gridCol w:w="326"/>
        <w:gridCol w:w="211"/>
        <w:gridCol w:w="481"/>
        <w:gridCol w:w="286"/>
        <w:gridCol w:w="109"/>
        <w:gridCol w:w="211"/>
        <w:gridCol w:w="481"/>
        <w:gridCol w:w="331"/>
      </w:tblGrid>
      <w:tr>
        <w:trPr/>
        <w:tc>
          <w:tcPr>
            <w:tcW w:w="4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3020060" cy="175260"/>
                      <wp:effectExtent l="0" t="0" r="0" b="0"/>
                      <wp:wrapNone/>
                      <wp:docPr id="93" name="Frame93"/>
                      <a:graphic xmlns:a="http://schemas.openxmlformats.org/drawingml/2006/main">
                        <a:graphicData uri="http://schemas.microsoft.com/office/word/2010/wordprocessingShape">
                          <wps:wsp>
                            <wps:cNvSpPr txBox="1"/>
                            <wps:spPr>
                              <a:xfrm>
                                <a:off x="0" y="0"/>
                                <a:ext cx="3020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07010" cy="175260"/>
                      <wp:effectExtent l="0" t="0" r="0" b="0"/>
                      <wp:wrapNone/>
                      <wp:docPr id="94" name="Frame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33985" cy="175260"/>
                      <wp:effectExtent l="0" t="0" r="0" b="0"/>
                      <wp:wrapNone/>
                      <wp:docPr id="95" name="Frame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305435" cy="175260"/>
                      <wp:effectExtent l="0" t="0" r="0" b="0"/>
                      <wp:wrapNone/>
                      <wp:docPr id="96" name="Frame96"/>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81610" cy="175260"/>
                      <wp:effectExtent l="0" t="0" r="0" b="0"/>
                      <wp:wrapNone/>
                      <wp:docPr id="97" name="Frame9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9215" cy="175260"/>
                      <wp:effectExtent l="0" t="0" r="0" b="0"/>
                      <wp:wrapNone/>
                      <wp:docPr id="98" name="Frame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33985" cy="175260"/>
                      <wp:effectExtent l="0" t="0" r="0" b="0"/>
                      <wp:wrapNone/>
                      <wp:docPr id="99" name="Frame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305435" cy="175260"/>
                      <wp:effectExtent l="0" t="0" r="0" b="0"/>
                      <wp:wrapNone/>
                      <wp:docPr id="100" name="Frame100"/>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10185" cy="175260"/>
                      <wp:effectExtent l="0" t="0" r="0" b="0"/>
                      <wp:wrapNone/>
                      <wp:docPr id="101" name="Frame101"/>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779" w:type="dxa"/>
            <w:gridSpan w:val="6"/>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March 31, </w:t>
            </w:r>
          </w:p>
        </w:tc>
        <w:tc>
          <w:tcPr>
            <w:tcW w:w="331" w:type="dxa"/>
            <w:tcBorders/>
            <w:vAlign w:val="center"/>
          </w:tcPr>
          <w:p>
            <w:pPr>
              <w:pStyle w:val="TableContents"/>
              <w:bidi w:val="0"/>
              <w:spacing w:before="0" w:after="0"/>
              <w:ind w:left="0" w:right="0" w:hanging="0"/>
              <w:jc w:val="left"/>
              <w:rPr/>
            </w:pPr>
            <w:r>
              <w:rPr/>
              <w:t>​</w:t>
            </w:r>
          </w:p>
        </w:tc>
      </w:tr>
      <w:tr>
        <w:trPr/>
        <w:tc>
          <w:tcPr>
            <w:tcW w:w="47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286" w:type="dxa"/>
            <w:tcBorders/>
            <w:vAlign w:val="center"/>
          </w:tcPr>
          <w:p>
            <w:pPr>
              <w:pStyle w:val="TableContents"/>
              <w:bidi w:val="0"/>
              <w:spacing w:before="0" w:after="0"/>
              <w:ind w:left="0" w:right="0" w:hanging="0"/>
              <w:jc w:val="center"/>
              <w:rPr/>
            </w:pPr>
            <w:r>
              <w:rPr/>
              <w:t> </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c>
          <w:tcPr>
            <w:tcW w:w="331" w:type="dxa"/>
            <w:tcBorders/>
            <w:vAlign w:val="center"/>
          </w:tcPr>
          <w:p>
            <w:pPr>
              <w:pStyle w:val="TableContents"/>
              <w:bidi w:val="0"/>
              <w:spacing w:before="0" w:after="0"/>
              <w:ind w:left="0" w:right="0" w:hanging="0"/>
              <w:jc w:val="left"/>
              <w:rPr/>
            </w:pPr>
            <w:r>
              <w:rPr/>
              <w:t>​</w:t>
            </w:r>
          </w:p>
        </w:tc>
      </w:tr>
      <w:tr>
        <w:trPr/>
        <w:tc>
          <w:tcPr>
            <w:tcW w:w="47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Weighted average fair value per ESPP purchase right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48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481"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r>
      <w:tr>
        <w:trPr/>
        <w:tc>
          <w:tcPr>
            <w:tcW w:w="47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Expected term (in years)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0.5</w:t>
            </w:r>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0.5</w:t>
            </w:r>
          </w:p>
        </w:tc>
        <w:tc>
          <w:tcPr>
            <w:tcW w:w="331" w:type="dxa"/>
            <w:tcBorders/>
            <w:vAlign w:val="center"/>
          </w:tcPr>
          <w:p>
            <w:pPr>
              <w:pStyle w:val="TableContents"/>
              <w:bidi w:val="0"/>
              <w:spacing w:before="0" w:after="0"/>
              <w:ind w:left="0" w:right="0" w:hanging="0"/>
              <w:jc w:val="left"/>
              <w:rPr/>
            </w:pPr>
            <w:r>
              <w:rPr/>
              <w:t>​</w:t>
            </w:r>
          </w:p>
        </w:tc>
      </w:tr>
      <w:tr>
        <w:trPr/>
        <w:tc>
          <w:tcPr>
            <w:tcW w:w="47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Expected volatility</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84.6</w:t>
            </w:r>
          </w:p>
        </w:tc>
        <w:tc>
          <w:tcPr>
            <w:tcW w:w="28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51.3</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47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Expected dividend yield</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47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Risk-free interest rate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4.77</w:t>
            </w:r>
          </w:p>
        </w:tc>
        <w:tc>
          <w:tcPr>
            <w:tcW w:w="28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0.22</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Company reviews these assumptions on a periodic basis and adjusts them, as necessary. The expected term of a stock option award was determined based on the Company’s analysis of historical exercise behavior while taking into consideration various participant demographics and option characteristics. The expected term of an ESPP purchase right is based on the offering period. We utilize the simplified method to develop the estimate of the expected term. The expected volatility is based upon observed volatility of comparable public companies. The expected dividend yield is assumed to be zero, as the Company has never paid dividends and has no current plans to do so. The risk-free interest rate is based on the yield on U.S. Treasury securities for a period approximating the expected term of the options being valued.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following table presents the components and classification of stock-based compensation expense for the periods indicated:</w:t>
      </w:r>
    </w:p>
    <w:tbl>
      <w:tblPr>
        <w:tblW w:w="5921" w:type="dxa"/>
        <w:jc w:val="left"/>
        <w:tblInd w:w="0" w:type="dxa"/>
        <w:tblLayout w:type="fixed"/>
        <w:tblCellMar>
          <w:top w:w="0" w:type="dxa"/>
          <w:left w:w="0" w:type="dxa"/>
          <w:bottom w:w="0" w:type="dxa"/>
          <w:right w:w="0" w:type="dxa"/>
        </w:tblCellMar>
      </w:tblPr>
      <w:tblGrid>
        <w:gridCol w:w="3751"/>
        <w:gridCol w:w="326"/>
        <w:gridCol w:w="230"/>
        <w:gridCol w:w="639"/>
        <w:gridCol w:w="159"/>
        <w:gridCol w:w="230"/>
        <w:gridCol w:w="586"/>
      </w:tblGrid>
      <w:tr>
        <w:trPr/>
        <w:tc>
          <w:tcPr>
            <w:tcW w:w="3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381885" cy="175260"/>
                      <wp:effectExtent l="0" t="0" r="0" b="0"/>
                      <wp:wrapNone/>
                      <wp:docPr id="102" name="Frame102"/>
                      <a:graphic xmlns:a="http://schemas.openxmlformats.org/drawingml/2006/main">
                        <a:graphicData uri="http://schemas.microsoft.com/office/word/2010/wordprocessingShape">
                          <wps:wsp>
                            <wps:cNvSpPr txBox="1"/>
                            <wps:spPr>
                              <a:xfrm>
                                <a:off x="0" y="0"/>
                                <a:ext cx="2381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07010" cy="175260"/>
                      <wp:effectExtent l="0" t="0" r="0" b="0"/>
                      <wp:wrapNone/>
                      <wp:docPr id="103" name="Frame1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46050" cy="175260"/>
                      <wp:effectExtent l="0" t="0" r="0" b="0"/>
                      <wp:wrapNone/>
                      <wp:docPr id="104" name="Frame104"/>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405765" cy="175260"/>
                      <wp:effectExtent l="0" t="0" r="0" b="0"/>
                      <wp:wrapNone/>
                      <wp:docPr id="105" name="Frame105"/>
                      <a:graphic xmlns:a="http://schemas.openxmlformats.org/drawingml/2006/main">
                        <a:graphicData uri="http://schemas.microsoft.com/office/word/2010/wordprocessingShape">
                          <wps:wsp>
                            <wps:cNvSpPr txBox="1"/>
                            <wps:spPr>
                              <a:xfrm>
                                <a:off x="0" y="0"/>
                                <a:ext cx="405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00965" cy="175260"/>
                      <wp:effectExtent l="0" t="0" r="0" b="0"/>
                      <wp:wrapNone/>
                      <wp:docPr id="106" name="Frame106"/>
                      <a:graphic xmlns:a="http://schemas.openxmlformats.org/drawingml/2006/main">
                        <a:graphicData uri="http://schemas.microsoft.com/office/word/2010/wordprocessingShape">
                          <wps:wsp>
                            <wps:cNvSpPr txBox="1"/>
                            <wps:spPr>
                              <a:xfrm>
                                <a:off x="0" y="0"/>
                                <a:ext cx="1009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46050" cy="175260"/>
                      <wp:effectExtent l="0" t="0" r="0" b="0"/>
                      <wp:wrapNone/>
                      <wp:docPr id="107" name="Frame107"/>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372110" cy="175260"/>
                      <wp:effectExtent l="0" t="0" r="0" b="0"/>
                      <wp:wrapNone/>
                      <wp:docPr id="108" name="Frame108"/>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44" w:type="dxa"/>
            <w:gridSpan w:val="5"/>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r>
      <w:tr>
        <w:trPr/>
        <w:tc>
          <w:tcPr>
            <w:tcW w:w="37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84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March 31, </w:t>
            </w:r>
          </w:p>
        </w:tc>
      </w:tr>
      <w:tr>
        <w:trPr/>
        <w:tc>
          <w:tcPr>
            <w:tcW w:w="375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i/>
                <w:sz w:val="16"/>
              </w:rPr>
            </w:pPr>
            <w:r>
              <w:rPr>
                <w:rFonts w:ascii="Arial;Helvetica;sans-serif" w:hAnsi="Arial;Helvetica;sans-serif"/>
                <w:i/>
                <w:sz w:val="16"/>
              </w:rPr>
              <w:t>(in thousands)</w:t>
            </w:r>
          </w:p>
        </w:tc>
        <w:tc>
          <w:tcPr>
            <w:tcW w:w="326" w:type="dxa"/>
            <w:tcBorders/>
            <w:vAlign w:val="center"/>
          </w:tcPr>
          <w:p>
            <w:pPr>
              <w:pStyle w:val="TableContents"/>
              <w:bidi w:val="0"/>
              <w:spacing w:before="0" w:after="1"/>
              <w:ind w:left="0" w:right="0" w:hanging="0"/>
              <w:jc w:val="left"/>
              <w:rPr/>
            </w:pPr>
            <w:r>
              <w:rPr/>
              <w:t>​</w:t>
            </w:r>
          </w:p>
        </w:tc>
        <w:tc>
          <w:tcPr>
            <w:tcW w:w="86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159" w:type="dxa"/>
            <w:tcBorders/>
            <w:vAlign w:val="center"/>
          </w:tcPr>
          <w:p>
            <w:pPr>
              <w:pStyle w:val="TableContents"/>
              <w:bidi w:val="0"/>
              <w:spacing w:before="0" w:after="1"/>
              <w:ind w:left="0" w:right="0" w:hanging="0"/>
              <w:jc w:val="center"/>
              <w:rPr/>
            </w:pPr>
            <w:r>
              <w:rPr/>
              <w:t>​</w:t>
            </w:r>
          </w:p>
        </w:tc>
        <w:tc>
          <w:tcPr>
            <w:tcW w:w="8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r>
      <w:tr>
        <w:trPr/>
        <w:tc>
          <w:tcPr>
            <w:tcW w:w="375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Stock options</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3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1,584</w:t>
            </w:r>
          </w:p>
        </w:tc>
        <w:tc>
          <w:tcPr>
            <w:tcW w:w="159"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793</w:t>
            </w:r>
          </w:p>
        </w:tc>
      </w:tr>
      <w:tr>
        <w:trPr/>
        <w:tc>
          <w:tcPr>
            <w:tcW w:w="375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Employee Stock Purchase Plan</w:t>
            </w:r>
          </w:p>
        </w:tc>
        <w:tc>
          <w:tcPr>
            <w:tcW w:w="32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3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121</w:t>
            </w:r>
          </w:p>
        </w:tc>
        <w:tc>
          <w:tcPr>
            <w:tcW w:w="159"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75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stock-based compensation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3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1,705</w:t>
            </w:r>
          </w:p>
        </w:tc>
        <w:tc>
          <w:tcPr>
            <w:tcW w:w="159" w:type="dxa"/>
            <w:tcBorders/>
            <w:shd w:fill="CCEEFF" w:val="clear"/>
            <w:vAlign w:val="center"/>
          </w:tcPr>
          <w:p>
            <w:pPr>
              <w:pStyle w:val="TableContents"/>
              <w:bidi w:val="0"/>
              <w:spacing w:before="0" w:after="1"/>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793</w:t>
            </w:r>
          </w:p>
        </w:tc>
      </w:tr>
      <w:tr>
        <w:trPr/>
        <w:tc>
          <w:tcPr>
            <w:tcW w:w="37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center"/>
              <w:rPr/>
            </w:pPr>
            <w:r>
              <w:rPr/>
              <w:t>​</w:t>
            </w:r>
          </w:p>
        </w:tc>
        <w:tc>
          <w:tcPr>
            <w:tcW w:w="639" w:type="dxa"/>
            <w:tcBorders/>
            <w:vAlign w:val="center"/>
          </w:tcPr>
          <w:p>
            <w:pPr>
              <w:pStyle w:val="TableContents"/>
              <w:bidi w:val="0"/>
              <w:spacing w:before="0" w:after="1"/>
              <w:ind w:left="0" w:right="0" w:hanging="0"/>
              <w:jc w:val="center"/>
              <w:rPr/>
            </w:pPr>
            <w:r>
              <w:rPr/>
              <w:t>​</w:t>
            </w:r>
          </w:p>
        </w:tc>
        <w:tc>
          <w:tcPr>
            <w:tcW w:w="159" w:type="dxa"/>
            <w:tcBorders/>
            <w:vAlign w:val="center"/>
          </w:tcPr>
          <w:p>
            <w:pPr>
              <w:pStyle w:val="TableContents"/>
              <w:bidi w:val="0"/>
              <w:spacing w:before="0" w:after="1"/>
              <w:ind w:left="0" w:right="0" w:hanging="0"/>
              <w:jc w:val="center"/>
              <w:rPr/>
            </w:pPr>
            <w:r>
              <w:rPr/>
              <w:t>​</w:t>
            </w:r>
          </w:p>
        </w:tc>
        <w:tc>
          <w:tcPr>
            <w:tcW w:w="230"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center"/>
              <w:rPr/>
            </w:pPr>
            <w:r>
              <w:rPr/>
              <w:t>​</w:t>
            </w:r>
          </w:p>
        </w:tc>
      </w:tr>
      <w:tr>
        <w:trPr/>
        <w:tc>
          <w:tcPr>
            <w:tcW w:w="375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Selling, general &amp; administrative</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3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1,180</w:t>
            </w:r>
          </w:p>
        </w:tc>
        <w:tc>
          <w:tcPr>
            <w:tcW w:w="159"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674</w:t>
            </w:r>
          </w:p>
        </w:tc>
      </w:tr>
      <w:tr>
        <w:trPr/>
        <w:tc>
          <w:tcPr>
            <w:tcW w:w="375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Research &amp; development</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right"/>
              <w:rPr/>
            </w:pPr>
            <w:r>
              <w:rPr/>
              <w:t>​</w:t>
            </w:r>
          </w:p>
        </w:tc>
        <w:tc>
          <w:tcPr>
            <w:tcW w:w="63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508</w:t>
            </w:r>
          </w:p>
        </w:tc>
        <w:tc>
          <w:tcPr>
            <w:tcW w:w="159" w:type="dxa"/>
            <w:tcBorders/>
            <w:vAlign w:val="center"/>
          </w:tcPr>
          <w:p>
            <w:pPr>
              <w:pStyle w:val="TableContents"/>
              <w:bidi w:val="0"/>
              <w:spacing w:before="0" w:after="1"/>
              <w:ind w:left="0" w:right="0" w:hanging="0"/>
              <w:jc w:val="left"/>
              <w:rPr/>
            </w:pPr>
            <w:r>
              <w:rPr/>
              <w:t> </w:t>
            </w:r>
          </w:p>
        </w:tc>
        <w:tc>
          <w:tcPr>
            <w:tcW w:w="230"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102</w:t>
            </w:r>
          </w:p>
        </w:tc>
      </w:tr>
      <w:tr>
        <w:trPr/>
        <w:tc>
          <w:tcPr>
            <w:tcW w:w="375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Cost of goods sold</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3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w:t>
            </w:r>
          </w:p>
        </w:tc>
        <w:tc>
          <w:tcPr>
            <w:tcW w:w="159" w:type="dxa"/>
            <w:tcBorders/>
            <w:shd w:fill="CCEEFF" w:val="clear"/>
            <w:vAlign w:val="center"/>
          </w:tcPr>
          <w:p>
            <w:pPr>
              <w:pStyle w:val="TableContents"/>
              <w:bidi w:val="0"/>
              <w:spacing w:before="0" w:after="1"/>
              <w:ind w:left="0" w:right="0" w:hanging="0"/>
              <w:jc w:val="left"/>
              <w:rPr/>
            </w:pPr>
            <w:r>
              <w:rPr/>
              <w:t> </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w:t>
            </w:r>
          </w:p>
        </w:tc>
      </w:tr>
      <w:tr>
        <w:trPr/>
        <w:tc>
          <w:tcPr>
            <w:tcW w:w="37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39"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1,705</w:t>
            </w:r>
          </w:p>
        </w:tc>
        <w:tc>
          <w:tcPr>
            <w:tcW w:w="159" w:type="dxa"/>
            <w:tcBorders/>
            <w:vAlign w:val="center"/>
          </w:tcPr>
          <w:p>
            <w:pPr>
              <w:pStyle w:val="TableContents"/>
              <w:bidi w:val="0"/>
              <w:spacing w:before="0" w:after="1"/>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bottom w:val="double" w:sz="6" w:space="0" w:color="000000"/>
            </w:tcBorders>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793</w:t>
            </w:r>
          </w:p>
        </w:tc>
      </w:tr>
    </w:tbl>
    <w:p>
      <w:pPr>
        <w:pStyle w:val="TextBody"/>
        <w:bidi w:val="0"/>
        <w:spacing w:before="0" w:after="240"/>
        <w:ind w:left="0" w:right="0" w:hanging="0"/>
        <w:jc w:val="left"/>
        <w:rPr/>
      </w:pPr>
      <w:r>
        <w:rPr/>
        <w:t>​</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As of March 31, 2023, unrecognized compensation expense related to unvested stock-based compensation arrangements was $15.1 million. As of March 31, 2023, the related weighted average period over which the expense is expected to be recognized is approximately 2.7 years.</w:t>
      </w:r>
    </w:p>
    <w:p>
      <w:pPr>
        <w:pStyle w:val="TextBody"/>
        <w:pBdr/>
        <w:bidi w:val="0"/>
        <w:spacing w:before="0" w:after="240"/>
        <w:ind w:left="0" w:right="0" w:hanging="360"/>
        <w:jc w:val="left"/>
        <w:rPr/>
      </w:pPr>
      <w:r>
        <w:rPr/>
        <w:t>​</w:t>
      </w:r>
    </w:p>
    <w:p>
      <w:pPr>
        <w:pStyle w:val="Normal"/>
        <w:bidi w:val="0"/>
        <w:spacing w:before="0" w:after="0"/>
        <w:jc w:val="left"/>
        <w:rPr>
          <w:sz w:val="4"/>
          <w:szCs w:val="4"/>
        </w:rPr>
      </w:pPr>
      <w:r>
        <w:rPr>
          <w:sz w:val="4"/>
          <w:szCs w:val="4"/>
        </w:rPr>
      </w:r>
      <w:bookmarkStart w:id="618" w:name="_Hlk62564010"/>
      <w:bookmarkStart w:id="619" w:name="_Hlk62564010"/>
      <w:bookmarkEnd w:id="619"/>
    </w:p>
    <w:tbl>
      <w:tblPr>
        <w:tblW w:w="1982" w:type="dxa"/>
        <w:jc w:val="left"/>
        <w:tblInd w:w="0" w:type="dxa"/>
        <w:tblLayout w:type="fixed"/>
        <w:tblCellMar>
          <w:top w:w="0" w:type="dxa"/>
          <w:left w:w="0" w:type="dxa"/>
          <w:bottom w:w="0" w:type="dxa"/>
          <w:right w:w="0" w:type="dxa"/>
        </w:tblCellMar>
      </w:tblPr>
      <w:tblGrid>
        <w:gridCol w:w="316"/>
        <w:gridCol w:w="1666"/>
      </w:tblGrid>
      <w:tr>
        <w:trPr/>
        <w:tc>
          <w:tcPr>
            <w:tcW w:w="316" w:type="dxa"/>
            <w:tcBorders/>
            <w:vAlign w:val="center"/>
          </w:tcPr>
          <w:p>
            <w:pPr>
              <w:pStyle w:val="TableContents"/>
              <w:bidi w:val="0"/>
              <w:spacing w:before="0" w:after="240"/>
              <w:jc w:val="left"/>
              <w:rPr>
                <w:rFonts w:ascii="Arial;Helvetica;sans-serif" w:hAnsi="Arial;Helvetica;sans-serif"/>
                <w:b/>
                <w:sz w:val="24"/>
              </w:rPr>
            </w:pPr>
            <w:r>
              <w:rPr>
                <w:rFonts w:ascii="Arial;Helvetica;sans-serif" w:hAnsi="Arial;Helvetica;sans-serif"/>
                <w:b/>
                <w:sz w:val="24"/>
              </w:rPr>
              <w:t>8.</w:t>
            </w:r>
          </w:p>
        </w:tc>
        <w:tc>
          <w:tcPr>
            <w:tcW w:w="1666" w:type="dxa"/>
            <w:tcBorders/>
            <w:vAlign w:val="center"/>
          </w:tcPr>
          <w:p>
            <w:pPr>
              <w:pStyle w:val="TableContents"/>
              <w:bidi w:val="0"/>
              <w:spacing w:before="0" w:after="240"/>
              <w:jc w:val="left"/>
              <w:rPr>
                <w:rFonts w:ascii="Arial;Helvetica;sans-serif" w:hAnsi="Arial;Helvetica;sans-serif"/>
                <w:b/>
                <w:sz w:val="24"/>
              </w:rPr>
            </w:pPr>
            <w:r>
              <w:rPr>
                <w:rFonts w:ascii="Arial;Helvetica;sans-serif" w:hAnsi="Arial;Helvetica;sans-serif"/>
                <w:b/>
                <w:sz w:val="24"/>
              </w:rPr>
              <w:t>Income taxes</w:t>
            </w:r>
          </w:p>
        </w:tc>
      </w:tr>
    </w:tbl>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As of March 31, 2023 and December 31, 2022, a valuation allowance was recorded against all deferred tax assets due to the Company’s cumulative net loss position. Provision for income taxes for the three months ended March 31, 2023 and 2022 was $34,000 and $26,000, respectively. </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As of December 31, 2022, the Company had federal and state net operating loss carryforwards (“NOLs”) of approximately $361.0 million and $6.2 million, respectively. The federal NOLs began expiring in 2021 and the state NOLs began expiring in 2020. As of December 31, 2022, the Company had federal and state tax credit carryforwards of approximately $9.3 million and $1.8 million, respectively. The federal tax credit carryforwards began expiring in 2021 and the state tax credit carryforwards will begin expiring in 2028. </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Utilization of NOLs may be subject to an annual limitation due to the ownership change limitations provided by Section 382 of the Internal Revenue Code of 1986 and similar state provisions. The Company has not performed a detailed analysis to determine whether an ownership change has occurred. Such a change of ownership would limit the Company’s utilization of the NOLs and could be triggered by subsequent sales of securities by the Company or its stockholders.</w:t>
      </w:r>
    </w:p>
    <w:p>
      <w:pPr>
        <w:pStyle w:val="TextBody"/>
        <w:bidi w:val="0"/>
        <w:spacing w:before="0" w:after="240"/>
        <w:ind w:left="0" w:right="0" w:hanging="0"/>
        <w:jc w:val="left"/>
        <w:rPr>
          <w:rFonts w:ascii="Arial;Helvetica;sans-serif" w:hAnsi="Arial;Helvetica;sans-serif"/>
          <w:b/>
          <w:sz w:val="24"/>
        </w:rPr>
      </w:pPr>
      <w:bookmarkStart w:id="620" w:name="Tc_5P2ojRoqvkiKdkfg8nva3Q_5_0"/>
      <w:bookmarkStart w:id="621" w:name="Tc_GwoPSVeZrUCb-B11Z3LX-Q_4_0"/>
      <w:bookmarkStart w:id="622" w:name="Tc_eLpXWX70iES4fSf4ZeJeFA_3_4"/>
      <w:bookmarkStart w:id="623" w:name="Tc_6OjWsUim8UeYjZl9xp_5WA_3_2"/>
      <w:bookmarkStart w:id="624" w:name="Tc_ZLGpp72XR022Pg0fm-i0SA_2_2"/>
      <w:bookmarkStart w:id="625" w:name="Tc_Wdk-RTr8WkOXWQmw7eX0xA_1_2"/>
      <w:bookmarkStart w:id="626" w:name="_Hlk78985748"/>
      <w:bookmarkStart w:id="627" w:name="Tc_LYLwcEzLBEKB7DHU-3jSpQ_8_0"/>
      <w:bookmarkStart w:id="628" w:name="Tc_444C_buXPUC7Fk8y7juwXQ_7_0"/>
      <w:bookmarkStart w:id="629" w:name="Tc_F56I-0Ivh0uNLdqJ5JnRCA_6_0"/>
      <w:bookmarkStart w:id="630" w:name="Tc_SGFFXI2zdU6aH1AoqsfysA_5_5"/>
      <w:bookmarkStart w:id="631" w:name="Tc_NvF4DlheVEWFRu5dxS40ZA_5_2"/>
      <w:bookmarkStart w:id="632" w:name="Tc_SL2wSLPtJE6nSFJfjN9pXA_5_0"/>
      <w:bookmarkStart w:id="633" w:name="Tc_j9Cd9gE18kqvsVYZBNEapA_4_0"/>
      <w:bookmarkStart w:id="634" w:name="Tc_9mN3Hwj7vUKhZu-mb3exNw_3_5"/>
      <w:bookmarkStart w:id="635" w:name="Tc_dE7OufFa0kC6P7XbspQ3FA_3_2"/>
      <w:bookmarkStart w:id="636" w:name="Tc_gZFIgHC8ZkO_DbvUEXOOmw_2_3"/>
      <w:bookmarkStart w:id="637" w:name="Tc_Wmkia-5Ws0iVYtApSRFDIQ_1_2"/>
      <w:bookmarkStart w:id="638" w:name="_ce914ebb_f4ca_4882_93b3_e23dfc67a5b1"/>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r>
        <w:rPr>
          <w:rFonts w:ascii="Arial;Helvetica;sans-serif" w:hAnsi="Arial;Helvetica;sans-serif"/>
          <w:b/>
          <w:sz w:val="24"/>
        </w:rPr>
        <w:t>9. Loss Per Share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Basic and diluted net loss per share attributable to common stockholders was calculated for the periods indicated (in thousands, except share and per share data):</w:t>
      </w:r>
    </w:p>
    <w:tbl>
      <w:tblPr>
        <w:tblW w:w="9762" w:type="dxa"/>
        <w:jc w:val="left"/>
        <w:tblInd w:w="0" w:type="dxa"/>
        <w:tblLayout w:type="fixed"/>
        <w:tblCellMar>
          <w:top w:w="0" w:type="dxa"/>
          <w:left w:w="0" w:type="dxa"/>
          <w:bottom w:w="0" w:type="dxa"/>
          <w:right w:w="0" w:type="dxa"/>
        </w:tblCellMar>
      </w:tblPr>
      <w:tblGrid>
        <w:gridCol w:w="6691"/>
        <w:gridCol w:w="326"/>
        <w:gridCol w:w="211"/>
        <w:gridCol w:w="1066"/>
        <w:gridCol w:w="146"/>
        <w:gridCol w:w="211"/>
        <w:gridCol w:w="1111"/>
      </w:tblGrid>
      <w:tr>
        <w:trPr/>
        <w:tc>
          <w:tcPr>
            <w:tcW w:w="6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4248785" cy="175260"/>
                      <wp:effectExtent l="0" t="0" r="0" b="0"/>
                      <wp:wrapNone/>
                      <wp:docPr id="109" name="Frame109"/>
                      <a:graphic xmlns:a="http://schemas.openxmlformats.org/drawingml/2006/main">
                        <a:graphicData uri="http://schemas.microsoft.com/office/word/2010/wordprocessingShape">
                          <wps:wsp>
                            <wps:cNvSpPr txBox="1"/>
                            <wps:spPr>
                              <a:xfrm>
                                <a:off x="0" y="0"/>
                                <a:ext cx="424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7010" cy="175260"/>
                      <wp:effectExtent l="0" t="0" r="0" b="0"/>
                      <wp:wrapNone/>
                      <wp:docPr id="110" name="Frame1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33985" cy="175260"/>
                      <wp:effectExtent l="0" t="0" r="0" b="0"/>
                      <wp:wrapNone/>
                      <wp:docPr id="111" name="Frame1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76910" cy="175260"/>
                      <wp:effectExtent l="0" t="0" r="0" b="0"/>
                      <wp:wrapNone/>
                      <wp:docPr id="112" name="Frame112"/>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92710" cy="175260"/>
                      <wp:effectExtent l="0" t="0" r="0" b="0"/>
                      <wp:wrapNone/>
                      <wp:docPr id="113" name="Frame11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33985" cy="175260"/>
                      <wp:effectExtent l="0" t="0" r="0" b="0"/>
                      <wp:wrapNone/>
                      <wp:docPr id="114" name="Frame1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705485" cy="175260"/>
                      <wp:effectExtent l="0" t="0" r="0" b="0"/>
                      <wp:wrapNone/>
                      <wp:docPr id="115" name="Frame115"/>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745" w:type="dxa"/>
            <w:gridSpan w:val="5"/>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r>
      <w:tr>
        <w:trPr/>
        <w:tc>
          <w:tcPr>
            <w:tcW w:w="6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253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March 31, </w:t>
            </w:r>
          </w:p>
        </w:tc>
      </w:tr>
      <w:tr>
        <w:trPr/>
        <w:tc>
          <w:tcPr>
            <w:tcW w:w="6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146" w:type="dxa"/>
            <w:tcBorders/>
            <w:vAlign w:val="center"/>
          </w:tcPr>
          <w:p>
            <w:pPr>
              <w:pStyle w:val="TableContents"/>
              <w:bidi w:val="0"/>
              <w:spacing w:before="0" w:after="0"/>
              <w:ind w:left="0" w:right="0" w:hanging="0"/>
              <w:jc w:val="left"/>
              <w:rPr/>
            </w:pPr>
            <w:r>
              <w:rPr/>
              <w:t>​</w:t>
            </w:r>
          </w:p>
        </w:tc>
        <w:tc>
          <w:tcPr>
            <w:tcW w:w="13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r>
      <w:tr>
        <w:trPr/>
        <w:tc>
          <w:tcPr>
            <w:tcW w:w="6691"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Numerator: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pPr>
            <w:r>
              <w:rPr/>
              <w:t>  </w:t>
            </w:r>
          </w:p>
        </w:tc>
      </w:tr>
      <w:tr>
        <w:trPr/>
        <w:tc>
          <w:tcPr>
            <w:tcW w:w="66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(11,374)</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(9,991)</w:t>
            </w:r>
          </w:p>
        </w:tc>
      </w:tr>
      <w:tr>
        <w:trPr/>
        <w:tc>
          <w:tcPr>
            <w:tcW w:w="6691"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Denominator: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pPr>
            <w:r>
              <w:rPr/>
              <w:t>  </w:t>
            </w:r>
          </w:p>
        </w:tc>
      </w:tr>
      <w:tr>
        <w:trPr/>
        <w:tc>
          <w:tcPr>
            <w:tcW w:w="66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Weighted average common shares outstanding — basic and diluted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20,693,224</w:t>
            </w:r>
          </w:p>
        </w:tc>
        <w:tc>
          <w:tcPr>
            <w:tcW w:w="14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111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20,453,341</w:t>
            </w:r>
          </w:p>
        </w:tc>
      </w:tr>
      <w:tr>
        <w:trPr/>
        <w:tc>
          <w:tcPr>
            <w:tcW w:w="66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loss per share attributable to common stockholders — basic and diluted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10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(0.55)</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11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(0.49)</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Company’s potentially dilutive securities, which include stock options, shares of convertible preferred stock, warrants to purchase shares of convertible preferred stock and warrants to purchase shares of common stock, have been excluded from the computation of diluted net loss per share attributable to common stockholders, as the effect would be to reduce the net loss per share attributable to common stockholders. Therefore, the weighted 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pStyle w:val="TextBody"/>
        <w:bidi w:val="0"/>
        <w:spacing w:before="0" w:after="0"/>
        <w:ind w:left="0" w:right="0" w:hanging="0"/>
        <w:jc w:val="left"/>
        <w:rPr/>
      </w:pPr>
      <w:r>
        <w:rPr/>
        <w:t>​</w:t>
      </w:r>
    </w:p>
    <w:tbl>
      <w:tblPr>
        <w:tblW w:w="6022" w:type="dxa"/>
        <w:jc w:val="left"/>
        <w:tblInd w:w="0" w:type="dxa"/>
        <w:tblLayout w:type="fixed"/>
        <w:tblCellMar>
          <w:top w:w="0" w:type="dxa"/>
          <w:left w:w="0" w:type="dxa"/>
          <w:bottom w:w="0" w:type="dxa"/>
          <w:right w:w="0" w:type="dxa"/>
        </w:tblCellMar>
      </w:tblPr>
      <w:tblGrid>
        <w:gridCol w:w="3331"/>
        <w:gridCol w:w="326"/>
        <w:gridCol w:w="961"/>
        <w:gridCol w:w="326"/>
        <w:gridCol w:w="1078"/>
      </w:tblGrid>
      <w:tr>
        <w:trPr/>
        <w:tc>
          <w:tcPr>
            <w:tcW w:w="3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115185" cy="175260"/>
                      <wp:effectExtent l="0" t="0" r="0" b="0"/>
                      <wp:wrapNone/>
                      <wp:docPr id="116" name="Frame116"/>
                      <a:graphic xmlns:a="http://schemas.openxmlformats.org/drawingml/2006/main">
                        <a:graphicData uri="http://schemas.microsoft.com/office/word/2010/wordprocessingShape">
                          <wps:wsp>
                            <wps:cNvSpPr txBox="1"/>
                            <wps:spPr>
                              <a:xfrm>
                                <a:off x="0" y="0"/>
                                <a:ext cx="2115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7010" cy="175260"/>
                      <wp:effectExtent l="0" t="0" r="0" b="0"/>
                      <wp:wrapNone/>
                      <wp:docPr id="117" name="Frame1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10235" cy="175260"/>
                      <wp:effectExtent l="0" t="0" r="0" b="0"/>
                      <wp:wrapNone/>
                      <wp:docPr id="118" name="Frame118"/>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07010" cy="175260"/>
                      <wp:effectExtent l="0" t="0" r="0" b="0"/>
                      <wp:wrapNone/>
                      <wp:docPr id="119" name="Frame1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84530" cy="175260"/>
                      <wp:effectExtent l="0" t="0" r="0" b="0"/>
                      <wp:wrapNone/>
                      <wp:docPr id="120" name="Frame120"/>
                      <a:graphic xmlns:a="http://schemas.openxmlformats.org/drawingml/2006/main">
                        <a:graphicData uri="http://schemas.microsoft.com/office/word/2010/wordprocessingShape">
                          <wps:wsp>
                            <wps:cNvSpPr txBox="1"/>
                            <wps:spPr>
                              <a:xfrm>
                                <a:off x="0" y="0"/>
                                <a:ext cx="684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365" w:type="dxa"/>
            <w:gridSpan w:val="3"/>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r>
      <w:tr>
        <w:trPr/>
        <w:tc>
          <w:tcPr>
            <w:tcW w:w="33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6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March 31, </w:t>
            </w:r>
          </w:p>
        </w:tc>
      </w:tr>
      <w:tr>
        <w:trPr/>
        <w:tc>
          <w:tcPr>
            <w:tcW w:w="33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vAlign w:val="center"/>
          </w:tcPr>
          <w:p>
            <w:pPr>
              <w:pStyle w:val="TableContents"/>
              <w:bidi w:val="0"/>
              <w:spacing w:before="0" w:after="0"/>
              <w:ind w:left="0" w:right="0" w:hanging="0"/>
              <w:jc w:val="center"/>
              <w:rPr/>
            </w:pPr>
            <w:r>
              <w:rPr/>
              <w:t>    </w:t>
            </w:r>
          </w:p>
        </w:tc>
        <w:tc>
          <w:tcPr>
            <w:tcW w:w="1078"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r>
      <w:tr>
        <w:trPr/>
        <w:tc>
          <w:tcPr>
            <w:tcW w:w="3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Options to purchase common stock</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4,426,605</w:t>
            </w:r>
          </w:p>
        </w:tc>
        <w:tc>
          <w:tcPr>
            <w:tcW w:w="326" w:type="dxa"/>
            <w:tcBorders/>
            <w:shd w:fill="CCEEFF" w:val="clear"/>
            <w:vAlign w:val="center"/>
          </w:tcPr>
          <w:p>
            <w:pPr>
              <w:pStyle w:val="TableContents"/>
              <w:bidi w:val="0"/>
              <w:spacing w:before="0" w:after="0"/>
              <w:ind w:left="0" w:right="0" w:hanging="0"/>
              <w:jc w:val="left"/>
              <w:rPr/>
            </w:pPr>
            <w:r>
              <w:rPr/>
              <w:t> </w:t>
            </w:r>
          </w:p>
        </w:tc>
        <w:tc>
          <w:tcPr>
            <w:tcW w:w="107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3,290,959</w:t>
            </w:r>
          </w:p>
        </w:tc>
      </w:tr>
      <w:tr>
        <w:trPr/>
        <w:tc>
          <w:tcPr>
            <w:tcW w:w="3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Warrants to purchase common stock</w:t>
            </w:r>
          </w:p>
        </w:tc>
        <w:tc>
          <w:tcPr>
            <w:tcW w:w="326" w:type="dxa"/>
            <w:tcBorders/>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716,131</w:t>
            </w:r>
          </w:p>
        </w:tc>
        <w:tc>
          <w:tcPr>
            <w:tcW w:w="326" w:type="dxa"/>
            <w:tcBorders/>
            <w:vAlign w:val="center"/>
          </w:tcPr>
          <w:p>
            <w:pPr>
              <w:pStyle w:val="TableContents"/>
              <w:bidi w:val="0"/>
              <w:spacing w:before="0" w:after="0"/>
              <w:ind w:left="0" w:right="0" w:hanging="0"/>
              <w:jc w:val="left"/>
              <w:rPr/>
            </w:pPr>
            <w:r>
              <w:rPr/>
              <w:t>​</w:t>
            </w:r>
          </w:p>
        </w:tc>
        <w:tc>
          <w:tcPr>
            <w:tcW w:w="107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716,131</w:t>
            </w:r>
          </w:p>
        </w:tc>
      </w:tr>
      <w:tr>
        <w:trPr/>
        <w:tc>
          <w:tcPr>
            <w:tcW w:w="33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5,142,736</w:t>
            </w:r>
          </w:p>
        </w:tc>
        <w:tc>
          <w:tcPr>
            <w:tcW w:w="326" w:type="dxa"/>
            <w:tcBorders/>
            <w:shd w:fill="CCEEFF" w:val="clear"/>
            <w:vAlign w:val="center"/>
          </w:tcPr>
          <w:p>
            <w:pPr>
              <w:pStyle w:val="TableContents"/>
              <w:bidi w:val="0"/>
              <w:spacing w:before="0" w:after="0"/>
              <w:ind w:left="0" w:right="0" w:hanging="0"/>
              <w:jc w:val="left"/>
              <w:rPr/>
            </w:pPr>
            <w:r>
              <w:rPr/>
              <w:t> </w:t>
            </w:r>
          </w:p>
        </w:tc>
        <w:tc>
          <w:tcPr>
            <w:tcW w:w="1078"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Arial;Helvetica;sans-serif" w:hAnsi="Arial;Helvetica;sans-serif"/>
                <w:sz w:val="20"/>
              </w:rPr>
            </w:pPr>
            <w:r>
              <w:rPr>
                <w:rFonts w:ascii="Arial;Helvetica;sans-serif" w:hAnsi="Arial;Helvetica;sans-serif"/>
                <w:sz w:val="20"/>
              </w:rPr>
              <w:t>4,007,090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4367" w:type="dxa"/>
        <w:jc w:val="left"/>
        <w:tblInd w:w="0" w:type="dxa"/>
        <w:tblLayout w:type="fixed"/>
        <w:tblCellMar>
          <w:top w:w="0" w:type="dxa"/>
          <w:left w:w="0" w:type="dxa"/>
          <w:bottom w:w="0" w:type="dxa"/>
          <w:right w:w="0" w:type="dxa"/>
        </w:tblCellMar>
      </w:tblPr>
      <w:tblGrid>
        <w:gridCol w:w="451"/>
        <w:gridCol w:w="3916"/>
      </w:tblGrid>
      <w:tr>
        <w:trPr/>
        <w:tc>
          <w:tcPr>
            <w:tcW w:w="451" w:type="dxa"/>
            <w:tcBorders/>
            <w:vAlign w:val="center"/>
          </w:tcPr>
          <w:p>
            <w:pPr>
              <w:pStyle w:val="TableContents"/>
              <w:bidi w:val="0"/>
              <w:spacing w:before="0" w:after="240"/>
              <w:jc w:val="left"/>
              <w:rPr>
                <w:rFonts w:ascii="Arial;Helvetica;sans-serif" w:hAnsi="Arial;Helvetica;sans-serif"/>
                <w:b/>
                <w:sz w:val="24"/>
              </w:rPr>
            </w:pPr>
            <w:r>
              <w:rPr>
                <w:rFonts w:ascii="Arial;Helvetica;sans-serif" w:hAnsi="Arial;Helvetica;sans-serif"/>
                <w:b/>
                <w:sz w:val="24"/>
              </w:rPr>
              <w:t>10.</w:t>
            </w:r>
          </w:p>
        </w:tc>
        <w:tc>
          <w:tcPr>
            <w:tcW w:w="3916" w:type="dxa"/>
            <w:tcBorders/>
            <w:vAlign w:val="center"/>
          </w:tcPr>
          <w:p>
            <w:pPr>
              <w:pStyle w:val="TableContents"/>
              <w:bidi w:val="0"/>
              <w:spacing w:before="0" w:after="240"/>
              <w:jc w:val="left"/>
              <w:rPr>
                <w:rFonts w:ascii="Arial;Helvetica;sans-serif" w:hAnsi="Arial;Helvetica;sans-serif"/>
                <w:b/>
                <w:sz w:val="24"/>
              </w:rPr>
            </w:pPr>
            <w:r>
              <w:rPr>
                <w:rFonts w:ascii="Arial;Helvetica;sans-serif" w:hAnsi="Arial;Helvetica;sans-serif"/>
                <w:b/>
                <w:sz w:val="24"/>
              </w:rPr>
              <w:t>Commitments and contingencies</w:t>
            </w:r>
          </w:p>
        </w:tc>
      </w:tr>
    </w:tbl>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From time to time, the Company may have certain contingent liabilities that arise in the ordinary course of business. The Company accrues a liability for such matters when it is probable that future expenditures will be made, and such expenditures can be reasonably estimated. There have been no contingent liabilities requiring accrual or disclosure as of March 31, 2023 or December 31, 2022.</w:t>
      </w:r>
    </w:p>
    <w:p>
      <w:pPr>
        <w:pStyle w:val="TextBody"/>
        <w:bidi w:val="0"/>
        <w:spacing w:before="0" w:after="240"/>
        <w:ind w:left="0" w:right="0" w:hanging="0"/>
        <w:jc w:val="left"/>
        <w:rPr/>
      </w:pPr>
      <w:r>
        <w:rPr/>
        <w:t>​</w:t>
      </w:r>
    </w:p>
    <w:tbl>
      <w:tblPr>
        <w:tblW w:w="3272" w:type="dxa"/>
        <w:jc w:val="left"/>
        <w:tblInd w:w="0" w:type="dxa"/>
        <w:tblLayout w:type="fixed"/>
        <w:tblCellMar>
          <w:top w:w="0" w:type="dxa"/>
          <w:left w:w="0" w:type="dxa"/>
          <w:bottom w:w="0" w:type="dxa"/>
          <w:right w:w="0" w:type="dxa"/>
        </w:tblCellMar>
      </w:tblPr>
      <w:tblGrid>
        <w:gridCol w:w="451"/>
        <w:gridCol w:w="2821"/>
      </w:tblGrid>
      <w:tr>
        <w:trPr/>
        <w:tc>
          <w:tcPr>
            <w:tcW w:w="451" w:type="dxa"/>
            <w:tcBorders/>
            <w:vAlign w:val="center"/>
          </w:tcPr>
          <w:p>
            <w:pPr>
              <w:pStyle w:val="TableContents"/>
              <w:bidi w:val="0"/>
              <w:spacing w:before="0" w:after="240"/>
              <w:jc w:val="left"/>
              <w:rPr>
                <w:rFonts w:ascii="Arial;Helvetica;sans-serif" w:hAnsi="Arial;Helvetica;sans-serif"/>
                <w:b/>
                <w:sz w:val="24"/>
              </w:rPr>
            </w:pPr>
            <w:r>
              <w:rPr>
                <w:rFonts w:ascii="Arial;Helvetica;sans-serif" w:hAnsi="Arial;Helvetica;sans-serif"/>
                <w:b/>
                <w:sz w:val="24"/>
              </w:rPr>
              <w:t>11.</w:t>
            </w:r>
          </w:p>
        </w:tc>
        <w:tc>
          <w:tcPr>
            <w:tcW w:w="2821" w:type="dxa"/>
            <w:tcBorders/>
            <w:vAlign w:val="center"/>
          </w:tcPr>
          <w:p>
            <w:pPr>
              <w:pStyle w:val="TableContents"/>
              <w:bidi w:val="0"/>
              <w:spacing w:before="0" w:after="240"/>
              <w:jc w:val="left"/>
              <w:rPr>
                <w:rFonts w:ascii="Arial;Helvetica;sans-serif" w:hAnsi="Arial;Helvetica;sans-serif"/>
                <w:b/>
                <w:sz w:val="24"/>
              </w:rPr>
            </w:pPr>
            <w:r>
              <w:rPr>
                <w:rFonts w:ascii="Arial;Helvetica;sans-serif" w:hAnsi="Arial;Helvetica;sans-serif"/>
                <w:b/>
                <w:sz w:val="24"/>
              </w:rPr>
              <w:t>Employee benefit plans</w:t>
            </w:r>
          </w:p>
        </w:tc>
      </w:tr>
    </w:tbl>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Company sponsors a voluntary defined-contribution employee retirement plan (the “401(k) plan”) for its U.S. employees. The 401(k) plan provides that each participant may contribute pre-tax or post-tax compensation up to the statutory limit allowable. Under the 401(k) plan, each participant is fully vested in his or her deferred salary contributions when contributed. The Company does not provide matching contributions to employees.</w:t>
        <w:br/>
        <w:t>​</w:t>
      </w:r>
    </w:p>
    <w:p>
      <w:pPr>
        <w:pStyle w:val="Normal"/>
        <w:bidi w:val="0"/>
        <w:spacing w:before="0" w:after="0"/>
        <w:jc w:val="left"/>
        <w:rPr>
          <w:sz w:val="4"/>
          <w:szCs w:val="4"/>
        </w:rPr>
      </w:pPr>
      <w:r>
        <w:rPr>
          <w:sz w:val="4"/>
          <w:szCs w:val="4"/>
        </w:rPr>
      </w:r>
      <w:bookmarkStart w:id="639" w:name="Tc_uN9q7_kLWU2cH5jlFakFUg_7_5"/>
      <w:bookmarkStart w:id="640" w:name="Tc_X0Z5xdMhMEqwnJztaTRZ7w_7_2"/>
      <w:bookmarkStart w:id="641" w:name="Tc_rVULXUW2AUiMnSuSz0aHXA_6_0"/>
      <w:bookmarkStart w:id="642" w:name="Tc_qfSgkFOxmEeFYMcl25-pnw_5_0"/>
      <w:bookmarkStart w:id="643" w:name="Tc_4cgPZfYaOE6HntDKVdCeMA_4_5"/>
      <w:bookmarkStart w:id="644" w:name="Tc_OuxRBlk6skWblA0IXBdyDw_4_2"/>
      <w:bookmarkStart w:id="645" w:name="Tc_Kz1zXry04k29Rc1sIx8wSg_4_0"/>
      <w:bookmarkStart w:id="646" w:name="Tc_Ls-iaVG8Vkqn2eJyL-XPQA_3_5"/>
      <w:bookmarkStart w:id="647" w:name="Tc_k3khfpX8iEClqnxRhgovLg_3_2"/>
      <w:bookmarkStart w:id="648" w:name="Tc_2qP9anLBi0uO88StJgIFIQ_2_2"/>
      <w:bookmarkStart w:id="649" w:name="Tc_FaRSfq4Jrke8I33PMdpU7w_1_2"/>
      <w:bookmarkStart w:id="650" w:name="_6966e109_9db4_4f0b_977c_c69d781d356e"/>
      <w:bookmarkStart w:id="651" w:name="Tc_uN9q7_kLWU2cH5jlFakFUg_7_5"/>
      <w:bookmarkStart w:id="652" w:name="Tc_X0Z5xdMhMEqwnJztaTRZ7w_7_2"/>
      <w:bookmarkStart w:id="653" w:name="Tc_rVULXUW2AUiMnSuSz0aHXA_6_0"/>
      <w:bookmarkStart w:id="654" w:name="Tc_qfSgkFOxmEeFYMcl25-pnw_5_0"/>
      <w:bookmarkStart w:id="655" w:name="Tc_4cgPZfYaOE6HntDKVdCeMA_4_5"/>
      <w:bookmarkStart w:id="656" w:name="Tc_OuxRBlk6skWblA0IXBdyDw_4_2"/>
      <w:bookmarkStart w:id="657" w:name="Tc_Kz1zXry04k29Rc1sIx8wSg_4_0"/>
      <w:bookmarkStart w:id="658" w:name="Tc_Ls-iaVG8Vkqn2eJyL-XPQA_3_5"/>
      <w:bookmarkStart w:id="659" w:name="Tc_k3khfpX8iEClqnxRhgovLg_3_2"/>
      <w:bookmarkStart w:id="660" w:name="Tc_2qP9anLBi0uO88StJgIFIQ_2_2"/>
      <w:bookmarkStart w:id="661" w:name="Tc_FaRSfq4Jrke8I33PMdpU7w_1_2"/>
      <w:bookmarkStart w:id="662" w:name="_6966e109_9db4_4f0b_977c_c69d781d356e"/>
      <w:bookmarkEnd w:id="651"/>
      <w:bookmarkEnd w:id="652"/>
      <w:bookmarkEnd w:id="653"/>
      <w:bookmarkEnd w:id="654"/>
      <w:bookmarkEnd w:id="655"/>
      <w:bookmarkEnd w:id="656"/>
      <w:bookmarkEnd w:id="657"/>
      <w:bookmarkEnd w:id="658"/>
      <w:bookmarkEnd w:id="659"/>
      <w:bookmarkEnd w:id="660"/>
      <w:bookmarkEnd w:id="661"/>
      <w:bookmarkEnd w:id="662"/>
    </w:p>
    <w:tbl>
      <w:tblPr>
        <w:tblW w:w="7682" w:type="dxa"/>
        <w:jc w:val="left"/>
        <w:tblInd w:w="0" w:type="dxa"/>
        <w:tblLayout w:type="fixed"/>
        <w:tblCellMar>
          <w:top w:w="0" w:type="dxa"/>
          <w:left w:w="0" w:type="dxa"/>
          <w:bottom w:w="0" w:type="dxa"/>
          <w:right w:w="0" w:type="dxa"/>
        </w:tblCellMar>
      </w:tblPr>
      <w:tblGrid>
        <w:gridCol w:w="451"/>
        <w:gridCol w:w="7231"/>
      </w:tblGrid>
      <w:tr>
        <w:trPr/>
        <w:tc>
          <w:tcPr>
            <w:tcW w:w="451" w:type="dxa"/>
            <w:tcBorders/>
            <w:vAlign w:val="center"/>
          </w:tcPr>
          <w:p>
            <w:pPr>
              <w:pStyle w:val="TableContents"/>
              <w:bidi w:val="0"/>
              <w:spacing w:before="0" w:after="240"/>
              <w:jc w:val="left"/>
              <w:rPr>
                <w:rFonts w:ascii="Arial;Helvetica;sans-serif" w:hAnsi="Arial;Helvetica;sans-serif"/>
                <w:b/>
                <w:sz w:val="24"/>
              </w:rPr>
            </w:pPr>
            <w:r>
              <w:rPr>
                <w:rFonts w:ascii="Arial;Helvetica;sans-serif" w:hAnsi="Arial;Helvetica;sans-serif"/>
                <w:b/>
                <w:sz w:val="24"/>
              </w:rPr>
              <w:t>12.</w:t>
            </w:r>
          </w:p>
        </w:tc>
        <w:tc>
          <w:tcPr>
            <w:tcW w:w="7231" w:type="dxa"/>
            <w:tcBorders/>
            <w:vAlign w:val="center"/>
          </w:tcPr>
          <w:p>
            <w:pPr>
              <w:pStyle w:val="TableContents"/>
              <w:bidi w:val="0"/>
              <w:spacing w:before="0" w:after="240"/>
              <w:jc w:val="left"/>
              <w:rPr>
                <w:rFonts w:ascii="Arial;Helvetica;sans-serif" w:hAnsi="Arial;Helvetica;sans-serif"/>
                <w:b/>
                <w:sz w:val="24"/>
              </w:rPr>
            </w:pPr>
            <w:r>
              <w:rPr>
                <w:rFonts w:ascii="Arial;Helvetica;sans-serif" w:hAnsi="Arial;Helvetica;sans-serif"/>
                <w:b/>
                <w:sz w:val="24"/>
              </w:rPr>
              <w:t>Segment, geographic information and revenue disaggregation</w:t>
            </w:r>
          </w:p>
        </w:tc>
      </w:tr>
    </w:tbl>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chief operating decision maker for the Company is the Chief Executive Officer. The Chief Executive Officer reviews financial information presented on a consolidated basis, accompanied by information about revenue by geographic region, for purposes of allocating resources and evaluating financial performance. The Company has one business activity and there are no segment managers who are held accountable for operations, operating results or plans for levels or components below the consolidated unit level. Accordingly, the Company has determined that it has a single reportable and operating segment structure. The Company and its Chief Executive Officer evaluate performance based primarily on revenue in the geographic locations in which the Company operates.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Company derives all its revenues from sales to customers in Europe and the U.S. The following table provides revenue by country for each location accounting for more than 10% of the total revenue for the periods indicated (in thousands):</w:t>
      </w:r>
    </w:p>
    <w:tbl>
      <w:tblPr>
        <w:tblW w:w="3819" w:type="dxa"/>
        <w:jc w:val="left"/>
        <w:tblInd w:w="0" w:type="dxa"/>
        <w:tblLayout w:type="fixed"/>
        <w:tblCellMar>
          <w:top w:w="0" w:type="dxa"/>
          <w:left w:w="0" w:type="dxa"/>
          <w:bottom w:w="0" w:type="dxa"/>
          <w:right w:w="0" w:type="dxa"/>
        </w:tblCellMar>
      </w:tblPr>
      <w:tblGrid>
        <w:gridCol w:w="1456"/>
        <w:gridCol w:w="326"/>
        <w:gridCol w:w="211"/>
        <w:gridCol w:w="586"/>
        <w:gridCol w:w="326"/>
        <w:gridCol w:w="211"/>
        <w:gridCol w:w="703"/>
      </w:tblGrid>
      <w:tr>
        <w:trPr/>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924560" cy="175260"/>
                      <wp:effectExtent l="0" t="0" r="0" b="0"/>
                      <wp:wrapNone/>
                      <wp:docPr id="121" name="Frame121"/>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07010" cy="175260"/>
                      <wp:effectExtent l="0" t="0" r="0" b="0"/>
                      <wp:wrapNone/>
                      <wp:docPr id="122" name="Frame1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33985" cy="175260"/>
                      <wp:effectExtent l="0" t="0" r="0" b="0"/>
                      <wp:wrapNone/>
                      <wp:docPr id="123" name="Frame1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372110" cy="175260"/>
                      <wp:effectExtent l="0" t="0" r="0" b="0"/>
                      <wp:wrapNone/>
                      <wp:docPr id="124" name="Frame124"/>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07010" cy="175260"/>
                      <wp:effectExtent l="0" t="0" r="0" b="0"/>
                      <wp:wrapNone/>
                      <wp:docPr id="125" name="Frame1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33985" cy="175260"/>
                      <wp:effectExtent l="0" t="0" r="0" b="0"/>
                      <wp:wrapNone/>
                      <wp:docPr id="126" name="Frame1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446405" cy="175260"/>
                      <wp:effectExtent l="0" t="0" r="0" b="0"/>
                      <wp:wrapNone/>
                      <wp:docPr id="127" name="Frame127"/>
                      <a:graphic xmlns:a="http://schemas.openxmlformats.org/drawingml/2006/main">
                        <a:graphicData uri="http://schemas.microsoft.com/office/word/2010/wordprocessingShape">
                          <wps:wsp>
                            <wps:cNvSpPr txBox="1"/>
                            <wps:spPr>
                              <a:xfrm>
                                <a:off x="0" y="0"/>
                                <a:ext cx="446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037" w:type="dxa"/>
            <w:gridSpan w:val="5"/>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r>
      <w:tr>
        <w:trPr/>
        <w:tc>
          <w:tcPr>
            <w:tcW w:w="1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03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March 31, </w:t>
            </w:r>
          </w:p>
        </w:tc>
      </w:tr>
      <w:tr>
        <w:trPr/>
        <w:tc>
          <w:tcPr>
            <w:tcW w:w="1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vAlign w:val="center"/>
          </w:tcPr>
          <w:p>
            <w:pPr>
              <w:pStyle w:val="TableContents"/>
              <w:bidi w:val="0"/>
              <w:spacing w:before="0" w:after="0"/>
              <w:ind w:left="0" w:right="0" w:hanging="0"/>
              <w:jc w:val="left"/>
              <w:rPr/>
            </w:pPr>
            <w:r>
              <w:rPr/>
              <w:t>    </w:t>
            </w:r>
          </w:p>
        </w:tc>
        <w:tc>
          <w:tcPr>
            <w:tcW w:w="9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r>
      <w:tr>
        <w:trPr/>
        <w:tc>
          <w:tcPr>
            <w:tcW w:w="14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6,942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0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3,058</w:t>
            </w:r>
          </w:p>
        </w:tc>
      </w:tr>
      <w:tr>
        <w:trPr/>
        <w:tc>
          <w:tcPr>
            <w:tcW w:w="14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Germany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891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0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803</w:t>
            </w:r>
          </w:p>
        </w:tc>
      </w:tr>
      <w:tr>
        <w:trPr/>
        <w:tc>
          <w:tcPr>
            <w:tcW w:w="14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countries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215</w:t>
            </w:r>
          </w:p>
        </w:tc>
      </w:tr>
      <w:tr>
        <w:trPr/>
        <w:tc>
          <w:tcPr>
            <w:tcW w:w="1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7,979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03" w:type="dxa"/>
            <w:tcBorders>
              <w:bottom w:val="double" w:sz="6" w:space="0" w:color="000000"/>
            </w:tcBorders>
            <w:tcMar>
              <w:bottom w:w="28" w:type="dxa"/>
            </w:tcMar>
            <w:vAlign w:val="center"/>
          </w:tcPr>
          <w:p>
            <w:pPr>
              <w:pStyle w:val="TableContents"/>
              <w:bidi w:val="0"/>
              <w:spacing w:before="0" w:after="0"/>
              <w:ind w:left="0" w:right="72" w:hanging="0"/>
              <w:jc w:val="right"/>
              <w:rPr>
                <w:rFonts w:ascii="Arial;Helvetica;sans-serif" w:hAnsi="Arial;Helvetica;sans-serif"/>
                <w:sz w:val="20"/>
              </w:rPr>
            </w:pPr>
            <w:r>
              <w:rPr>
                <w:rFonts w:ascii="Arial;Helvetica;sans-serif" w:hAnsi="Arial;Helvetica;sans-serif"/>
                <w:sz w:val="20"/>
              </w:rPr>
              <w:t>4,076</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As of March 31, 2023 and December 31, 2022, long-lived assets were located primarily in the U.S.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4"/>
        </w:rPr>
      </w:pPr>
      <w:r>
        <w:rPr>
          <w:rFonts w:ascii="Arial;Helvetica;sans-serif" w:hAnsi="Arial;Helvetica;sans-serif"/>
          <w:b/>
          <w:sz w:val="24"/>
        </w:rPr>
        <w:t>13. Subsequent events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On April 21, 2023, we extended our operating lease for our office space in Minneapolis, Minnesota for an additional 49 consecutive months, commencing August 1, 2024 through August 31, 2028. This amendment to our</w:t>
      </w:r>
      <w:r>
        <w:rPr>
          <w:rFonts w:ascii="Arial;Helvetica;sans-serif" w:hAnsi="Arial;Helvetica;sans-serif"/>
          <w:sz w:val="20"/>
          <w:shd w:fill="FFFFFF" w:val="clear"/>
        </w:rPr>
        <w:t xml:space="preserve"> operating lease agreement includes an option to renew for one additional period of three years. The amendment also requires the landlord to provide us with a cash allowance not to exceed $50,000 for the construction of standard tenant improvements to be mutually agreed upon. </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4"/>
        </w:rPr>
      </w:pPr>
      <w:bookmarkStart w:id="663" w:name="Item2ManagementsDiscussionandAnalysisofF"/>
      <w:bookmarkStart w:id="664" w:name="_bbd37fca_cfb5_4dcd_9842_b6324b80acf1"/>
      <w:bookmarkEnd w:id="663"/>
      <w:bookmarkEnd w:id="664"/>
      <w:r>
        <w:rPr>
          <w:rFonts w:ascii="Arial;Helvetica;sans-serif" w:hAnsi="Arial;Helvetica;sans-serif"/>
          <w:b/>
          <w:sz w:val="24"/>
        </w:rPr>
        <w:t>Item 2. Management’s Discussion and Analysis of Financial Condition and Results of Operations</w:t>
      </w:r>
    </w:p>
    <w:p>
      <w:pPr>
        <w:pStyle w:val="TextBody"/>
        <w:pBdr/>
        <w:bidi w:val="0"/>
        <w:spacing w:before="0" w:after="240"/>
        <w:ind w:left="0" w:right="0" w:hanging="360"/>
        <w:jc w:val="left"/>
        <w:rPr>
          <w:rFonts w:ascii="Arial;Helvetica;sans-serif" w:hAnsi="Arial;Helvetica;sans-serif"/>
          <w:b/>
          <w:sz w:val="24"/>
        </w:rPr>
      </w:pPr>
      <w:r>
        <w:rPr>
          <w:rFonts w:ascii="Arial;Helvetica;sans-serif" w:hAnsi="Arial;Helvetica;sans-serif"/>
          <w:b/>
          <w:sz w:val="24"/>
        </w:rPr>
        <w:t>Overview</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We are a commercial-stage medical device company focused on developing, manufacturing and commercializing innovative and minimally invasive neuromodulation solutions for patients with cardiovascular disease. Our proprietary platform technology, Barostim, is designed to leverage the power of the brain and nervous system to address the imbalance of the Autonomic Nervous System, which causes </w:t>
      </w:r>
      <w:r>
        <w:rPr>
          <w:rFonts w:ascii="Arial;Helvetica;sans-serif" w:hAnsi="Arial;Helvetica;sans-serif"/>
          <w:sz w:val="20"/>
          <w:shd w:fill="FFFFFF" w:val="clear"/>
        </w:rPr>
        <w:t>HF with reduced Ejection Fraction (“</w:t>
      </w:r>
      <w:r>
        <w:rPr>
          <w:rFonts w:ascii="Arial;Helvetica;sans-serif" w:hAnsi="Arial;Helvetica;sans-serif"/>
          <w:sz w:val="20"/>
        </w:rPr>
        <w:t xml:space="preserve">HFrEF”) and other cardiovascular diseases. Our second-generation product, Barostim, is the first and only commercially available neuromodulation device indicated to improve symptoms for patients with HFrEF. Barostim provides Baroreflex Activation Therapy by sending imperceptible and persistent electrical pulses to baroreceptors located in the wall of the carotid artery to signal the brain to modulate cardiovascular function. Barostim is currently approved by the </w:t>
      </w:r>
      <w:r>
        <w:rPr>
          <w:rFonts w:ascii="Arial;Helvetica;sans-serif" w:hAnsi="Arial;Helvetica;sans-serif"/>
          <w:sz w:val="20"/>
          <w:shd w:fill="FFFFFF" w:val="clear"/>
        </w:rPr>
        <w:t xml:space="preserve">U.S. Food and Drug Administration (“FDA”) </w:t>
      </w:r>
      <w:r>
        <w:rPr>
          <w:rFonts w:ascii="Arial;Helvetica;sans-serif" w:hAnsi="Arial;Helvetica;sans-serif"/>
          <w:sz w:val="20"/>
        </w:rPr>
        <w:t>to improve the symptoms of patients with HFrEF and is CE Marked for HFrEF and resistant hypertension.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Since our inception we have generated minimal revenue, as our activities have consisted primarily of developing Barostim Therapy, conducting our BeAT-HF pre-market and post-market pivotal studies in the U.S. and filing for regulatory approvals. Our ability to generate revenue from product sales and become profitable will depend on our ability to continue to successfully commercialize Barostim and any product enhancements we may advance in the future. We expect to derive future revenue by continuing to both expand our own dedicated salesforce and increase awareness of Barostim among payors, physicians and patients.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Our sales and marketing efforts are directed at electrophysiologists, HF specialists, interventional and general cardiologists and vascular surgeons because they are the primary users of our technology. However, we consider hospitals, where the procedures are performed primarily in an outpatient setting, to be our customers, as they are the purchasing entities of Barostim in the U.S. We intend to continue making significant investments building our U.S. commercial infrastructure by expanding and training our U.S. sales force. We have dedicated significant resources to educate physicians who treat HFrEF about the advantages of Barostim and train them on the implant procedure.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costs for the device and implantation procedure are reimbursed through various third-party payors, such as government agencies and commercial payors. In the U.S., we estimate that 67% of our target patient population is Medicare-eligible based on the age demographic of the HFrEF patient population indicated for Barostim. As a result, we have prioritized coverage by the</w:t>
      </w:r>
      <w:r>
        <w:rPr>
          <w:rFonts w:ascii="Arial;Helvetica;sans-serif" w:hAnsi="Arial;Helvetica;sans-serif"/>
          <w:sz w:val="20"/>
          <w:shd w:fill="FFFFFF" w:val="clear"/>
        </w:rPr>
        <w:t xml:space="preserve"> Centers for Medicare and Medicaid Services </w:t>
      </w:r>
      <w:r>
        <w:rPr>
          <w:rFonts w:ascii="Arial;Helvetica;sans-serif" w:hAnsi="Arial;Helvetica;sans-serif"/>
          <w:sz w:val="20"/>
        </w:rPr>
        <w:t>while simultaneously developing processes to engage commercial payors. All Medicare Administrative Contractors have retired automatic coverage denial policies for our Current Procedural Terminology codes, thereby allowing hospitals to be paid for the Barostim procedure. Our reimbursement strategy involves continuing to broaden our current coverage and build our in-house market access team to obtain appropriate prior authorization approvals in advance of treatment on a case-by-case basis where positive coverage policies currently do not exist. Outside the U.S., reimbursement levels vary by country and within some countries by region. Barostim is eligible for reimbursement in certain countries in the European Economic Area (“EEA”), such as Germany, where annual healthcare budgets for the hospital generally determine the number of patients to be treated and the prices to be paid for the related devices that may be purchased.</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manage all aspects of manufacturing operations and product supply of Barostim, which include final assembly, testing and packaging of our implantable pulse generator (“IPG”) and stimulation lead, at our headquarters in Minneapolis, Minnesota. We utilize components or various subassemblies manufactured by third-party suppliers, some of which have significant lead times. Many of these components are from a limited number of suppliers. We believe that our component manufacturers are recognized in their field for their competency to manufacture the respective portions of Barostim and have quality systems established that meet FDA requirements. We seek to maintain higher levels of inventory to protect ourselves from supply interruptions and continue to seek to broaden and strengthen our supply chain through additional sourcing channels.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From our inception until the IPO, we financed our operations primarily through preferred stock financings, and additionally, from sales of our Barostim products and amounts borrowed under our credit facilities. We then devoted substantially all of our resources to research and development activities related to Barostim Therapy, including clinical and regulatory initiatives to obtain marketing approval and sales and marketing activities.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We used a portion of the IPO proceeds to continue funding the expansion of our direct sales force and commercial organization related to Barostim in the U.S. We continued investing in research and development in the near term to improve clinical outcomes, optimize patient adoption and comfort, increase patient access and enhance the physician and patient experience. Longer term, we plan to explore Barostim’s potential to expand its indications for use to other cardiovascular diseases. On October 31, 2022, we entered into a loan and security agreement under which we may borrow, subject to our achievement of certain milestones, up to a total of $50.0 million in a series of term loans described in Note 4 to our consolidated financial statements included elsewhere in this Quarterly Report on Form 10-Q, and we borrowed $7.5 million of such total on that date to fund our commercial and investment efforts. On March 10, 2023, we borrowed the $7.5 million remaining under the first tranche of the Loan Agreement, </w:t>
      </w:r>
      <w:r>
        <w:rPr>
          <w:rFonts w:ascii="Arial;Helvetica;sans-serif" w:hAnsi="Arial;Helvetica;sans-serif"/>
          <w:sz w:val="20"/>
          <w:shd w:fill="FFFFFF" w:val="clear"/>
        </w:rPr>
        <w:t>with $4.0 million received on March 13, 2023 and $3.5 million received on March 15, 2023</w:t>
      </w:r>
      <w:r>
        <w:rPr>
          <w:rFonts w:ascii="Arial;Helvetica;sans-serif" w:hAnsi="Arial;Helvetica;sans-serif"/>
          <w:sz w:val="20"/>
        </w:rPr>
        <w:t xml:space="preserve">. </w:t>
      </w:r>
      <w:r>
        <w:rPr>
          <w:rFonts w:ascii="Arial;Helvetica;sans-serif" w:hAnsi="Arial;Helvetica;sans-serif"/>
          <w:sz w:val="20"/>
          <w:shd w:fill="FFFFFF" w:val="clear"/>
        </w:rPr>
        <w:t>Following this draw, we have $15.0 million in outstanding term loans under the Loan Agreement. The Loan Agreement provides for up to two additional tranches of loans totaling up to an additional $35.0 million, based on timing, the achievement of certain trailing three months revenue targets and other conditions set forth in the Loan Agreement. </w:t>
      </w:r>
      <w:r>
        <w:rPr>
          <w:rFonts w:ascii="Arial;Helvetica;sans-serif" w:hAnsi="Arial;Helvetica;sans-serif"/>
          <w:sz w:val="20"/>
        </w:rPr>
        <w:t>As a result of these investments and our commercialization efforts, we expect to continue to incur net losses for the next several years, which may require additional funding and could include future equity and debt financing.</w:t>
      </w:r>
    </w:p>
    <w:p>
      <w:pPr>
        <w:pStyle w:val="TextBody"/>
        <w:pBdr/>
        <w:bidi w:val="0"/>
        <w:spacing w:before="0" w:after="240"/>
        <w:ind w:left="0" w:right="0" w:hanging="360"/>
        <w:jc w:val="left"/>
        <w:rPr>
          <w:rFonts w:ascii="Arial;Helvetica;sans-serif" w:hAnsi="Arial;Helvetica;sans-serif"/>
          <w:b/>
          <w:sz w:val="24"/>
        </w:rPr>
      </w:pPr>
      <w:r>
        <w:rPr>
          <w:rFonts w:ascii="Arial;Helvetica;sans-serif" w:hAnsi="Arial;Helvetica;sans-serif"/>
          <w:b/>
          <w:sz w:val="24"/>
        </w:rPr>
        <w:t>Recent developments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February 2023, we were unblinded to the morbidity and mortality data from the BeAT-HF pivotal trial. The totality of the evidence from the trial shows long-term benefits for patients with heart failure. While the trial did not reach statistical significance on the primary endpoint, it did contain additional clinically meaningful prespecified analyses favoring Barostim. Accordingly, we anticipate making a regulatory submission to the FDA for expanded labeling. If successful, this label expansion could expand our addressable patient population.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COVID-19 pandemic has negatively impacted our business, financial condition and results of operations by decreasing and delaying procedures performed to implant Barostim. Beginning in March 2020, our revenue was negatively impacted by COVID-19 as healthcare facilities and clinics began restricting in-person access to their clinicians, reducing patient consultations and treatments or temporarily closing their facilities. While the impact of the pandemic has lessened in 2023, the extent to which the pandemic may impact our business, financial condition and results of operations remains uncertain, especially in the event of any resurgence or variants that may affect public health and the economy.</w:t>
      </w:r>
    </w:p>
    <w:p>
      <w:pPr>
        <w:pStyle w:val="TextBody"/>
        <w:pBdr/>
        <w:bidi w:val="0"/>
        <w:spacing w:before="0" w:after="240"/>
        <w:ind w:left="0" w:right="0" w:hanging="360"/>
        <w:jc w:val="left"/>
        <w:rPr>
          <w:rFonts w:ascii="Arial;Helvetica;sans-serif" w:hAnsi="Arial;Helvetica;sans-serif"/>
          <w:b/>
          <w:sz w:val="24"/>
        </w:rPr>
      </w:pPr>
      <w:r>
        <w:rPr>
          <w:rFonts w:ascii="Arial;Helvetica;sans-serif" w:hAnsi="Arial;Helvetica;sans-serif"/>
          <w:b/>
          <w:sz w:val="24"/>
        </w:rPr>
        <w:t>Factors affecting our performance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believe there are several important factors that have impacted and that we expect will continue to impact our business and results of operations. These factors include:</w:t>
      </w:r>
    </w:p>
    <w:tbl>
      <w:tblPr>
        <w:tblW w:w="5477" w:type="dxa"/>
        <w:jc w:val="left"/>
        <w:tblInd w:w="0" w:type="dxa"/>
        <w:tblLayout w:type="fixed"/>
        <w:tblCellMar>
          <w:top w:w="0" w:type="dxa"/>
          <w:left w:w="0" w:type="dxa"/>
          <w:bottom w:w="0" w:type="dxa"/>
          <w:right w:w="0" w:type="dxa"/>
        </w:tblCellMar>
      </w:tblPr>
      <w:tblGrid>
        <w:gridCol w:w="271"/>
        <w:gridCol w:w="5206"/>
      </w:tblGrid>
      <w:tr>
        <w:trPr/>
        <w:tc>
          <w:tcPr>
            <w:tcW w:w="271" w:type="dxa"/>
            <w:tcBorders/>
            <w:vAlign w:val="center"/>
          </w:tcPr>
          <w:p>
            <w:pPr>
              <w:pStyle w:val="TableContents"/>
              <w:bidi w:val="0"/>
              <w:spacing w:before="0" w:after="283"/>
              <w:jc w:val="left"/>
              <w:rPr>
                <w:color w:val="231F20"/>
              </w:rPr>
            </w:pPr>
            <w:r>
              <w:rPr>
                <w:color w:val="231F20"/>
              </w:rPr>
              <w:t>●</w:t>
            </w:r>
          </w:p>
        </w:tc>
        <w:tc>
          <w:tcPr>
            <w:tcW w:w="5206"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Growing and supporting our U.S. commercial organization;</w:t>
            </w:r>
          </w:p>
        </w:tc>
      </w:tr>
    </w:tbl>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231F20"/>
              </w:rPr>
            </w:pPr>
            <w:r>
              <w:rPr>
                <w:color w:val="231F20"/>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Seeking expanded labeling for Barostim and promoting awareness among physicians, hospitals and patients to accelerate adoption of Barostim;</w:t>
            </w:r>
          </w:p>
        </w:tc>
      </w:tr>
    </w:tbl>
    <w:tbl>
      <w:tblPr>
        <w:tblW w:w="7052" w:type="dxa"/>
        <w:jc w:val="left"/>
        <w:tblInd w:w="0" w:type="dxa"/>
        <w:tblLayout w:type="fixed"/>
        <w:tblCellMar>
          <w:top w:w="0" w:type="dxa"/>
          <w:left w:w="0" w:type="dxa"/>
          <w:bottom w:w="0" w:type="dxa"/>
          <w:right w:w="0" w:type="dxa"/>
        </w:tblCellMar>
      </w:tblPr>
      <w:tblGrid>
        <w:gridCol w:w="271"/>
        <w:gridCol w:w="6781"/>
      </w:tblGrid>
      <w:tr>
        <w:trPr/>
        <w:tc>
          <w:tcPr>
            <w:tcW w:w="271" w:type="dxa"/>
            <w:tcBorders/>
            <w:vAlign w:val="center"/>
          </w:tcPr>
          <w:p>
            <w:pPr>
              <w:pStyle w:val="TableContents"/>
              <w:bidi w:val="0"/>
              <w:spacing w:before="0" w:after="283"/>
              <w:jc w:val="left"/>
              <w:rPr>
                <w:color w:val="231F20"/>
              </w:rPr>
            </w:pPr>
            <w:r>
              <w:rPr>
                <w:color w:val="231F20"/>
              </w:rPr>
              <w:t>●</w:t>
            </w:r>
          </w:p>
        </w:tc>
        <w:tc>
          <w:tcPr>
            <w:tcW w:w="6781"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Raising awareness among payors to build upon reimbursement for Barostim;</w:t>
            </w:r>
          </w:p>
        </w:tc>
      </w:tr>
    </w:tbl>
    <w:tbl>
      <w:tblPr>
        <w:tblW w:w="9752" w:type="dxa"/>
        <w:jc w:val="left"/>
        <w:tblInd w:w="0" w:type="dxa"/>
        <w:tblLayout w:type="fixed"/>
        <w:tblCellMar>
          <w:top w:w="0" w:type="dxa"/>
          <w:left w:w="0" w:type="dxa"/>
          <w:bottom w:w="0" w:type="dxa"/>
          <w:right w:w="0" w:type="dxa"/>
        </w:tblCellMar>
      </w:tblPr>
      <w:tblGrid>
        <w:gridCol w:w="271"/>
        <w:gridCol w:w="9481"/>
      </w:tblGrid>
      <w:tr>
        <w:trPr/>
        <w:tc>
          <w:tcPr>
            <w:tcW w:w="271" w:type="dxa"/>
            <w:tcBorders/>
            <w:vAlign w:val="center"/>
          </w:tcPr>
          <w:p>
            <w:pPr>
              <w:pStyle w:val="TableContents"/>
              <w:bidi w:val="0"/>
              <w:spacing w:before="0" w:after="283"/>
              <w:jc w:val="left"/>
              <w:rPr>
                <w:color w:val="231F20"/>
              </w:rPr>
            </w:pPr>
            <w:r>
              <w:rPr>
                <w:color w:val="231F20"/>
              </w:rPr>
              <w:t>●</w:t>
            </w:r>
          </w:p>
        </w:tc>
        <w:tc>
          <w:tcPr>
            <w:tcW w:w="9481"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Investing in research and development to foster innovation and further simplify the Barostim procedure; and</w:t>
            </w:r>
          </w:p>
        </w:tc>
      </w:tr>
    </w:tbl>
    <w:tbl>
      <w:tblPr>
        <w:tblW w:w="7052" w:type="dxa"/>
        <w:jc w:val="left"/>
        <w:tblInd w:w="0" w:type="dxa"/>
        <w:tblLayout w:type="fixed"/>
        <w:tblCellMar>
          <w:top w:w="0" w:type="dxa"/>
          <w:left w:w="0" w:type="dxa"/>
          <w:bottom w:w="0" w:type="dxa"/>
          <w:right w:w="0" w:type="dxa"/>
        </w:tblCellMar>
      </w:tblPr>
      <w:tblGrid>
        <w:gridCol w:w="271"/>
        <w:gridCol w:w="6781"/>
      </w:tblGrid>
      <w:tr>
        <w:trPr/>
        <w:tc>
          <w:tcPr>
            <w:tcW w:w="271" w:type="dxa"/>
            <w:tcBorders/>
            <w:vAlign w:val="center"/>
          </w:tcPr>
          <w:p>
            <w:pPr>
              <w:pStyle w:val="TableContents"/>
              <w:bidi w:val="0"/>
              <w:spacing w:before="0" w:after="283"/>
              <w:jc w:val="left"/>
              <w:rPr>
                <w:color w:val="231F20"/>
              </w:rPr>
            </w:pPr>
            <w:r>
              <w:rPr>
                <w:color w:val="231F20"/>
              </w:rPr>
              <w:t>●</w:t>
            </w:r>
          </w:p>
        </w:tc>
        <w:tc>
          <w:tcPr>
            <w:tcW w:w="6781"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Leveraging our manufacturing capacity to further improve our gross margins.</w:t>
            </w:r>
          </w:p>
        </w:tc>
      </w:tr>
    </w:tbl>
    <w:p>
      <w:pPr>
        <w:pStyle w:val="TextBody"/>
        <w:pBdr/>
        <w:bidi w:val="0"/>
        <w:spacing w:before="0" w:after="240"/>
        <w:ind w:left="0" w:right="0" w:hanging="360"/>
        <w:jc w:val="left"/>
        <w:rPr>
          <w:rFonts w:ascii="Arial;Helvetica;sans-serif" w:hAnsi="Arial;Helvetica;sans-serif"/>
          <w:b/>
          <w:sz w:val="24"/>
        </w:rPr>
      </w:pPr>
      <w:r>
        <w:rPr>
          <w:rFonts w:ascii="Arial;Helvetica;sans-serif" w:hAnsi="Arial;Helvetica;sans-serif"/>
          <w:b/>
          <w:sz w:val="24"/>
        </w:rPr>
        <w:t>Components of results of operations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Revenue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Our U.S. sales have increased since the pre-market approval of Barostim by the FDA in August 2019, and the subsequent reimbursement changes in 2020. We expect to continue to drive increases in revenue through our efforts to increase awareness of Barostim among physicians, patients and payors and by the expansion of our U.S. sales force, as well as by seeking expanded labeling for Barostim. As a result, we expect that U.S. sales will continue to account for the majority of our revenue going forward.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derive a portion of our revenue from the sale of Barostim to hospitals in Germany and other select countries in Europe. Revenue from sales of Barostim in Europe fluctuates based on the average selling price of Barostim as determined by location of sale and channel mix, each of which may vary significantly from country to country. Our revenue from international sales can also be significantly impacted by fluctuations in foreign currency exchange rates.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Cost of goods sold and gross margin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Cost of goods sold consists primarily of acquisition costs of the components and subassemblies of Barostim, allocated manufacturing overhead and scrap and inventory obsolescence, as well as distribution-related expenses such as logistics and shipping costs. We expect cost of goods sold to increase in absolute dollars primarily as, and to the extent, our revenue grows. Gross margin may also vary based on regional differences in rebates and incentives negotiated with certain customers.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calculate gross margin as revenue less cost of goods sold divided by revenue. Our gross margin has been and will continue to be affected by a variety of factors, but is primarily driven by the average sale price of our product, the percentage of products sold that include a full system (i.e., an IPG and a stimulation lead), as compared to individual IPG sales, and the allocated manufacturing overhead. Although we sell the majority of our devices directly to hospitals, the impact of the average selling price on gross margin is driven by the percentage of products we sold to distributors as compared to those sold directly to hospitals, as our average selling price is typically higher on products we sell directly. The full system sales typically have a lower gross margin as they include the cost of an IPG and a stimulation lead whereas individual IPG sales only include the cost of an IPG. The manufacturing overhead costs of Barostim are directly aligned to our production volume and therefore the cost per product is reduced if production levels increase. While we expect our gross margin to be positively affected over time to the extent we are successful in selling more product through our direct sales force and by increasing our production volumes, it will likely fluctuate from period to period as we continue to introduce new products and adopt new manufacturing processes and technologies.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Research and development expenses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Research and development (“R&amp;D”) expenses consist primarily of personnel costs, including salaries, bonuses, employee benefits and stock-based compensation expenses for our R&amp;D employees. R&amp;D expenses also include costs associated with product design efforts, development prototypes, testing, clinical </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trial programs and regulatory activities, contractors and consultants, equipment and software to support our development, facilities and information technology. We expense R&amp;D costs as they are incurred. We expect R&amp;D expenses to increase in absolute dollars as we continue to develop enhancements to Barostim. Our R&amp;D expenses may fluctuate from period to period due to the timing and extent of our product development and clinical trial expenses.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Selling, general and administrative expenses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Selling, general and administrative (“SG&amp;A”) expenses consist primarily of personnel costs, including base salaries, bonuses, employee benefits and stock-based compensation expense for our sales and marketing personnel, including sales commissions, and for administrative personnel that support our general operations such as executive management, financial accounting, information technology and human resources personnel. SG&amp;A expenses also include costs attributable to marketing, as well as travel, legal fees, financial audit fees, insurance, fees for other consulting services, depreciation and facilities. We expense commissions at the time of the sale.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expect SG&amp;A expenses to increase in absolute dollars as we continue to expand our direct sales force and commercial organization in the U.S. In addition, we will continue to increase our international presence and to develop and assist our channel partners. However, we expect our SG&amp;A expenses to decrease as a percentage of revenue as our revenue grows.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Interest expense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Interest expense consists of interest on our debt and amortization of associated financing costs.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Other income (expense), net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Other income, net consists primarily of interest income on our interest-bearing account. Other expense, net consists primarily of the effect of exchange rates on our foreign currency-denominated asset and liability balances. </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Provision for income taxes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Provision for income taxes consists primarily of income taxes in foreign jurisdictions in which we conduct business. We maintain a full valuation allowance for deferred tax assets including NOL carryforwards, R&amp;D credits and other tax credits.</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0" w:right="0" w:hanging="360"/>
        <w:jc w:val="left"/>
        <w:rPr>
          <w:rFonts w:ascii="Arial;Helvetica;sans-serif" w:hAnsi="Arial;Helvetica;sans-serif"/>
          <w:b/>
          <w:sz w:val="24"/>
        </w:rPr>
      </w:pPr>
      <w:r>
        <w:rPr>
          <w:rFonts w:ascii="Arial;Helvetica;sans-serif" w:hAnsi="Arial;Helvetica;sans-serif"/>
          <w:b/>
          <w:sz w:val="24"/>
        </w:rPr>
        <w:t>Results of operations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Consolidated results of operations for the three months ended March 31, 2023, compared to the three months ended March 31, 2022</w:t>
      </w:r>
    </w:p>
    <w:tbl>
      <w:tblPr>
        <w:tblW w:w="8178" w:type="dxa"/>
        <w:jc w:val="left"/>
        <w:tblInd w:w="0" w:type="dxa"/>
        <w:tblLayout w:type="fixed"/>
        <w:tblCellMar>
          <w:top w:w="0" w:type="dxa"/>
          <w:left w:w="0" w:type="dxa"/>
          <w:bottom w:w="0" w:type="dxa"/>
          <w:right w:w="0" w:type="dxa"/>
        </w:tblCellMar>
      </w:tblPr>
      <w:tblGrid>
        <w:gridCol w:w="3106"/>
        <w:gridCol w:w="326"/>
        <w:gridCol w:w="211"/>
        <w:gridCol w:w="811"/>
        <w:gridCol w:w="406"/>
        <w:gridCol w:w="211"/>
        <w:gridCol w:w="706"/>
        <w:gridCol w:w="406"/>
        <w:gridCol w:w="211"/>
        <w:gridCol w:w="706"/>
        <w:gridCol w:w="326"/>
        <w:gridCol w:w="421"/>
        <w:gridCol w:w="331"/>
      </w:tblGrid>
      <w:tr>
        <w:trPr/>
        <w:tc>
          <w:tcPr>
            <w:tcW w:w="3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972310" cy="175260"/>
                      <wp:effectExtent l="0" t="0" r="0" b="0"/>
                      <wp:wrapNone/>
                      <wp:docPr id="128" name="Frame128"/>
                      <a:graphic xmlns:a="http://schemas.openxmlformats.org/drawingml/2006/main">
                        <a:graphicData uri="http://schemas.microsoft.com/office/word/2010/wordprocessingShape">
                          <wps:wsp>
                            <wps:cNvSpPr txBox="1"/>
                            <wps:spPr>
                              <a:xfrm>
                                <a:off x="0" y="0"/>
                                <a:ext cx="1972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7010" cy="175260"/>
                      <wp:effectExtent l="0" t="0" r="0" b="0"/>
                      <wp:wrapNone/>
                      <wp:docPr id="129" name="Frame1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33985" cy="175260"/>
                      <wp:effectExtent l="0" t="0" r="0" b="0"/>
                      <wp:wrapNone/>
                      <wp:docPr id="130" name="Frame1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514985" cy="175260"/>
                      <wp:effectExtent l="0" t="0" r="0" b="0"/>
                      <wp:wrapNone/>
                      <wp:docPr id="131" name="Frame131"/>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57810" cy="175260"/>
                      <wp:effectExtent l="0" t="0" r="0" b="0"/>
                      <wp:wrapNone/>
                      <wp:docPr id="132" name="Frame132"/>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33985" cy="175260"/>
                      <wp:effectExtent l="0" t="0" r="0" b="0"/>
                      <wp:wrapNone/>
                      <wp:docPr id="133" name="Frame1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448310" cy="175260"/>
                      <wp:effectExtent l="0" t="0" r="0" b="0"/>
                      <wp:wrapNone/>
                      <wp:docPr id="134" name="Frame134"/>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57810" cy="175260"/>
                      <wp:effectExtent l="0" t="0" r="0" b="0"/>
                      <wp:wrapNone/>
                      <wp:docPr id="135" name="Frame135"/>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33985" cy="175260"/>
                      <wp:effectExtent l="0" t="0" r="0" b="0"/>
                      <wp:wrapNone/>
                      <wp:docPr id="136" name="Frame1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448310" cy="175260"/>
                      <wp:effectExtent l="0" t="0" r="0" b="0"/>
                      <wp:wrapNone/>
                      <wp:docPr id="137" name="Frame137"/>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07010" cy="175260"/>
                      <wp:effectExtent l="0" t="0" r="0" b="0"/>
                      <wp:wrapNone/>
                      <wp:docPr id="138" name="Frame1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67335" cy="175260"/>
                      <wp:effectExtent l="0" t="0" r="0" b="0"/>
                      <wp:wrapNone/>
                      <wp:docPr id="139" name="Frame139"/>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10185" cy="175260"/>
                      <wp:effectExtent l="0" t="0" r="0" b="0"/>
                      <wp:wrapNone/>
                      <wp:docPr id="140" name="Frame140"/>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345" w:type="dxa"/>
            <w:gridSpan w:val="5"/>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c>
          <w:tcPr>
            <w:tcW w:w="40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center"/>
              <w:rPr/>
            </w:pPr>
            <w:r>
              <w:rPr/>
              <w:t>​</w:t>
            </w:r>
          </w:p>
        </w:tc>
        <w:tc>
          <w:tcPr>
            <w:tcW w:w="331" w:type="dxa"/>
            <w:tcBorders/>
            <w:vAlign w:val="center"/>
          </w:tcPr>
          <w:p>
            <w:pPr>
              <w:pStyle w:val="TableContents"/>
              <w:bidi w:val="0"/>
              <w:spacing w:before="0" w:after="0"/>
              <w:ind w:left="0" w:right="0" w:hanging="0"/>
              <w:jc w:val="center"/>
              <w:rPr/>
            </w:pPr>
            <w:r>
              <w:rPr/>
              <w:t> </w:t>
            </w:r>
          </w:p>
        </w:tc>
      </w:tr>
      <w:tr>
        <w:trPr/>
        <w:tc>
          <w:tcPr>
            <w:tcW w:w="31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March 31, </w:t>
            </w:r>
          </w:p>
        </w:tc>
        <w:tc>
          <w:tcPr>
            <w:tcW w:w="406" w:type="dxa"/>
            <w:tcBorders/>
            <w:vAlign w:val="center"/>
          </w:tcPr>
          <w:p>
            <w:pPr>
              <w:pStyle w:val="TableContents"/>
              <w:bidi w:val="0"/>
              <w:spacing w:before="0" w:after="0"/>
              <w:ind w:left="0" w:right="0" w:hanging="0"/>
              <w:jc w:val="left"/>
              <w:rPr/>
            </w:pPr>
            <w:r>
              <w:rPr/>
              <w:t>​</w:t>
            </w:r>
          </w:p>
        </w:tc>
        <w:tc>
          <w:tcPr>
            <w:tcW w:w="166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Change</w:t>
            </w:r>
          </w:p>
        </w:tc>
        <w:tc>
          <w:tcPr>
            <w:tcW w:w="331" w:type="dxa"/>
            <w:tcBorders/>
            <w:vAlign w:val="center"/>
          </w:tcPr>
          <w:p>
            <w:pPr>
              <w:pStyle w:val="TableContents"/>
              <w:bidi w:val="0"/>
              <w:spacing w:before="0" w:after="0"/>
              <w:ind w:left="0" w:right="0" w:hanging="0"/>
              <w:jc w:val="center"/>
              <w:rPr/>
            </w:pPr>
            <w:r>
              <w:rPr/>
              <w:t>​</w:t>
            </w:r>
          </w:p>
        </w:tc>
      </w:tr>
      <w:tr>
        <w:trPr/>
        <w:tc>
          <w:tcPr>
            <w:tcW w:w="310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i/>
                <w:sz w:val="16"/>
              </w:rPr>
            </w:pPr>
            <w:r>
              <w:rPr>
                <w:rFonts w:ascii="Arial;Helvetica;sans-serif" w:hAnsi="Arial;Helvetica;sans-serif"/>
                <w:i/>
                <w:sz w:val="16"/>
              </w:rPr>
              <w:t>(unaudited and in thousands)</w:t>
            </w:r>
          </w:p>
        </w:tc>
        <w:tc>
          <w:tcPr>
            <w:tcW w:w="326" w:type="dxa"/>
            <w:tcBorders/>
            <w:vAlign w:val="center"/>
          </w:tcPr>
          <w:p>
            <w:pPr>
              <w:pStyle w:val="TableContents"/>
              <w:bidi w:val="0"/>
              <w:spacing w:before="0" w:after="0"/>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406" w:type="dxa"/>
            <w:tcBorders/>
            <w:vAlign w:val="center"/>
          </w:tcPr>
          <w:p>
            <w:pPr>
              <w:pStyle w:val="TableContents"/>
              <w:bidi w:val="0"/>
              <w:spacing w:before="0" w:after="0"/>
              <w:ind w:left="0" w:right="0" w:hanging="0"/>
              <w:jc w:val="left"/>
              <w:rPr/>
            </w:pPr>
            <w:r>
              <w:rPr/>
              <w:t>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c>
          <w:tcPr>
            <w:tcW w:w="406" w:type="dxa"/>
            <w:tcBorders/>
            <w:vAlign w:val="center"/>
          </w:tcPr>
          <w:p>
            <w:pPr>
              <w:pStyle w:val="TableContents"/>
              <w:bidi w:val="0"/>
              <w:spacing w:before="0" w:after="0"/>
              <w:ind w:left="0" w:right="0" w:hanging="0"/>
              <w:jc w:val="left"/>
              <w:rPr/>
            </w:pPr>
            <w:r>
              <w:rPr/>
              <w:t>​</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w:t>
            </w:r>
          </w:p>
        </w:tc>
        <w:tc>
          <w:tcPr>
            <w:tcW w:w="326" w:type="dxa"/>
            <w:tcBorders/>
            <w:vAlign w:val="center"/>
          </w:tcPr>
          <w:p>
            <w:pPr>
              <w:pStyle w:val="TableContents"/>
              <w:bidi w:val="0"/>
              <w:spacing w:before="0" w:after="0"/>
              <w:ind w:left="0" w:right="0" w:hanging="0"/>
              <w:jc w:val="center"/>
              <w:rPr/>
            </w:pPr>
            <w:r>
              <w:rPr/>
              <w:t>    </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w:t>
            </w:r>
          </w:p>
        </w:tc>
        <w:tc>
          <w:tcPr>
            <w:tcW w:w="331" w:type="dxa"/>
            <w:tcBorders/>
            <w:vAlign w:val="center"/>
          </w:tcPr>
          <w:p>
            <w:pPr>
              <w:pStyle w:val="TableContents"/>
              <w:bidi w:val="0"/>
              <w:spacing w:before="0" w:after="0"/>
              <w:ind w:left="0" w:right="0" w:hanging="0"/>
              <w:jc w:val="center"/>
              <w:rPr/>
            </w:pPr>
            <w:r>
              <w:rPr/>
              <w:t> </w:t>
            </w:r>
          </w:p>
        </w:tc>
      </w:tr>
      <w:tr>
        <w:trPr/>
        <w:tc>
          <w:tcPr>
            <w:tcW w:w="31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7,979</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4,076</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3,903</w:t>
            </w:r>
          </w:p>
        </w:tc>
        <w:tc>
          <w:tcPr>
            <w:tcW w:w="32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96</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1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Cost of goods sold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1,328</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949</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379</w:t>
            </w:r>
          </w:p>
        </w:tc>
        <w:tc>
          <w:tcPr>
            <w:tcW w:w="326" w:type="dxa"/>
            <w:tcBorders/>
            <w:vAlign w:val="center"/>
          </w:tcPr>
          <w:p>
            <w:pPr>
              <w:pStyle w:val="TableContents"/>
              <w:bidi w:val="0"/>
              <w:spacing w:before="0" w:after="0"/>
              <w:ind w:left="0" w:right="0" w:hanging="0"/>
              <w:jc w:val="left"/>
              <w:rPr/>
            </w:pPr>
            <w:r>
              <w:rPr/>
              <w:t> </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1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6,651</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3,127</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3,524</w:t>
            </w:r>
          </w:p>
        </w:tc>
        <w:tc>
          <w:tcPr>
            <w:tcW w:w="326" w:type="dxa"/>
            <w:tcBorders/>
            <w:shd w:fill="CCEEFF" w:val="clear"/>
            <w:vAlign w:val="center"/>
          </w:tcPr>
          <w:p>
            <w:pPr>
              <w:pStyle w:val="TableContents"/>
              <w:bidi w:val="0"/>
              <w:spacing w:before="0" w:after="0"/>
              <w:ind w:left="0" w:right="0" w:hanging="0"/>
              <w:jc w:val="left"/>
              <w:rPr/>
            </w:pPr>
            <w:r>
              <w:rPr/>
              <w:t> </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113</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1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Gross margin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83</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77</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  </w:t>
            </w:r>
          </w:p>
        </w:tc>
        <w:tc>
          <w:tcPr>
            <w:tcW w:w="331" w:type="dxa"/>
            <w:tcBorders/>
            <w:vAlign w:val="center"/>
          </w:tcPr>
          <w:p>
            <w:pPr>
              <w:pStyle w:val="TableContents"/>
              <w:bidi w:val="0"/>
              <w:spacing w:before="0" w:after="0"/>
              <w:ind w:left="0" w:right="0" w:hanging="0"/>
              <w:jc w:val="left"/>
              <w:rPr/>
            </w:pPr>
            <w:r>
              <w:rPr/>
              <w:t>​</w:t>
            </w:r>
          </w:p>
        </w:tc>
      </w:tr>
      <w:tr>
        <w:trPr/>
        <w:tc>
          <w:tcPr>
            <w:tcW w:w="31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pPr>
            <w:r>
              <w:rPr/>
              <w:t>  </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pPr>
            <w:r>
              <w:rPr/>
              <w:t>  </w:t>
            </w:r>
          </w:p>
        </w:tc>
        <w:tc>
          <w:tcPr>
            <w:tcW w:w="331" w:type="dxa"/>
            <w:tcBorders/>
            <w:shd w:fill="CCEEFF" w:val="clear"/>
            <w:vAlign w:val="center"/>
          </w:tcPr>
          <w:p>
            <w:pPr>
              <w:pStyle w:val="TableContents"/>
              <w:bidi w:val="0"/>
              <w:spacing w:before="0" w:after="0"/>
              <w:ind w:left="0" w:right="0" w:hanging="0"/>
              <w:jc w:val="left"/>
              <w:rPr/>
            </w:pPr>
            <w:r>
              <w:rPr/>
              <w:t>​</w:t>
            </w:r>
          </w:p>
        </w:tc>
      </w:tr>
      <w:tr>
        <w:trPr/>
        <w:tc>
          <w:tcPr>
            <w:tcW w:w="31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Research and development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3,416</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2,258</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1,158</w:t>
            </w:r>
          </w:p>
        </w:tc>
        <w:tc>
          <w:tcPr>
            <w:tcW w:w="32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51</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1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Selling, 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15,397</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10,777</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4,620</w:t>
            </w:r>
          </w:p>
        </w:tc>
        <w:tc>
          <w:tcPr>
            <w:tcW w:w="326" w:type="dxa"/>
            <w:tcBorders/>
            <w:shd w:fill="CCEEFF" w:val="clear"/>
            <w:vAlign w:val="center"/>
          </w:tcPr>
          <w:p>
            <w:pPr>
              <w:pStyle w:val="TableContents"/>
              <w:bidi w:val="0"/>
              <w:spacing w:before="0" w:after="0"/>
              <w:ind w:left="0" w:right="0" w:hanging="0"/>
              <w:jc w:val="left"/>
              <w:rPr/>
            </w:pPr>
            <w:r>
              <w:rPr/>
              <w:t> </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43</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1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operating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18,813</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13,035</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5,778</w:t>
            </w:r>
          </w:p>
        </w:tc>
        <w:tc>
          <w:tcPr>
            <w:tcW w:w="326" w:type="dxa"/>
            <w:tcBorders/>
            <w:vAlign w:val="center"/>
          </w:tcPr>
          <w:p>
            <w:pPr>
              <w:pStyle w:val="TableContents"/>
              <w:bidi w:val="0"/>
              <w:spacing w:before="0" w:after="0"/>
              <w:ind w:left="0" w:right="0" w:hanging="0"/>
              <w:jc w:val="left"/>
              <w:rPr/>
            </w:pPr>
            <w:r>
              <w:rPr/>
              <w:t> </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1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Loss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(12,162)</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(9,908)</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(2,254)</w:t>
            </w:r>
          </w:p>
        </w:tc>
        <w:tc>
          <w:tcPr>
            <w:tcW w:w="32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1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Interest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(240)</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(240)</w:t>
            </w:r>
          </w:p>
        </w:tc>
        <w:tc>
          <w:tcPr>
            <w:tcW w:w="32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NM</w:t>
            </w:r>
          </w:p>
        </w:tc>
        <w:tc>
          <w:tcPr>
            <w:tcW w:w="331" w:type="dxa"/>
            <w:tcBorders/>
            <w:vAlign w:val="center"/>
          </w:tcPr>
          <w:p>
            <w:pPr>
              <w:pStyle w:val="TableContents"/>
              <w:bidi w:val="0"/>
              <w:spacing w:before="0" w:after="0"/>
              <w:ind w:left="0" w:right="0" w:hanging="0"/>
              <w:jc w:val="left"/>
              <w:rPr/>
            </w:pPr>
            <w:r>
              <w:rPr/>
              <w:t>​</w:t>
            </w:r>
          </w:p>
        </w:tc>
      </w:tr>
      <w:tr>
        <w:trPr/>
        <w:tc>
          <w:tcPr>
            <w:tcW w:w="31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income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1,062</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1,119</w:t>
            </w:r>
          </w:p>
        </w:tc>
        <w:tc>
          <w:tcPr>
            <w:tcW w:w="326" w:type="dxa"/>
            <w:tcBorders/>
            <w:shd w:fill="CCEEFF" w:val="clear"/>
            <w:vAlign w:val="center"/>
          </w:tcPr>
          <w:p>
            <w:pPr>
              <w:pStyle w:val="TableContents"/>
              <w:bidi w:val="0"/>
              <w:spacing w:before="0" w:after="0"/>
              <w:ind w:left="0" w:right="0" w:hanging="0"/>
              <w:jc w:val="left"/>
              <w:rPr/>
            </w:pPr>
            <w:r>
              <w:rPr/>
              <w:t> </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NM</w:t>
            </w:r>
          </w:p>
        </w:tc>
        <w:tc>
          <w:tcPr>
            <w:tcW w:w="331" w:type="dxa"/>
            <w:tcBorders/>
            <w:shd w:fill="CCEEFF" w:val="clear"/>
            <w:vAlign w:val="center"/>
          </w:tcPr>
          <w:p>
            <w:pPr>
              <w:pStyle w:val="TableContents"/>
              <w:bidi w:val="0"/>
              <w:spacing w:before="0" w:after="0"/>
              <w:ind w:left="0" w:right="0" w:hanging="0"/>
              <w:jc w:val="left"/>
              <w:rPr/>
            </w:pPr>
            <w:r>
              <w:rPr/>
              <w:t>​</w:t>
            </w:r>
          </w:p>
        </w:tc>
      </w:tr>
      <w:tr>
        <w:trPr/>
        <w:tc>
          <w:tcPr>
            <w:tcW w:w="31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Loss before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(11,340)</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(9,965)</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(1,375)</w:t>
            </w:r>
          </w:p>
        </w:tc>
        <w:tc>
          <w:tcPr>
            <w:tcW w:w="32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1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Provision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w:t>
            </w:r>
          </w:p>
        </w:tc>
        <w:tc>
          <w:tcPr>
            <w:tcW w:w="326" w:type="dxa"/>
            <w:tcBorders/>
            <w:shd w:fill="CCEEFF" w:val="clear"/>
            <w:vAlign w:val="center"/>
          </w:tcPr>
          <w:p>
            <w:pPr>
              <w:pStyle w:val="TableContents"/>
              <w:bidi w:val="0"/>
              <w:spacing w:before="0" w:after="0"/>
              <w:ind w:left="0" w:right="0" w:hanging="0"/>
              <w:jc w:val="left"/>
              <w:rPr/>
            </w:pPr>
            <w:r>
              <w:rPr/>
              <w:t> </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1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(11,374)</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(9,991)</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(1,383)</w:t>
            </w:r>
          </w:p>
        </w:tc>
        <w:tc>
          <w:tcPr>
            <w:tcW w:w="32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120" w:after="240"/>
        <w:ind w:left="0" w:right="0" w:hanging="0"/>
        <w:jc w:val="left"/>
        <w:rPr>
          <w:rFonts w:ascii="Arial;Helvetica;sans-serif" w:hAnsi="Arial;Helvetica;sans-serif"/>
          <w:sz w:val="20"/>
        </w:rPr>
      </w:pPr>
      <w:r>
        <w:rPr>
          <w:rFonts w:ascii="Arial;Helvetica;sans-serif" w:hAnsi="Arial;Helvetica;sans-serif"/>
          <w:sz w:val="20"/>
        </w:rPr>
        <w:t>NM – Not meaningful</w:t>
      </w:r>
    </w:p>
    <w:p>
      <w:pPr>
        <w:pStyle w:val="TextBody"/>
        <w:bidi w:val="0"/>
        <w:spacing w:before="0" w:after="120"/>
        <w:ind w:left="0" w:right="0" w:hanging="0"/>
        <w:jc w:val="left"/>
        <w:rPr>
          <w:rFonts w:ascii="Arial;Helvetica;sans-serif" w:hAnsi="Arial;Helvetica;sans-serif"/>
          <w:b/>
          <w:i/>
          <w:sz w:val="20"/>
        </w:rPr>
      </w:pPr>
      <w:r>
        <w:rPr>
          <w:rFonts w:ascii="Arial;Helvetica;sans-serif" w:hAnsi="Arial;Helvetica;sans-serif"/>
          <w:b/>
          <w:i/>
          <w:sz w:val="20"/>
        </w:rPr>
        <w:t>The following table provides revenue by geography:</w:t>
      </w:r>
    </w:p>
    <w:tbl>
      <w:tblPr>
        <w:tblW w:w="6249" w:type="dxa"/>
        <w:jc w:val="left"/>
        <w:tblInd w:w="0" w:type="dxa"/>
        <w:tblLayout w:type="fixed"/>
        <w:tblCellMar>
          <w:top w:w="0" w:type="dxa"/>
          <w:left w:w="0" w:type="dxa"/>
          <w:bottom w:w="0" w:type="dxa"/>
          <w:right w:w="0" w:type="dxa"/>
        </w:tblCellMar>
      </w:tblPr>
      <w:tblGrid>
        <w:gridCol w:w="2236"/>
        <w:gridCol w:w="109"/>
        <w:gridCol w:w="211"/>
        <w:gridCol w:w="586"/>
        <w:gridCol w:w="326"/>
        <w:gridCol w:w="211"/>
        <w:gridCol w:w="586"/>
        <w:gridCol w:w="109"/>
        <w:gridCol w:w="211"/>
        <w:gridCol w:w="586"/>
        <w:gridCol w:w="326"/>
        <w:gridCol w:w="421"/>
        <w:gridCol w:w="331"/>
      </w:tblGrid>
      <w:tr>
        <w:trPr/>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419860" cy="175260"/>
                      <wp:effectExtent l="0" t="0" r="0" b="0"/>
                      <wp:wrapNone/>
                      <wp:docPr id="141" name="Frame141"/>
                      <a:graphic xmlns:a="http://schemas.openxmlformats.org/drawingml/2006/main">
                        <a:graphicData uri="http://schemas.microsoft.com/office/word/2010/wordprocessingShape">
                          <wps:wsp>
                            <wps:cNvSpPr txBox="1"/>
                            <wps:spPr>
                              <a:xfrm>
                                <a:off x="0" y="0"/>
                                <a:ext cx="1419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9215" cy="175260"/>
                      <wp:effectExtent l="0" t="0" r="0" b="0"/>
                      <wp:wrapNone/>
                      <wp:docPr id="142" name="Frame1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33985" cy="175260"/>
                      <wp:effectExtent l="0" t="0" r="0" b="0"/>
                      <wp:wrapNone/>
                      <wp:docPr id="143" name="Frame1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372110" cy="175260"/>
                      <wp:effectExtent l="0" t="0" r="0" b="0"/>
                      <wp:wrapNone/>
                      <wp:docPr id="144" name="Frame144"/>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07010" cy="175260"/>
                      <wp:effectExtent l="0" t="0" r="0" b="0"/>
                      <wp:wrapNone/>
                      <wp:docPr id="145" name="Frame1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33985" cy="175260"/>
                      <wp:effectExtent l="0" t="0" r="0" b="0"/>
                      <wp:wrapNone/>
                      <wp:docPr id="146" name="Frame1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372110" cy="175260"/>
                      <wp:effectExtent l="0" t="0" r="0" b="0"/>
                      <wp:wrapNone/>
                      <wp:docPr id="147" name="Frame147"/>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9215" cy="175260"/>
                      <wp:effectExtent l="0" t="0" r="0" b="0"/>
                      <wp:wrapNone/>
                      <wp:docPr id="148" name="Frame1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33985" cy="175260"/>
                      <wp:effectExtent l="0" t="0" r="0" b="0"/>
                      <wp:wrapNone/>
                      <wp:docPr id="149" name="Frame1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372110" cy="175260"/>
                      <wp:effectExtent l="0" t="0" r="0" b="0"/>
                      <wp:wrapNone/>
                      <wp:docPr id="150" name="Frame150"/>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07010" cy="175260"/>
                      <wp:effectExtent l="0" t="0" r="0" b="0"/>
                      <wp:wrapNone/>
                      <wp:docPr id="151" name="Frame1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67335" cy="175260"/>
                      <wp:effectExtent l="0" t="0" r="0" b="0"/>
                      <wp:wrapNone/>
                      <wp:docPr id="152" name="Frame152"/>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10185" cy="175260"/>
                      <wp:effectExtent l="0" t="0" r="0" b="0"/>
                      <wp:wrapNone/>
                      <wp:docPr id="153" name="Frame153"/>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920" w:type="dxa"/>
            <w:gridSpan w:val="5"/>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421" w:type="dxa"/>
            <w:tcBorders/>
            <w:vAlign w:val="center"/>
          </w:tcPr>
          <w:p>
            <w:pPr>
              <w:pStyle w:val="TableContents"/>
              <w:bidi w:val="0"/>
              <w:spacing w:before="0" w:after="1"/>
              <w:ind w:left="0" w:right="0" w:hanging="0"/>
              <w:jc w:val="center"/>
              <w:rPr/>
            </w:pPr>
            <w:r>
              <w:rPr/>
              <w:t>​</w:t>
            </w:r>
          </w:p>
        </w:tc>
        <w:tc>
          <w:tcPr>
            <w:tcW w:w="331" w:type="dxa"/>
            <w:tcBorders/>
            <w:vAlign w:val="center"/>
          </w:tcPr>
          <w:p>
            <w:pPr>
              <w:pStyle w:val="TableContents"/>
              <w:bidi w:val="0"/>
              <w:spacing w:before="0" w:after="1"/>
              <w:ind w:left="0" w:right="0" w:hanging="0"/>
              <w:jc w:val="center"/>
              <w:rPr/>
            </w:pPr>
            <w:r>
              <w:rPr/>
              <w:t>​</w:t>
            </w:r>
          </w:p>
        </w:tc>
      </w:tr>
      <w:tr>
        <w:trPr/>
        <w:tc>
          <w:tcPr>
            <w:tcW w:w="22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9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March 31, </w:t>
            </w:r>
          </w:p>
        </w:tc>
        <w:tc>
          <w:tcPr>
            <w:tcW w:w="109" w:type="dxa"/>
            <w:tcBorders/>
            <w:vAlign w:val="center"/>
          </w:tcPr>
          <w:p>
            <w:pPr>
              <w:pStyle w:val="TableContents"/>
              <w:bidi w:val="0"/>
              <w:spacing w:before="0" w:after="1"/>
              <w:ind w:left="0" w:right="0" w:hanging="0"/>
              <w:jc w:val="left"/>
              <w:rPr/>
            </w:pPr>
            <w:r>
              <w:rPr/>
              <w:t>​</w:t>
            </w:r>
          </w:p>
        </w:tc>
        <w:tc>
          <w:tcPr>
            <w:tcW w:w="154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Change</w:t>
            </w:r>
          </w:p>
        </w:tc>
        <w:tc>
          <w:tcPr>
            <w:tcW w:w="331" w:type="dxa"/>
            <w:tcBorders/>
            <w:vAlign w:val="center"/>
          </w:tcPr>
          <w:p>
            <w:pPr>
              <w:pStyle w:val="TableContents"/>
              <w:bidi w:val="0"/>
              <w:spacing w:before="0" w:after="1"/>
              <w:ind w:left="0" w:right="0" w:hanging="0"/>
              <w:jc w:val="center"/>
              <w:rPr/>
            </w:pPr>
            <w:r>
              <w:rPr/>
              <w:t>​</w:t>
            </w:r>
          </w:p>
        </w:tc>
      </w:tr>
      <w:tr>
        <w:trPr/>
        <w:tc>
          <w:tcPr>
            <w:tcW w:w="2236"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i/>
                <w:sz w:val="16"/>
              </w:rPr>
            </w:pPr>
            <w:r>
              <w:rPr>
                <w:rFonts w:ascii="Arial;Helvetica;sans-serif" w:hAnsi="Arial;Helvetica;sans-serif"/>
                <w:i/>
                <w:sz w:val="16"/>
              </w:rPr>
              <w:t>(unaudited and in thousands)</w:t>
            </w:r>
          </w:p>
        </w:tc>
        <w:tc>
          <w:tcPr>
            <w:tcW w:w="109" w:type="dxa"/>
            <w:tcBorders/>
            <w:vAlign w:val="center"/>
          </w:tcPr>
          <w:p>
            <w:pPr>
              <w:pStyle w:val="TableContents"/>
              <w:bidi w:val="0"/>
              <w:spacing w:before="0" w:after="1"/>
              <w:ind w:left="0" w:right="0" w:hanging="0"/>
              <w:jc w:val="center"/>
              <w:rPr/>
            </w:pPr>
            <w:r>
              <w:rPr/>
              <w:t>​</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vAlign w:val="center"/>
          </w:tcPr>
          <w:p>
            <w:pPr>
              <w:pStyle w:val="TableContents"/>
              <w:bidi w:val="0"/>
              <w:spacing w:before="0" w:after="1"/>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c>
          <w:tcPr>
            <w:tcW w:w="109" w:type="dxa"/>
            <w:tcBorders/>
            <w:vAlign w:val="center"/>
          </w:tcPr>
          <w:p>
            <w:pPr>
              <w:pStyle w:val="TableContents"/>
              <w:bidi w:val="0"/>
              <w:spacing w:before="0" w:after="1"/>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w:t>
            </w:r>
          </w:p>
        </w:tc>
        <w:tc>
          <w:tcPr>
            <w:tcW w:w="326" w:type="dxa"/>
            <w:tcBorders/>
            <w:vAlign w:val="center"/>
          </w:tcPr>
          <w:p>
            <w:pPr>
              <w:pStyle w:val="TableContents"/>
              <w:bidi w:val="0"/>
              <w:spacing w:before="0" w:after="1"/>
              <w:ind w:left="0" w:right="0" w:hanging="0"/>
              <w:jc w:val="center"/>
              <w:rPr/>
            </w:pPr>
            <w:r>
              <w:rPr/>
              <w:t>    </w:t>
            </w:r>
          </w:p>
        </w:tc>
        <w:tc>
          <w:tcPr>
            <w:tcW w:w="42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w:t>
            </w:r>
          </w:p>
        </w:tc>
        <w:tc>
          <w:tcPr>
            <w:tcW w:w="331" w:type="dxa"/>
            <w:tcBorders/>
            <w:vAlign w:val="center"/>
          </w:tcPr>
          <w:p>
            <w:pPr>
              <w:pStyle w:val="TableContents"/>
              <w:bidi w:val="0"/>
              <w:spacing w:before="0" w:after="1"/>
              <w:ind w:left="0" w:right="0" w:hanging="0"/>
              <w:jc w:val="center"/>
              <w:rPr/>
            </w:pPr>
            <w:r>
              <w:rPr/>
              <w:t> </w:t>
            </w:r>
          </w:p>
        </w:tc>
      </w:tr>
      <w:tr>
        <w:trPr/>
        <w:tc>
          <w:tcPr>
            <w:tcW w:w="223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United States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6,942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3,058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3,884</w:t>
            </w:r>
          </w:p>
        </w:tc>
        <w:tc>
          <w:tcPr>
            <w:tcW w:w="326" w:type="dxa"/>
            <w:tcBorders/>
            <w:shd w:fill="CCEEFF" w:val="clear"/>
            <w:vAlign w:val="center"/>
          </w:tcPr>
          <w:p>
            <w:pPr>
              <w:pStyle w:val="TableContents"/>
              <w:bidi w:val="0"/>
              <w:spacing w:before="0" w:after="1"/>
              <w:ind w:left="0" w:right="0" w:hanging="0"/>
              <w:jc w:val="left"/>
              <w:rPr/>
            </w:pPr>
            <w:r>
              <w:rPr/>
              <w:t> </w:t>
            </w:r>
          </w:p>
        </w:tc>
        <w:tc>
          <w:tcPr>
            <w:tcW w:w="42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127</w:t>
            </w:r>
          </w:p>
        </w:tc>
        <w:tc>
          <w:tcPr>
            <w:tcW w:w="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223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Europe</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1,037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1,018</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w:t>
            </w:r>
          </w:p>
        </w:tc>
        <w:tc>
          <w:tcPr>
            <w:tcW w:w="326" w:type="dxa"/>
            <w:tcBorders/>
            <w:vAlign w:val="center"/>
          </w:tcPr>
          <w:p>
            <w:pPr>
              <w:pStyle w:val="TableContents"/>
              <w:bidi w:val="0"/>
              <w:spacing w:before="0" w:after="1"/>
              <w:ind w:left="0" w:right="0" w:hanging="0"/>
              <w:jc w:val="left"/>
              <w:rPr/>
            </w:pPr>
            <w:r>
              <w:rPr/>
              <w:t> </w:t>
            </w:r>
          </w:p>
        </w:tc>
        <w:tc>
          <w:tcPr>
            <w:tcW w:w="42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w:t>
            </w:r>
          </w:p>
        </w:tc>
        <w:tc>
          <w:tcPr>
            <w:tcW w:w="3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223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Revenue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7,979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4,076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3,903</w:t>
            </w:r>
          </w:p>
        </w:tc>
        <w:tc>
          <w:tcPr>
            <w:tcW w:w="326" w:type="dxa"/>
            <w:tcBorders/>
            <w:shd w:fill="CCEEFF" w:val="clear"/>
            <w:vAlign w:val="center"/>
          </w:tcPr>
          <w:p>
            <w:pPr>
              <w:pStyle w:val="TableContents"/>
              <w:bidi w:val="0"/>
              <w:spacing w:before="0" w:after="1"/>
              <w:ind w:left="0" w:right="0" w:hanging="0"/>
              <w:jc w:val="left"/>
              <w:rPr/>
            </w:pPr>
            <w:r>
              <w:rPr/>
              <w:t> </w:t>
            </w:r>
          </w:p>
        </w:tc>
        <w:tc>
          <w:tcPr>
            <w:tcW w:w="4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96</w:t>
            </w:r>
          </w:p>
        </w:tc>
        <w:tc>
          <w:tcPr>
            <w:tcW w:w="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Revenue was $8.0 million for the three months ended March 31, 2023, an increase of $3.9 million, or 96%, over the three months ended March 31, 2022.</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Revenue generated in the U.S. was $6.9 million for the three months ended March 31, 2023, an increase of $3.9 million, or 127%, over the three months ended March 31, 2022. Total HF revenue units in the U.S. totaled 225 and 99 for the three months ended March 31, 2023 and 2022, respectively. </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HF revenue in the U.S. totaled $6.8 million for the three months ended March 31, 2023, an increase of $3.9 million, or 132%, over the three months ended March 31, 2022. The increase was primarily driven by continued growth in the U.S. HF business as a result of the expansion into new sales territories, new accounts, and increased physician and patient awareness of Barostim.</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As of March 31, 2023, we had a total of 122 active implanting centers as compared to 56 as of March 31, 2022. Active implanting centers are customers that have completed at least one commercial HF implant in the last 12 months. As of March 31, 2023, the Company had a total of 29 sales territories as compared to 17 as of March 31, 2022.</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Revenue generated in Europe was $1.0 million for the three months ended March 31, 2023, an increase of $19,000, or 2%, over the three months ended March 31, 2022. Total revenue units in Europe were 52 for the three months ended March 31, 2023 as compared to 50 in the prior year period. As of March 31, 2023, we had a total of six sales territories in Europe.</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Cost of goods sold and gross margin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Cost of goods sold increased $0.4 million, or 40%, to $1.3 million for the three months ended March 31, 2023, compared to the three months ended March 31, 2022. This increase was primarily due to higher sales of Barostim.</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Gross profit was $6.7 million for the three months ended March 31, 2023, an increase of $3.5 million, or 113%, over the three months ended March 31, 2022. Gross margin increased to 83% for the three months ended March 31, 2023, compared to 77% for the three months ended March 31, 2022. Gross margin for the three months ended March 31, 2023 improved due primarily to a decrease in the cost per unit driven by an increase in the production volume.</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Research and development expenses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R&amp;D expenses increased $1.2 million, or 51%, to $3.4 million for the three months ended March 31, 2023, compared to the three months ended March 31, 2022. This change was primarily driven by a $0.5 million increase in compensation expenses, mainly as a result of increased headcount, a $0.4 million increase in non-cash stock-based compensation expense and a $0.4 million increase in consulting fees.</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Selling, general and administrative expenses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SG&amp;A expenses increased $4.6 million, or 43%, to $15.4 million for the three months ended March 31, 2023, compared to the three months ended March 31, 2022. This change was primarily driven by a $2.6 million increase in compensation expenses, mainly as a result of increased headcount, a $0.8 million increase in travel expenses, a $0.6 million increase in marketing and advertising expenses associated with the commercialization of Barostim in the U.S. and a $0.5 million increase in non-cash stock-based compensation expense.</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Interest expense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Interest expense increased $0.2 million for the three months ended March 31, 2023, compared to the three months ended March 31, 2022. This increase was driven by the interest expense on the Loan Agreement.</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Other income (expense), net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Other income, net was $1.1 million for the three months ended March 31, 2023, compared to other expense, net of $0.1 million for the three months ended March 31, 2022. The income in the first quarter of 2023 was primarily driven by interest income on our interest-bearing account.</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Provision for income taxes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Provision for income taxes was nominal for each of the three months ended March 31, 2023, and March 31, 2022.</w:t>
      </w:r>
    </w:p>
    <w:p>
      <w:pPr>
        <w:pStyle w:val="TextBody"/>
        <w:bidi w:val="0"/>
        <w:spacing w:before="0" w:after="240"/>
        <w:ind w:left="0" w:right="0" w:hanging="0"/>
        <w:jc w:val="left"/>
        <w:rPr/>
      </w:pPr>
      <w:r>
        <w:rPr/>
        <w:t>​</w:t>
      </w:r>
    </w:p>
    <w:p>
      <w:pPr>
        <w:pStyle w:val="TextBody"/>
        <w:pBdr/>
        <w:bidi w:val="0"/>
        <w:spacing w:before="0" w:after="240"/>
        <w:ind w:left="0" w:right="0" w:hanging="360"/>
        <w:jc w:val="left"/>
        <w:rPr>
          <w:rFonts w:ascii="Arial;Helvetica;sans-serif" w:hAnsi="Arial;Helvetica;sans-serif"/>
          <w:b/>
          <w:sz w:val="24"/>
        </w:rPr>
      </w:pPr>
      <w:r>
        <w:rPr>
          <w:rFonts w:ascii="Arial;Helvetica;sans-serif" w:hAnsi="Arial;Helvetica;sans-serif"/>
          <w:b/>
          <w:sz w:val="24"/>
        </w:rPr>
        <w:t>Liquidity, capital resources and plan of operations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We have incurred significant operating losses and negative cash flows from operations since our inception, and we anticipate that we will incur significant losses for at least the next several years. As of March 31, 2023 and December 31, 2022, we had cash and cash equivalents of $103.3 million and $106.2 million, respectively. </w:t>
      </w:r>
      <w:r>
        <w:rPr>
          <w:rFonts w:ascii="Arial;Helvetica;sans-serif" w:hAnsi="Arial;Helvetica;sans-serif"/>
          <w:sz w:val="20"/>
          <w:shd w:fill="FFFFFF" w:val="clear"/>
        </w:rPr>
        <w:t>For the three months ended March 31, 2023 and 2022, our net losses were $11.4 million and $10.0 million, respectively.</w:t>
      </w:r>
      <w:r>
        <w:rPr>
          <w:rFonts w:ascii="Arial;Helvetica;sans-serif" w:hAnsi="Arial;Helvetica;sans-serif"/>
          <w:sz w:val="20"/>
        </w:rPr>
        <w:t xml:space="preserve"> Our net cash used in operating activities for the three months ended March 31, 2023 and 2022 was $10.2 million and $10.6 million, respectively. </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On October 31, 2022, we entered into the Loan Agreement under which we may borrow, subject to our achievement of certain milestones, up to a total of $50.0 million in a series of term loans described in Note 4 to our consolidated financial statements included elsewhere in this Quarterly Report on Form 10-Q, and we borrowed $7.5 million of such total on that date to fund our commercial and investment efforts. On March 10, 2023, we borrowed the $7.5 million remaining under the first tranche of the Loan Agreement, </w:t>
      </w:r>
      <w:r>
        <w:rPr>
          <w:rFonts w:ascii="Arial;Helvetica;sans-serif" w:hAnsi="Arial;Helvetica;sans-serif"/>
          <w:sz w:val="20"/>
          <w:shd w:fill="FFFFFF" w:val="clear"/>
        </w:rPr>
        <w:t>with $4.0 million received on March 13, 2023 and $3.5 million received on March 15, 2023</w:t>
      </w:r>
      <w:r>
        <w:rPr>
          <w:rFonts w:ascii="Arial;Helvetica;sans-serif" w:hAnsi="Arial;Helvetica;sans-serif"/>
          <w:sz w:val="20"/>
        </w:rPr>
        <w:t xml:space="preserve">. </w:t>
      </w:r>
      <w:r>
        <w:rPr>
          <w:rFonts w:ascii="Arial;Helvetica;sans-serif" w:hAnsi="Arial;Helvetica;sans-serif"/>
          <w:sz w:val="20"/>
          <w:shd w:fill="FFFFFF" w:val="clear"/>
        </w:rPr>
        <w:t>Following this draw, we have $15.0 million in outstanding term loans under the Loan Agreement. The Loan Agreement provides for up to two additional tranches of loans totaling up to an additional $35.0 million, based on timing, the achievement of certain trailing three months revenue targets and other conditions set forth in the Loan Agreement.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On November 4, 2022, we entered into an Equity Distribution Agreement with Piper Sandler &amp; Co., as agent, under which we may offer and sell, from time to time at our sole discretion, shares of our common stock having an aggregate offering price of up to $50.0 million in an “at-the-market” or ATM offering, to or through the agent. As of March 31, 2023, no shares have been sold.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Our future liquidity and capital funding requirements will depend on numerous factors, including:</w:t>
      </w:r>
    </w:p>
    <w:tbl>
      <w:tblPr>
        <w:tblW w:w="6527" w:type="dxa"/>
        <w:jc w:val="left"/>
        <w:tblInd w:w="0" w:type="dxa"/>
        <w:tblLayout w:type="fixed"/>
        <w:tblCellMar>
          <w:top w:w="0" w:type="dxa"/>
          <w:left w:w="0" w:type="dxa"/>
          <w:bottom w:w="0" w:type="dxa"/>
          <w:right w:w="0" w:type="dxa"/>
        </w:tblCellMar>
      </w:tblPr>
      <w:tblGrid>
        <w:gridCol w:w="271"/>
        <w:gridCol w:w="6256"/>
      </w:tblGrid>
      <w:tr>
        <w:trPr/>
        <w:tc>
          <w:tcPr>
            <w:tcW w:w="271" w:type="dxa"/>
            <w:tcBorders/>
            <w:vAlign w:val="center"/>
          </w:tcPr>
          <w:p>
            <w:pPr>
              <w:pStyle w:val="TableContents"/>
              <w:bidi w:val="0"/>
              <w:spacing w:before="0" w:after="283"/>
              <w:jc w:val="left"/>
              <w:rPr>
                <w:color w:val="231F20"/>
              </w:rPr>
            </w:pPr>
            <w:r>
              <w:rPr>
                <w:color w:val="231F20"/>
              </w:rPr>
              <w:t>●</w:t>
            </w:r>
          </w:p>
        </w:tc>
        <w:tc>
          <w:tcPr>
            <w:tcW w:w="6256"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our investment in our U.S. commercial infrastructure and sales forces;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231F20"/>
              </w:rPr>
            </w:pPr>
            <w:r>
              <w:rPr>
                <w:color w:val="231F20"/>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degree and rate of market acceptance of Barostim and the ability for our customers to obtain appropriate levels of reimbursement;</w:t>
            </w:r>
          </w:p>
        </w:tc>
      </w:tr>
    </w:tbl>
    <w:tbl>
      <w:tblPr>
        <w:tblW w:w="9812" w:type="dxa"/>
        <w:jc w:val="left"/>
        <w:tblInd w:w="0" w:type="dxa"/>
        <w:tblLayout w:type="fixed"/>
        <w:tblCellMar>
          <w:top w:w="0" w:type="dxa"/>
          <w:left w:w="0" w:type="dxa"/>
          <w:bottom w:w="0" w:type="dxa"/>
          <w:right w:w="0" w:type="dxa"/>
        </w:tblCellMar>
      </w:tblPr>
      <w:tblGrid>
        <w:gridCol w:w="271"/>
        <w:gridCol w:w="9541"/>
      </w:tblGrid>
      <w:tr>
        <w:trPr/>
        <w:tc>
          <w:tcPr>
            <w:tcW w:w="271" w:type="dxa"/>
            <w:tcBorders/>
            <w:vAlign w:val="center"/>
          </w:tcPr>
          <w:p>
            <w:pPr>
              <w:pStyle w:val="TableContents"/>
              <w:bidi w:val="0"/>
              <w:spacing w:before="0" w:after="283"/>
              <w:jc w:val="left"/>
              <w:rPr>
                <w:color w:val="231F20"/>
              </w:rPr>
            </w:pPr>
            <w:r>
              <w:rPr>
                <w:color w:val="231F20"/>
              </w:rPr>
              <w:t>●</w:t>
            </w:r>
          </w:p>
        </w:tc>
        <w:tc>
          <w:tcPr>
            <w:tcW w:w="9541"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costs of commercialization activities, including product sales, marketing, manufacturing and distribution;</w:t>
            </w:r>
          </w:p>
        </w:tc>
      </w:tr>
    </w:tbl>
    <w:tbl>
      <w:tblPr>
        <w:tblW w:w="6992" w:type="dxa"/>
        <w:jc w:val="left"/>
        <w:tblInd w:w="0" w:type="dxa"/>
        <w:tblLayout w:type="fixed"/>
        <w:tblCellMar>
          <w:top w:w="0" w:type="dxa"/>
          <w:left w:w="0" w:type="dxa"/>
          <w:bottom w:w="0" w:type="dxa"/>
          <w:right w:w="0" w:type="dxa"/>
        </w:tblCellMar>
      </w:tblPr>
      <w:tblGrid>
        <w:gridCol w:w="271"/>
        <w:gridCol w:w="6721"/>
      </w:tblGrid>
      <w:tr>
        <w:trPr/>
        <w:tc>
          <w:tcPr>
            <w:tcW w:w="271" w:type="dxa"/>
            <w:tcBorders/>
            <w:vAlign w:val="center"/>
          </w:tcPr>
          <w:p>
            <w:pPr>
              <w:pStyle w:val="TableContents"/>
              <w:bidi w:val="0"/>
              <w:spacing w:before="0" w:after="283"/>
              <w:jc w:val="left"/>
              <w:rPr>
                <w:color w:val="231F20"/>
              </w:rPr>
            </w:pPr>
            <w:r>
              <w:rPr>
                <w:color w:val="231F20"/>
              </w:rPr>
              <w:t>●</w:t>
            </w:r>
          </w:p>
        </w:tc>
        <w:tc>
          <w:tcPr>
            <w:tcW w:w="6721"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our R&amp;D activities for product enhancements and to expand our indications;</w:t>
            </w:r>
          </w:p>
        </w:tc>
      </w:tr>
    </w:tbl>
    <w:tbl>
      <w:tblPr>
        <w:tblW w:w="10067" w:type="dxa"/>
        <w:jc w:val="left"/>
        <w:tblInd w:w="0" w:type="dxa"/>
        <w:tblLayout w:type="fixed"/>
        <w:tblCellMar>
          <w:top w:w="0" w:type="dxa"/>
          <w:left w:w="0" w:type="dxa"/>
          <w:bottom w:w="0" w:type="dxa"/>
          <w:right w:w="0" w:type="dxa"/>
        </w:tblCellMar>
      </w:tblPr>
      <w:tblGrid>
        <w:gridCol w:w="271"/>
        <w:gridCol w:w="9796"/>
      </w:tblGrid>
      <w:tr>
        <w:trPr/>
        <w:tc>
          <w:tcPr>
            <w:tcW w:w="271" w:type="dxa"/>
            <w:tcBorders/>
            <w:vAlign w:val="center"/>
          </w:tcPr>
          <w:p>
            <w:pPr>
              <w:pStyle w:val="TableContents"/>
              <w:bidi w:val="0"/>
              <w:spacing w:before="0" w:after="283"/>
              <w:jc w:val="left"/>
              <w:rPr>
                <w:color w:val="231F20"/>
              </w:rPr>
            </w:pPr>
            <w:r>
              <w:rPr>
                <w:color w:val="231F20"/>
              </w:rPr>
              <w:t>●</w:t>
            </w:r>
          </w:p>
        </w:tc>
        <w:tc>
          <w:tcPr>
            <w:tcW w:w="9796"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costs of filing, prosecuting, defending and enforcing any patent claims and other intellectual property rights;</w:t>
            </w:r>
          </w:p>
        </w:tc>
      </w:tr>
    </w:tbl>
    <w:tbl>
      <w:tblPr>
        <w:tblW w:w="6377" w:type="dxa"/>
        <w:jc w:val="left"/>
        <w:tblInd w:w="0" w:type="dxa"/>
        <w:tblLayout w:type="fixed"/>
        <w:tblCellMar>
          <w:top w:w="0" w:type="dxa"/>
          <w:left w:w="0" w:type="dxa"/>
          <w:bottom w:w="0" w:type="dxa"/>
          <w:right w:w="0" w:type="dxa"/>
        </w:tblCellMar>
      </w:tblPr>
      <w:tblGrid>
        <w:gridCol w:w="271"/>
        <w:gridCol w:w="6106"/>
      </w:tblGrid>
      <w:tr>
        <w:trPr/>
        <w:tc>
          <w:tcPr>
            <w:tcW w:w="271" w:type="dxa"/>
            <w:tcBorders/>
            <w:vAlign w:val="center"/>
          </w:tcPr>
          <w:p>
            <w:pPr>
              <w:pStyle w:val="TableContents"/>
              <w:bidi w:val="0"/>
              <w:spacing w:before="0" w:after="283"/>
              <w:jc w:val="left"/>
              <w:rPr>
                <w:color w:val="231F20"/>
              </w:rPr>
            </w:pPr>
            <w:r>
              <w:rPr>
                <w:color w:val="231F20"/>
              </w:rPr>
              <w:t>●</w:t>
            </w:r>
          </w:p>
        </w:tc>
        <w:tc>
          <w:tcPr>
            <w:tcW w:w="6106"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our need to implement additional infrastructure and internal systems;</w:t>
            </w:r>
          </w:p>
        </w:tc>
      </w:tr>
    </w:tbl>
    <w:tbl>
      <w:tblPr>
        <w:tblW w:w="8162" w:type="dxa"/>
        <w:jc w:val="left"/>
        <w:tblInd w:w="0" w:type="dxa"/>
        <w:tblLayout w:type="fixed"/>
        <w:tblCellMar>
          <w:top w:w="0" w:type="dxa"/>
          <w:left w:w="0" w:type="dxa"/>
          <w:bottom w:w="0" w:type="dxa"/>
          <w:right w:w="0" w:type="dxa"/>
        </w:tblCellMar>
      </w:tblPr>
      <w:tblGrid>
        <w:gridCol w:w="271"/>
        <w:gridCol w:w="7891"/>
      </w:tblGrid>
      <w:tr>
        <w:trPr/>
        <w:tc>
          <w:tcPr>
            <w:tcW w:w="271" w:type="dxa"/>
            <w:tcBorders/>
            <w:vAlign w:val="center"/>
          </w:tcPr>
          <w:p>
            <w:pPr>
              <w:pStyle w:val="TableContents"/>
              <w:bidi w:val="0"/>
              <w:spacing w:before="0" w:after="283"/>
              <w:jc w:val="left"/>
              <w:rPr>
                <w:color w:val="231F20"/>
              </w:rPr>
            </w:pPr>
            <w:r>
              <w:rPr>
                <w:color w:val="231F20"/>
              </w:rPr>
              <w:t>●</w:t>
            </w:r>
          </w:p>
        </w:tc>
        <w:tc>
          <w:tcPr>
            <w:tcW w:w="7891"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our ability to hire additional personnel to support our operations as a public company; and</w:t>
            </w:r>
          </w:p>
        </w:tc>
      </w:tr>
    </w:tbl>
    <w:tbl>
      <w:tblPr>
        <w:tblW w:w="7517" w:type="dxa"/>
        <w:jc w:val="left"/>
        <w:tblInd w:w="0" w:type="dxa"/>
        <w:tblLayout w:type="fixed"/>
        <w:tblCellMar>
          <w:top w:w="0" w:type="dxa"/>
          <w:left w:w="0" w:type="dxa"/>
          <w:bottom w:w="0" w:type="dxa"/>
          <w:right w:w="0" w:type="dxa"/>
        </w:tblCellMar>
      </w:tblPr>
      <w:tblGrid>
        <w:gridCol w:w="271"/>
        <w:gridCol w:w="7246"/>
      </w:tblGrid>
      <w:tr>
        <w:trPr/>
        <w:tc>
          <w:tcPr>
            <w:tcW w:w="271" w:type="dxa"/>
            <w:tcBorders/>
            <w:vAlign w:val="center"/>
          </w:tcPr>
          <w:p>
            <w:pPr>
              <w:pStyle w:val="TableContents"/>
              <w:bidi w:val="0"/>
              <w:spacing w:before="0" w:after="283"/>
              <w:jc w:val="left"/>
              <w:rPr>
                <w:color w:val="231F20"/>
              </w:rPr>
            </w:pPr>
            <w:r>
              <w:rPr>
                <w:color w:val="231F20"/>
              </w:rPr>
              <w:t>●</w:t>
            </w:r>
          </w:p>
        </w:tc>
        <w:tc>
          <w:tcPr>
            <w:tcW w:w="7246"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emergence of competing technologies or other adverse market developments.</w:t>
            </w:r>
          </w:p>
        </w:tc>
      </w:tr>
    </w:tbl>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believe that our existing cash resources and term loan facility together with revenue will be sufficient to meet our forecasted requirements for operating liquidity, capital expenditures and debt services for at least the next three years. If these sources are insufficient to satisfy our liquidity requirements, however, we may seek to sell additional equity or enter into an additional loan agreement. If we raise additional funds by issuing equity securities, our stockholders would experience dilution. Additional debt financing, if available, may involve covenants further restricting our operations or our ability to incur additional debt. Any such debt financing or additional equity that we raise may contain terms that are not favorable to us or our stockholders.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Additional financing may not be available at all or may only be available in amounts or on terms that we do not deem to be favorable. If we are unable to obtain additional financing when needed to satisfy our liquidity requirements, we may be required to delay the commercialization and marketing of Barostim.</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Cash flows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following table sets forth the primary sources and uses of cash for each of the periods indicated below:</w:t>
      </w:r>
    </w:p>
    <w:tbl>
      <w:tblPr>
        <w:tblW w:w="8352" w:type="dxa"/>
        <w:jc w:val="left"/>
        <w:tblInd w:w="0" w:type="dxa"/>
        <w:tblLayout w:type="fixed"/>
        <w:tblCellMar>
          <w:top w:w="0" w:type="dxa"/>
          <w:left w:w="0" w:type="dxa"/>
          <w:bottom w:w="0" w:type="dxa"/>
          <w:right w:w="0" w:type="dxa"/>
        </w:tblCellMar>
      </w:tblPr>
      <w:tblGrid>
        <w:gridCol w:w="5611"/>
        <w:gridCol w:w="326"/>
        <w:gridCol w:w="211"/>
        <w:gridCol w:w="811"/>
        <w:gridCol w:w="326"/>
        <w:gridCol w:w="211"/>
        <w:gridCol w:w="856"/>
      </w:tblGrid>
      <w:tr>
        <w:trPr/>
        <w:tc>
          <w:tcPr>
            <w:tcW w:w="5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3562985" cy="175260"/>
                      <wp:effectExtent l="0" t="0" r="0" b="0"/>
                      <wp:wrapNone/>
                      <wp:docPr id="154" name="Frame154"/>
                      <a:graphic xmlns:a="http://schemas.openxmlformats.org/drawingml/2006/main">
                        <a:graphicData uri="http://schemas.microsoft.com/office/word/2010/wordprocessingShape">
                          <wps:wsp>
                            <wps:cNvSpPr txBox="1"/>
                            <wps:spPr>
                              <a:xfrm>
                                <a:off x="0" y="0"/>
                                <a:ext cx="3562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155" name="Frame1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33985" cy="175260"/>
                      <wp:effectExtent l="0" t="0" r="0" b="0"/>
                      <wp:wrapNone/>
                      <wp:docPr id="156" name="Frame1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514985" cy="175260"/>
                      <wp:effectExtent l="0" t="0" r="0" b="0"/>
                      <wp:wrapNone/>
                      <wp:docPr id="157" name="Frame157"/>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07010" cy="175260"/>
                      <wp:effectExtent l="0" t="0" r="0" b="0"/>
                      <wp:wrapNone/>
                      <wp:docPr id="158" name="Frame1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33985" cy="175260"/>
                      <wp:effectExtent l="0" t="0" r="0" b="0"/>
                      <wp:wrapNone/>
                      <wp:docPr id="159" name="Frame1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543560" cy="175260"/>
                      <wp:effectExtent l="0" t="0" r="0" b="0"/>
                      <wp:wrapNone/>
                      <wp:docPr id="160" name="Frame160"/>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415" w:type="dxa"/>
            <w:gridSpan w:val="5"/>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r>
      <w:tr>
        <w:trPr/>
        <w:tc>
          <w:tcPr>
            <w:tcW w:w="56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15" w:type="dxa"/>
            <w:gridSpan w:val="5"/>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March 31</w:t>
            </w:r>
          </w:p>
        </w:tc>
      </w:tr>
      <w:tr>
        <w:trPr/>
        <w:tc>
          <w:tcPr>
            <w:tcW w:w="56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i/>
                <w:sz w:val="16"/>
              </w:rPr>
            </w:pPr>
            <w:r>
              <w:rPr>
                <w:rFonts w:ascii="Arial;Helvetica;sans-serif" w:hAnsi="Arial;Helvetica;sans-serif"/>
                <w:i/>
                <w:sz w:val="16"/>
              </w:rPr>
              <w:t>(unaudited)</w:t>
            </w:r>
          </w:p>
        </w:tc>
      </w:tr>
      <w:tr>
        <w:trPr/>
        <w:tc>
          <w:tcPr>
            <w:tcW w:w="561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i/>
                <w:sz w:val="16"/>
              </w:rPr>
            </w:pPr>
            <w:r>
              <w:rPr>
                <w:rFonts w:ascii="Arial;Helvetica;sans-serif" w:hAnsi="Arial;Helvetica;sans-serif"/>
                <w:i/>
                <w:sz w:val="16"/>
              </w:rPr>
              <w:t>(in thousands)</w:t>
            </w:r>
          </w:p>
        </w:tc>
        <w:tc>
          <w:tcPr>
            <w:tcW w:w="326" w:type="dxa"/>
            <w:tcBorders/>
            <w:vAlign w:val="center"/>
          </w:tcPr>
          <w:p>
            <w:pPr>
              <w:pStyle w:val="TableContents"/>
              <w:bidi w:val="0"/>
              <w:spacing w:before="0" w:after="0"/>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vAlign w:val="center"/>
          </w:tcPr>
          <w:p>
            <w:pPr>
              <w:pStyle w:val="TableContents"/>
              <w:bidi w:val="0"/>
              <w:spacing w:before="0" w:after="0"/>
              <w:ind w:left="0" w:right="0" w:hanging="0"/>
              <w:jc w:val="left"/>
              <w:rPr/>
            </w:pPr>
            <w:r>
              <w:rPr/>
              <w:t>    </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r>
      <w:tr>
        <w:trPr/>
        <w:tc>
          <w:tcPr>
            <w:tcW w:w="56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cash (used in) provided by:</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  </w:t>
            </w:r>
          </w:p>
        </w:tc>
      </w:tr>
      <w:tr>
        <w:trPr/>
        <w:tc>
          <w:tcPr>
            <w:tcW w:w="56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(10,249)</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(10,644)</w:t>
            </w:r>
          </w:p>
        </w:tc>
      </w:tr>
      <w:tr>
        <w:trPr/>
        <w:tc>
          <w:tcPr>
            <w:tcW w:w="56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(240)</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(293)</w:t>
            </w:r>
          </w:p>
        </w:tc>
      </w:tr>
      <w:tr>
        <w:trPr/>
        <w:tc>
          <w:tcPr>
            <w:tcW w:w="56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Financing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7,568</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w:t>
            </w:r>
          </w:p>
        </w:tc>
      </w:tr>
      <w:tr>
        <w:trPr/>
        <w:tc>
          <w:tcPr>
            <w:tcW w:w="56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Effect of exchange rate changes on 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w:t>
            </w:r>
          </w:p>
        </w:tc>
      </w:tr>
      <w:tr>
        <w:trPr/>
        <w:tc>
          <w:tcPr>
            <w:tcW w:w="56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change in cash and cash equivalents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(2,918)</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(10,895)</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Cash used in operating activities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Net cash used in operating activities for the three months ended March 31, 2023, was $10.2 million and consisted primarily of a net loss of $11.4 million and a decrease in net operating assets of $0.7 million, partially offset by a non-cash charge of $1.7 million related to stock-based compensation expense. Net operating assets consisted primarily of accounts receivable, inventory, prepaid expenses and other current assets, accounts payable and accrued expenses to support the growth of our operations. </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Net cash used in operating activities for the three months ended March 31, 2022 was $10.6 million </w:t>
      </w:r>
      <w:r>
        <w:rPr>
          <w:rFonts w:ascii="Arial;Helvetica;sans-serif" w:hAnsi="Arial;Helvetica;sans-serif"/>
          <w:sz w:val="20"/>
          <w:shd w:fill="FFFFFF" w:val="clear"/>
        </w:rPr>
        <w:t>and consisted primarily of a net loss of $10.0 million and a decrease in net operating assets of $1.5 million, partially offset by a non-cash charge of $0.8 million related to stock-based compensation expense. </w:t>
      </w:r>
      <w:r>
        <w:rPr>
          <w:rFonts w:ascii="Arial;Helvetica;sans-serif" w:hAnsi="Arial;Helvetica;sans-serif"/>
          <w:sz w:val="20"/>
        </w:rPr>
        <w:t>Net operating assets consisted primarily of inventory, accounts receivable, prepaid expenses, accounts payable and accrued expenses to support the growth of our operations.</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Cash used in investing activities: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Cash used in investing activities was $0.2 million and $0.3 million for each of the three months ended March 31, 2023 and 2022, respectively, and consisted of purchases of property and equipment.</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Cash provided by financing activities: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Net cash provided by financing activities for the three months ended March 31, 2023, was $7.6 million and consisted of $7.5 million related to the proceeds under the Loan Agreement and $0.1 million related to proceeds from the exercise of common stock options, partially offset by $0.1 million related to debt financing costs. </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shd w:fill="FFFFFF" w:val="clear"/>
        </w:rPr>
        <w:t xml:space="preserve">Net cash provided by financing activities was nominal for the three months ended </w:t>
      </w:r>
      <w:r>
        <w:rPr>
          <w:rFonts w:ascii="Arial;Helvetica;sans-serif" w:hAnsi="Arial;Helvetica;sans-serif"/>
          <w:sz w:val="20"/>
        </w:rPr>
        <w:t xml:space="preserve">March 31, 2022, and was entirely </w:t>
      </w:r>
      <w:r>
        <w:rPr>
          <w:rFonts w:ascii="Arial;Helvetica;sans-serif" w:hAnsi="Arial;Helvetica;sans-serif"/>
          <w:sz w:val="20"/>
          <w:shd w:fill="FFFFFF" w:val="clear"/>
        </w:rPr>
        <w:t>attributed to the proceeds from the exercise of common stock options.</w:t>
      </w:r>
    </w:p>
    <w:p>
      <w:pPr>
        <w:pStyle w:val="TextBody"/>
        <w:pBdr/>
        <w:bidi w:val="0"/>
        <w:spacing w:before="0" w:after="240"/>
        <w:ind w:left="0" w:right="0" w:hanging="360"/>
        <w:jc w:val="left"/>
        <w:rPr>
          <w:rFonts w:ascii="Arial;Helvetica;sans-serif" w:hAnsi="Arial;Helvetica;sans-serif"/>
          <w:b/>
          <w:sz w:val="24"/>
        </w:rPr>
      </w:pPr>
      <w:r>
        <w:rPr>
          <w:rFonts w:ascii="Arial;Helvetica;sans-serif" w:hAnsi="Arial;Helvetica;sans-serif"/>
          <w:b/>
          <w:sz w:val="24"/>
        </w:rPr>
        <w:t>Contractual obligations and commitments</w:t>
      </w:r>
    </w:p>
    <w:p>
      <w:pPr>
        <w:pStyle w:val="TextBody"/>
        <w:bidi w:val="0"/>
        <w:spacing w:before="0" w:after="240"/>
        <w:ind w:left="0" w:right="0" w:hanging="0"/>
        <w:jc w:val="left"/>
        <w:rPr>
          <w:rFonts w:ascii="Arial;Helvetica;sans-serif" w:hAnsi="Arial;Helvetica;sans-serif"/>
          <w:sz w:val="20"/>
          <w:shd w:fill="FFFFFF" w:val="clear"/>
        </w:rPr>
      </w:pPr>
      <w:r>
        <w:rPr>
          <w:rFonts w:ascii="Arial;Helvetica;sans-serif" w:hAnsi="Arial;Helvetica;sans-serif"/>
          <w:sz w:val="20"/>
          <w:shd w:fill="FFFFFF" w:val="clear"/>
        </w:rPr>
        <w:t>There have been no material changes to our contractual obligations as of March 31, 2023, as compared to those disclosed in our Annual Report on Form 10-K for the year ended December 31, 2022.</w:t>
      </w:r>
    </w:p>
    <w:p>
      <w:pPr>
        <w:pStyle w:val="TextBody"/>
        <w:pBdr/>
        <w:bidi w:val="0"/>
        <w:spacing w:before="0" w:after="240"/>
        <w:ind w:left="0" w:right="0" w:hanging="360"/>
        <w:jc w:val="left"/>
        <w:rPr>
          <w:rFonts w:ascii="Arial;Helvetica;sans-serif" w:hAnsi="Arial;Helvetica;sans-serif"/>
          <w:b/>
          <w:sz w:val="24"/>
        </w:rPr>
      </w:pPr>
      <w:r>
        <w:rPr>
          <w:rFonts w:ascii="Arial;Helvetica;sans-serif" w:hAnsi="Arial;Helvetica;sans-serif"/>
          <w:b/>
          <w:sz w:val="24"/>
        </w:rPr>
        <w:t>Critical accounting policies and estimates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For a discussion of our potential risks and uncertainties, see the information in</w:t>
      </w:r>
      <w:r>
        <w:rPr>
          <w:rFonts w:ascii="Arial;Helvetica;sans-serif" w:hAnsi="Arial;Helvetica;sans-serif"/>
          <w:sz w:val="20"/>
          <w:shd w:fill="FFFFFF" w:val="clear"/>
        </w:rPr>
        <w:t xml:space="preserve"> Part II, Item 7. “Management's Discussion and Analysis of Financial Condition and Results of Operations—Critical accounting policies and estimates" in our Annual Report on Form 10-K for the fiscal year ended December 31, 2022. We have </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shd w:fill="FFFFFF" w:val="clear"/>
        </w:rPr>
      </w:pPr>
      <w:r>
        <w:rPr>
          <w:rFonts w:ascii="Arial;Helvetica;sans-serif" w:hAnsi="Arial;Helvetica;sans-serif"/>
          <w:sz w:val="20"/>
          <w:shd w:fill="FFFFFF" w:val="clear"/>
        </w:rPr>
        <w:t>reviewed and determined that those critical accounting policies and estimates remain our critical accounting policies and estimates as of and for the three months ended March 31, 2023.</w:t>
      </w:r>
    </w:p>
    <w:p>
      <w:pPr>
        <w:pStyle w:val="TextBody"/>
        <w:pBdr/>
        <w:bidi w:val="0"/>
        <w:spacing w:before="0" w:after="240"/>
        <w:ind w:left="0" w:right="0" w:hanging="360"/>
        <w:jc w:val="left"/>
        <w:rPr>
          <w:rFonts w:ascii="Arial;Helvetica;sans-serif" w:hAnsi="Arial;Helvetica;sans-serif"/>
          <w:b/>
          <w:sz w:val="24"/>
        </w:rPr>
      </w:pPr>
      <w:r>
        <w:rPr>
          <w:rFonts w:ascii="Arial;Helvetica;sans-serif" w:hAnsi="Arial;Helvetica;sans-serif"/>
          <w:b/>
          <w:sz w:val="24"/>
        </w:rPr>
        <w:t>JOBS Act accounting election</w:t>
      </w:r>
    </w:p>
    <w:p>
      <w:pPr>
        <w:pStyle w:val="TextBody"/>
        <w:bidi w:val="0"/>
        <w:spacing w:before="0" w:after="240"/>
        <w:ind w:left="0" w:right="0" w:hanging="0"/>
        <w:jc w:val="left"/>
        <w:rPr>
          <w:rFonts w:ascii="Arial;Helvetica;sans-serif" w:hAnsi="Arial;Helvetica;sans-serif"/>
          <w:sz w:val="20"/>
          <w:shd w:fill="FFFFFF" w:val="clear"/>
        </w:rPr>
      </w:pPr>
      <w:r>
        <w:rPr>
          <w:rFonts w:ascii="Arial;Helvetica;sans-serif" w:hAnsi="Arial;Helvetica;sans-serif"/>
          <w:sz w:val="20"/>
          <w:shd w:fill="FFFFFF" w:val="clear"/>
        </w:rPr>
        <w:t>The JOBS Act permits an “emerging growth company” such as us to take advantage of an extended transition period to comply with new or revised accounting standards applicable to public companies until those standards would otherwise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pStyle w:val="TextBody"/>
        <w:pBdr/>
        <w:bidi w:val="0"/>
        <w:spacing w:before="0" w:after="240"/>
        <w:ind w:left="0" w:right="0" w:hanging="360"/>
        <w:jc w:val="left"/>
        <w:rPr>
          <w:rFonts w:ascii="Arial;Helvetica;sans-serif" w:hAnsi="Arial;Helvetica;sans-serif"/>
          <w:b/>
          <w:sz w:val="24"/>
        </w:rPr>
      </w:pPr>
      <w:r>
        <w:rPr>
          <w:rFonts w:ascii="Arial;Helvetica;sans-serif" w:hAnsi="Arial;Helvetica;sans-serif"/>
          <w:b/>
          <w:sz w:val="24"/>
        </w:rPr>
        <w:t>Recent accounting pronouncements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 discussion of recent accounting pronouncements is included in Note 2 to our condensed consolidated financial statements included elsewhere in this Quarterly Report on Form 10-Q.</w:t>
      </w:r>
    </w:p>
    <w:p>
      <w:pPr>
        <w:pStyle w:val="TextBody"/>
        <w:pBdr/>
        <w:bidi w:val="0"/>
        <w:spacing w:before="0" w:after="240"/>
        <w:ind w:left="0" w:right="0" w:hanging="360"/>
        <w:jc w:val="left"/>
        <w:rPr/>
      </w:pPr>
      <w:r>
        <w:rPr/>
        <w:t>​</w:t>
      </w:r>
    </w:p>
    <w:p>
      <w:pPr>
        <w:pStyle w:val="TextBody"/>
        <w:pBdr/>
        <w:bidi w:val="0"/>
        <w:spacing w:before="0" w:after="240"/>
        <w:ind w:left="0" w:right="0" w:hanging="360"/>
        <w:jc w:val="left"/>
        <w:rPr>
          <w:rFonts w:ascii="Arial;Helvetica;sans-serif" w:hAnsi="Arial;Helvetica;sans-serif"/>
          <w:b/>
          <w:sz w:val="24"/>
        </w:rPr>
      </w:pPr>
      <w:bookmarkStart w:id="665" w:name="Item3QuantitativeandQualitativeDisclosur"/>
      <w:bookmarkStart w:id="666" w:name="_2739564c_cf49_4c2f_8bed_623cccddbf5a"/>
      <w:bookmarkEnd w:id="665"/>
      <w:bookmarkEnd w:id="666"/>
      <w:r>
        <w:rPr>
          <w:rFonts w:ascii="Arial;Helvetica;sans-serif" w:hAnsi="Arial;Helvetica;sans-serif"/>
          <w:b/>
          <w:sz w:val="24"/>
        </w:rPr>
        <w:t>Item 3. Quantitative and Qualitative Disclosures About Market Risk</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Interest rate risk</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risk associated with fluctuating interest rates is primarily limited to our cash equivalents and debt issued under the Loan Agreement, which are carried at quoted market prices and the prime rate, respectively. We do not currently use or plan to use financial derivatives in our investment portfolio.</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Foreign currency exchange rate risk</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Portions of our revenue and operating expenses that are incurred outside the U.S. are denominated in foreign currencies and subject to fluctuations due to changes in foreign currency exchange rates, particularly changes in the Euro. Additionally, fluctuations in foreign currency exchange rates may cause us to recognize transaction gains and losses in our condensed consolidated statements of operations and comprehensive loss. To date, foreign currency transaction realized gains and losses have not been material to our condensed consolidated financial statements, and we have not engaged in any foreign currency hedging transactions. As our international operations grow, we will continue to reassess our approach to managing the risks relating to fluctuations in currency rates.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Inflation risk</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Inflationary factors, such as increases in our cost of goods sold and operating expenses, may adversely affect our operating results. Although we do not believe that inflation has had a material impact on our financial position or results of operations to date, a high rate of inflation in the future may have an adverse effect on our ability to maintain and increase our gross margin and selling and marketing and operating expenses as a percentage of our revenue if the selling prices of our products do not increase as much as or more than these increased costs.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Credit risk</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As of March 31, 2023 and December 31, 2022, our cash and cash equivalents were maintained with two financial institutions in the U.S., and our current deposits are likely in excess of insured limits. We believe these institutions have sufficient assets and liquidity to conduct their operations in the ordinary course of business with little or no credit risk to us.</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0" w:right="0" w:hanging="360"/>
        <w:jc w:val="left"/>
        <w:rPr/>
      </w:pPr>
      <w:r>
        <w:rPr/>
        <w:t>​</w:t>
      </w:r>
    </w:p>
    <w:p>
      <w:pPr>
        <w:pStyle w:val="TextBody"/>
        <w:pBdr/>
        <w:shd w:fill="FFFFFF" w:val="clear"/>
        <w:bidi w:val="0"/>
        <w:spacing w:before="0" w:after="0"/>
        <w:ind w:left="0" w:right="0" w:hanging="0"/>
        <w:jc w:val="left"/>
        <w:rPr>
          <w:rFonts w:ascii="Arial;Helvetica;sans-serif" w:hAnsi="Arial;Helvetica;sans-serif"/>
          <w:sz w:val="20"/>
        </w:rPr>
      </w:pPr>
      <w:bookmarkStart w:id="667" w:name="Item4ControlsandProcedures_977453"/>
      <w:bookmarkStart w:id="668" w:name="_959a99a4_cdc9_405b_9e40_c2a0589a6415"/>
      <w:bookmarkEnd w:id="667"/>
      <w:bookmarkEnd w:id="668"/>
      <w:r>
        <w:rPr>
          <w:rFonts w:ascii="Arial;Helvetica;sans-serif" w:hAnsi="Arial;Helvetica;sans-serif"/>
          <w:b/>
          <w:sz w:val="24"/>
        </w:rPr>
        <w:t>Item 4. Controls and Procedures</w:t>
      </w:r>
      <w:r>
        <w:rPr>
          <w:rFonts w:ascii="Arial;Helvetica;sans-serif" w:hAnsi="Arial;Helvetica;sans-serif"/>
          <w:sz w:val="20"/>
        </w:rPr>
        <w:t xml:space="preserve"> </w:t>
      </w:r>
    </w:p>
    <w:p>
      <w:pPr>
        <w:pStyle w:val="TextBody"/>
        <w:pBdr/>
        <w:shd w:fill="FFFFFF" w:val="clear"/>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Evaluation of disclosure controls and procedures</w:t>
      </w:r>
    </w:p>
    <w:p>
      <w:pPr>
        <w:pStyle w:val="TextBody"/>
        <w:pBdr/>
        <w:shd w:fill="FFFFFF" w:val="clear"/>
        <w:bidi w:val="0"/>
        <w:spacing w:before="0" w:after="0"/>
        <w:ind w:left="0" w:right="0" w:hanging="0"/>
        <w:jc w:val="left"/>
        <w:rPr>
          <w:rFonts w:ascii="Arial;Helvetica;sans-serif" w:hAnsi="Arial;Helvetica;sans-serif"/>
          <w:sz w:val="20"/>
        </w:rPr>
      </w:pPr>
      <w:r>
        <w:rPr>
          <w:rFonts w:ascii="Arial;Helvetica;sans-serif" w:hAnsi="Arial;Helvetica;sans-serif"/>
          <w:sz w:val="20"/>
        </w:rPr>
        <w:t>The term “disclosure controls and procedures,” as defined in Rules 13a-15(e) and 15d-15(e) under the Exchange Act, refers to controls and other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management, with the participation of our chief executive officer and our chief financial officer, evaluated the effectiveness of our disclosure controls and procedures as of the end of the period covered by this Quarterly Report on Form 10-Q. Based on that evaluation, our chief executive officer and our chief financial officer concluded that our disclosure controls and procedures were effective, at the reasonable assurance level, as of the end of the period covered by this Quarterly Report on Form 10-Q.</w:t>
      </w:r>
    </w:p>
    <w:p>
      <w:pPr>
        <w:pStyle w:val="TextBody"/>
        <w:shd w:fill="FFFFFF" w:val="clear"/>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Changes in internal control over financial reporting</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There were no changes in our internal control over financial reporting (as defined in Rules 13a-15(f) and 15d-15(f) under the Exchange Act) that occurred during the quarter ended March 31, 2023, that have materially affected, or are reasonably likely to materially affect, our internal control over financial reporting.</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4"/>
        </w:rPr>
      </w:pPr>
      <w:bookmarkStart w:id="669" w:name="PARTIIOTHERINFORMATION_131464"/>
      <w:bookmarkStart w:id="670" w:name="_de62d315_0d22_40e9_a0de_33ba8340f4a4"/>
      <w:bookmarkEnd w:id="669"/>
      <w:bookmarkEnd w:id="670"/>
      <w:r>
        <w:rPr>
          <w:rFonts w:ascii="Arial;Helvetica;sans-serif" w:hAnsi="Arial;Helvetica;sans-serif"/>
          <w:b/>
          <w:sz w:val="24"/>
        </w:rPr>
        <w:t>PART II — OTHER INFORMATION</w:t>
      </w:r>
    </w:p>
    <w:p>
      <w:pPr>
        <w:pStyle w:val="TextBody"/>
        <w:pBdr/>
        <w:bidi w:val="0"/>
        <w:spacing w:before="0" w:after="240"/>
        <w:ind w:left="0" w:right="0" w:hanging="360"/>
        <w:jc w:val="left"/>
        <w:rPr/>
      </w:pPr>
      <w:r>
        <w:rPr/>
        <w:t>​</w:t>
      </w:r>
    </w:p>
    <w:p>
      <w:pPr>
        <w:pStyle w:val="TextBody"/>
        <w:bidi w:val="0"/>
        <w:spacing w:before="0" w:after="120"/>
        <w:ind w:left="0" w:right="0" w:hanging="0"/>
        <w:jc w:val="left"/>
        <w:rPr>
          <w:rFonts w:ascii="Arial;Helvetica;sans-serif" w:hAnsi="Arial;Helvetica;sans-serif"/>
          <w:b/>
          <w:sz w:val="24"/>
        </w:rPr>
      </w:pPr>
      <w:bookmarkStart w:id="671" w:name="Item1LegalProceedings_54821"/>
      <w:bookmarkStart w:id="672" w:name="_89c1bf7a_3919_4a62_9a65_d030e7bd36e3"/>
      <w:bookmarkEnd w:id="671"/>
      <w:bookmarkEnd w:id="672"/>
      <w:r>
        <w:rPr>
          <w:rFonts w:ascii="Arial;Helvetica;sans-serif" w:hAnsi="Arial;Helvetica;sans-serif"/>
          <w:b/>
          <w:sz w:val="24"/>
        </w:rPr>
        <w:t>Item 1. Legal Proceedings</w:t>
      </w:r>
    </w:p>
    <w:p>
      <w:pPr>
        <w:pStyle w:val="TextBody"/>
        <w:bidi w:val="0"/>
        <w:spacing w:before="0" w:after="0"/>
        <w:ind w:left="0" w:right="0" w:hanging="0"/>
        <w:jc w:val="left"/>
        <w:rPr>
          <w:rFonts w:ascii="Arial;Helvetica;sans-serif" w:hAnsi="Arial;Helvetica;sans-serif"/>
          <w:spacing w:val="5"/>
          <w:sz w:val="20"/>
        </w:rPr>
      </w:pPr>
      <w:r>
        <w:rPr>
          <w:rFonts w:ascii="Arial;Helvetica;sans-serif" w:hAnsi="Arial;Helvetica;sans-serif"/>
          <w:spacing w:val="5"/>
          <w:sz w:val="20"/>
        </w:rPr>
        <w:t>From time to time, we may become involved in legal proceedings or be subject to claims arising in the ordinary course of our business. We are not currently a party to any material legal proceedings.</w:t>
      </w:r>
    </w:p>
    <w:p>
      <w:pPr>
        <w:pStyle w:val="TextBody"/>
        <w:pBdr/>
        <w:bidi w:val="0"/>
        <w:spacing w:before="0" w:after="240"/>
        <w:ind w:left="0" w:right="0" w:hanging="360"/>
        <w:jc w:val="left"/>
        <w:rPr/>
      </w:pPr>
      <w:r>
        <w:rPr/>
        <w:t>​</w:t>
      </w:r>
    </w:p>
    <w:p>
      <w:pPr>
        <w:pStyle w:val="TextBody"/>
        <w:bidi w:val="0"/>
        <w:spacing w:before="0" w:after="120"/>
        <w:ind w:left="0" w:right="0" w:hanging="0"/>
        <w:jc w:val="left"/>
        <w:rPr>
          <w:rFonts w:ascii="Arial;Helvetica;sans-serif" w:hAnsi="Arial;Helvetica;sans-serif"/>
          <w:b/>
          <w:sz w:val="24"/>
        </w:rPr>
      </w:pPr>
      <w:bookmarkStart w:id="673" w:name="Item1ARiskFactors_131460"/>
      <w:bookmarkStart w:id="674" w:name="_db699a5b_9739_429e_a65b_acd60632b9e7"/>
      <w:bookmarkEnd w:id="673"/>
      <w:bookmarkEnd w:id="674"/>
      <w:r>
        <w:rPr>
          <w:rFonts w:ascii="Arial;Helvetica;sans-serif" w:hAnsi="Arial;Helvetica;sans-serif"/>
          <w:b/>
          <w:sz w:val="24"/>
        </w:rPr>
        <w:t>Item 1A. Risk Factors</w:t>
      </w:r>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sz w:val="20"/>
        </w:rPr>
        <w:t>For a discussion of our potential risks and uncertainties, see the information in Part I, Item IA. “Risk Factors” in our Annual Report on Form 10-K for the year ended December 31, 2022. Other than the risk factors set forth below, there have been no material changes to the risk factors disclosed in our Annual Report on Form 10-K.</w:t>
      </w:r>
    </w:p>
    <w:p>
      <w:pPr>
        <w:pStyle w:val="TextBody"/>
        <w:bidi w:val="0"/>
        <w:spacing w:before="0" w:after="120"/>
        <w:ind w:left="60" w:right="499" w:hanging="0"/>
        <w:jc w:val="left"/>
        <w:rPr>
          <w:rFonts w:ascii="Arial;Helvetica;sans-serif" w:hAnsi="Arial;Helvetica;sans-serif"/>
          <w:b/>
          <w:i/>
          <w:color w:val="231F20"/>
          <w:sz w:val="20"/>
        </w:rPr>
      </w:pPr>
      <w:bookmarkStart w:id="675" w:name="_Hlk133594143"/>
      <w:bookmarkEnd w:id="675"/>
      <w:r>
        <w:rPr>
          <w:rFonts w:ascii="Arial;Helvetica;sans-serif" w:hAnsi="Arial;Helvetica;sans-serif"/>
          <w:b/>
          <w:i/>
          <w:color w:val="231F20"/>
          <w:sz w:val="20"/>
        </w:rPr>
        <w:t>If clinical studies for future indications do not produce results necessary to support regulatory clearance or approval in the U.S. or elsewhere, we will be unable to commercialize our products for these indications.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will likely need to conduct additional clinical studies in the future to support approval for new indications. For example, in February of 2023, we were unblinded to the morbidity and mortality data from the BeAT-HF pivotal trial that began in 2016. While the trial did not reach statistical significance on the primary endpoint, it did contain additional clinically meaningful prespecified analyses favoring Barostim. Accordingly, we anticipate making a regulatory submission to the FDA for expanded labeling; however, the timing and scope of any such expansion is currently uncertain.</w:t>
      </w:r>
    </w:p>
    <w:p>
      <w:pPr>
        <w:pStyle w:val="TextBody"/>
        <w:bidi w:val="0"/>
        <w:spacing w:before="0" w:after="120"/>
        <w:ind w:left="60" w:right="99" w:hanging="0"/>
        <w:jc w:val="left"/>
        <w:rPr>
          <w:rFonts w:ascii="Arial;Helvetica;sans-serif" w:hAnsi="Arial;Helvetica;sans-serif"/>
          <w:sz w:val="20"/>
        </w:rPr>
      </w:pPr>
      <w:r>
        <w:rPr>
          <w:rFonts w:ascii="Arial;Helvetica;sans-serif" w:hAnsi="Arial;Helvetica;sans-serif"/>
          <w:sz w:val="20"/>
        </w:rPr>
        <w:t>More generally, clinical testing takes many years, is expensive and carries uncertain outcomes. The initiation and completion of studies may be prevented, delayed, or halted for numerous reasons, including, but not limited to, the following:</w:t>
      </w:r>
    </w:p>
    <w:tbl>
      <w:tblPr>
        <w:tblW w:w="10205" w:type="dxa"/>
        <w:jc w:val="left"/>
        <w:tblInd w:w="0" w:type="dxa"/>
        <w:tblLayout w:type="fixed"/>
        <w:tblCellMar>
          <w:top w:w="28" w:type="dxa"/>
          <w:left w:w="28" w:type="dxa"/>
          <w:bottom w:w="28" w:type="dxa"/>
          <w:right w:w="28" w:type="dxa"/>
        </w:tblCellMar>
      </w:tblPr>
      <w:tblGrid>
        <w:gridCol w:w="124"/>
        <w:gridCol w:w="196"/>
        <w:gridCol w:w="973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7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FDA, institutional review boards (“IRBs”), ethics committees, European Union (“EU”) competent authorities or other regulatory authorities do not approve a clinical study protocol, force us to modify a previously approved protocol, or place a clinical study on hold;</w:t>
            </w:r>
          </w:p>
        </w:tc>
        <w:tc>
          <w:tcPr>
            <w:tcW w:w="154" w:type="dxa"/>
            <w:tcBorders/>
            <w:vAlign w:val="center"/>
          </w:tcPr>
          <w:p>
            <w:pPr>
              <w:pStyle w:val="TableContents"/>
              <w:bidi w:val="0"/>
              <w:spacing w:before="0" w:after="283"/>
              <w:jc w:val="left"/>
              <w:rPr>
                <w:sz w:val="4"/>
                <w:szCs w:val="4"/>
              </w:rPr>
            </w:pPr>
            <w:r>
              <w:rPr>
                <w:sz w:val="4"/>
                <w:szCs w:val="4"/>
              </w:rPr>
            </w:r>
          </w:p>
        </w:tc>
      </w:tr>
    </w:tbl>
    <w:tbl>
      <w:tblPr>
        <w:tblW w:w="9141" w:type="dxa"/>
        <w:jc w:val="left"/>
        <w:tblInd w:w="0" w:type="dxa"/>
        <w:tblLayout w:type="fixed"/>
        <w:tblCellMar>
          <w:top w:w="28" w:type="dxa"/>
          <w:left w:w="28" w:type="dxa"/>
          <w:bottom w:w="28" w:type="dxa"/>
          <w:right w:w="28" w:type="dxa"/>
        </w:tblCellMar>
      </w:tblPr>
      <w:tblGrid>
        <w:gridCol w:w="124"/>
        <w:gridCol w:w="196"/>
        <w:gridCol w:w="8821"/>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882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patients do not enroll in, or enroll at a lower rate than we expect, or do not complete a clinical study;</w:t>
            </w:r>
          </w:p>
        </w:tc>
      </w:tr>
    </w:tbl>
    <w:tbl>
      <w:tblPr>
        <w:tblW w:w="5706" w:type="dxa"/>
        <w:jc w:val="left"/>
        <w:tblInd w:w="0" w:type="dxa"/>
        <w:tblLayout w:type="fixed"/>
        <w:tblCellMar>
          <w:top w:w="28" w:type="dxa"/>
          <w:left w:w="28" w:type="dxa"/>
          <w:bottom w:w="28" w:type="dxa"/>
          <w:right w:w="28" w:type="dxa"/>
        </w:tblCellMar>
      </w:tblPr>
      <w:tblGrid>
        <w:gridCol w:w="124"/>
        <w:gridCol w:w="196"/>
        <w:gridCol w:w="5386"/>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538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patients or investigators do not comply with study protocols;</w:t>
            </w:r>
          </w:p>
        </w:tc>
      </w:tr>
    </w:tbl>
    <w:tbl>
      <w:tblPr>
        <w:tblW w:w="6606" w:type="dxa"/>
        <w:jc w:val="left"/>
        <w:tblInd w:w="0" w:type="dxa"/>
        <w:tblLayout w:type="fixed"/>
        <w:tblCellMar>
          <w:top w:w="28" w:type="dxa"/>
          <w:left w:w="28" w:type="dxa"/>
          <w:bottom w:w="28" w:type="dxa"/>
          <w:right w:w="28" w:type="dxa"/>
        </w:tblCellMar>
      </w:tblPr>
      <w:tblGrid>
        <w:gridCol w:w="124"/>
        <w:gridCol w:w="196"/>
        <w:gridCol w:w="6286"/>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628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patients do not return for post-treatment follow-up at the expected rate;</w:t>
            </w:r>
          </w:p>
        </w:tc>
      </w:tr>
    </w:tbl>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988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patients experience serious or unexpected adverse side effects for a variety of reasons that may or may not be related to our products, such as the advanced stage of co-morbidities that may exist at the time of treatment, causing a clinical study to be put on hold;</w:t>
            </w:r>
          </w:p>
        </w:tc>
      </w:tr>
    </w:tbl>
    <w:tbl>
      <w:tblPr>
        <w:tblW w:w="8211" w:type="dxa"/>
        <w:jc w:val="left"/>
        <w:tblInd w:w="0" w:type="dxa"/>
        <w:tblLayout w:type="fixed"/>
        <w:tblCellMar>
          <w:top w:w="28" w:type="dxa"/>
          <w:left w:w="28" w:type="dxa"/>
          <w:bottom w:w="28" w:type="dxa"/>
          <w:right w:w="28" w:type="dxa"/>
        </w:tblCellMar>
      </w:tblPr>
      <w:tblGrid>
        <w:gridCol w:w="124"/>
        <w:gridCol w:w="196"/>
        <w:gridCol w:w="7891"/>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78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sites participating in an ongoing clinical study withdraw, requiring us to engage new sites;</w:t>
            </w:r>
          </w:p>
        </w:tc>
      </w:tr>
    </w:tbl>
    <w:tbl>
      <w:tblPr>
        <w:tblW w:w="6801" w:type="dxa"/>
        <w:jc w:val="left"/>
        <w:tblInd w:w="0" w:type="dxa"/>
        <w:tblLayout w:type="fixed"/>
        <w:tblCellMar>
          <w:top w:w="28" w:type="dxa"/>
          <w:left w:w="28" w:type="dxa"/>
          <w:bottom w:w="28" w:type="dxa"/>
          <w:right w:w="28" w:type="dxa"/>
        </w:tblCellMar>
      </w:tblPr>
      <w:tblGrid>
        <w:gridCol w:w="124"/>
        <w:gridCol w:w="196"/>
        <w:gridCol w:w="6481"/>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648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difficulties or delays associated with establishing additional clinical sites;</w:t>
            </w:r>
          </w:p>
        </w:tc>
      </w:tr>
    </w:tbl>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8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third-party clinical investigators decline to participate in our clinical studies, do not perform the clinical</w:t>
            </w:r>
            <w:r>
              <w:rPr>
                <w:caps w:val="false"/>
                <w:smallCaps w:val="false"/>
                <w:color w:val="231F20"/>
              </w:rPr>
              <w:t xml:space="preserve"> </w:t>
            </w:r>
            <w:r>
              <w:rPr>
                <w:rFonts w:ascii="Arial;Helvetica;sans-serif" w:hAnsi="Arial;Helvetica;sans-serif"/>
                <w:b w:val="false"/>
                <w:i w:val="false"/>
                <w:caps w:val="false"/>
                <w:smallCaps w:val="false"/>
                <w:sz w:val="20"/>
              </w:rPr>
              <w:t>studies on the anticipated schedule, or perform in a manner inconsistent with the investigator agreement, clinical study protocol, good clinical practices, other FDA, IRB or ethics committee requirements and EEA member state or other foreign regulations governing clinical trials;</w:t>
            </w:r>
          </w:p>
        </w:tc>
      </w:tr>
    </w:tbl>
    <w:tbl>
      <w:tblPr>
        <w:tblW w:w="9111" w:type="dxa"/>
        <w:jc w:val="left"/>
        <w:tblInd w:w="0" w:type="dxa"/>
        <w:tblLayout w:type="fixed"/>
        <w:tblCellMar>
          <w:top w:w="28" w:type="dxa"/>
          <w:left w:w="28" w:type="dxa"/>
          <w:bottom w:w="28" w:type="dxa"/>
          <w:right w:w="28" w:type="dxa"/>
        </w:tblCellMar>
      </w:tblPr>
      <w:tblGrid>
        <w:gridCol w:w="124"/>
        <w:gridCol w:w="196"/>
        <w:gridCol w:w="8791"/>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87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third-party organizations do not perform data collection and analysis in a timely or accurate manner;</w:t>
            </w:r>
          </w:p>
        </w:tc>
      </w:tr>
    </w:tbl>
    <w:tbl>
      <w:tblPr>
        <w:tblW w:w="10205" w:type="dxa"/>
        <w:jc w:val="left"/>
        <w:tblInd w:w="0" w:type="dxa"/>
        <w:tblLayout w:type="fixed"/>
        <w:tblCellMar>
          <w:top w:w="28" w:type="dxa"/>
          <w:left w:w="28" w:type="dxa"/>
          <w:bottom w:w="28" w:type="dxa"/>
          <w:right w:w="28" w:type="dxa"/>
        </w:tblCellMar>
      </w:tblPr>
      <w:tblGrid>
        <w:gridCol w:w="124"/>
        <w:gridCol w:w="196"/>
        <w:gridCol w:w="973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7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regulatory inspections of our clinical studies or manufacturing facilities require us to undertake corrective action or suspend or terminate our clinical studies;</w:t>
            </w:r>
          </w:p>
        </w:tc>
        <w:tc>
          <w:tcPr>
            <w:tcW w:w="154" w:type="dxa"/>
            <w:tcBorders/>
            <w:vAlign w:val="center"/>
          </w:tcPr>
          <w:p>
            <w:pPr>
              <w:pStyle w:val="TableContents"/>
              <w:bidi w:val="0"/>
              <w:spacing w:before="0" w:after="283"/>
              <w:jc w:val="left"/>
              <w:rPr>
                <w:sz w:val="4"/>
                <w:szCs w:val="4"/>
              </w:rPr>
            </w:pPr>
            <w:r>
              <w:rPr>
                <w:sz w:val="4"/>
                <w:szCs w:val="4"/>
              </w:rPr>
            </w:r>
          </w:p>
        </w:tc>
      </w:tr>
    </w:tbl>
    <w:tbl>
      <w:tblPr>
        <w:tblW w:w="7611" w:type="dxa"/>
        <w:jc w:val="left"/>
        <w:tblInd w:w="0" w:type="dxa"/>
        <w:tblLayout w:type="fixed"/>
        <w:tblCellMar>
          <w:top w:w="28" w:type="dxa"/>
          <w:left w:w="28" w:type="dxa"/>
          <w:bottom w:w="28" w:type="dxa"/>
          <w:right w:w="28" w:type="dxa"/>
        </w:tblCellMar>
      </w:tblPr>
      <w:tblGrid>
        <w:gridCol w:w="124"/>
        <w:gridCol w:w="196"/>
        <w:gridCol w:w="7291"/>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72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changes in federal, state, or foreign governmental statutes, regulations or policies;</w:t>
            </w:r>
          </w:p>
        </w:tc>
      </w:tr>
    </w:tbl>
    <w:tbl>
      <w:tblPr>
        <w:tblW w:w="8796" w:type="dxa"/>
        <w:jc w:val="left"/>
        <w:tblInd w:w="0" w:type="dxa"/>
        <w:tblLayout w:type="fixed"/>
        <w:tblCellMar>
          <w:top w:w="28" w:type="dxa"/>
          <w:left w:w="28" w:type="dxa"/>
          <w:bottom w:w="28" w:type="dxa"/>
          <w:right w:w="28" w:type="dxa"/>
        </w:tblCellMar>
      </w:tblPr>
      <w:tblGrid>
        <w:gridCol w:w="124"/>
        <w:gridCol w:w="196"/>
        <w:gridCol w:w="8476"/>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847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interim results are inconclusive or unfavorable as to immediate and long-term safety or efficacy;</w:t>
            </w:r>
          </w:p>
        </w:tc>
      </w:tr>
    </w:tbl>
    <w:tbl>
      <w:tblPr>
        <w:tblW w:w="6501" w:type="dxa"/>
        <w:jc w:val="left"/>
        <w:tblInd w:w="0" w:type="dxa"/>
        <w:tblLayout w:type="fixed"/>
        <w:tblCellMar>
          <w:top w:w="28" w:type="dxa"/>
          <w:left w:w="28" w:type="dxa"/>
          <w:bottom w:w="28" w:type="dxa"/>
          <w:right w:w="28" w:type="dxa"/>
        </w:tblCellMar>
      </w:tblPr>
      <w:tblGrid>
        <w:gridCol w:w="124"/>
        <w:gridCol w:w="196"/>
        <w:gridCol w:w="6181"/>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618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study design is inadequate to demonstrate safety and efficacy; or</w:t>
            </w:r>
          </w:p>
        </w:tc>
      </w:tr>
    </w:tbl>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3651" w:type="dxa"/>
        <w:jc w:val="left"/>
        <w:tblInd w:w="0" w:type="dxa"/>
        <w:tblLayout w:type="fixed"/>
        <w:tblCellMar>
          <w:top w:w="28" w:type="dxa"/>
          <w:left w:w="28" w:type="dxa"/>
          <w:bottom w:w="28" w:type="dxa"/>
          <w:right w:w="28" w:type="dxa"/>
        </w:tblCellMar>
      </w:tblPr>
      <w:tblGrid>
        <w:gridCol w:w="124"/>
        <w:gridCol w:w="196"/>
        <w:gridCol w:w="3331"/>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33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statistical endpoints are not met.</w:t>
            </w:r>
          </w:p>
        </w:tc>
      </w:tr>
    </w:tbl>
    <w:p>
      <w:pPr>
        <w:pStyle w:val="TextBody"/>
        <w:bidi w:val="0"/>
        <w:spacing w:before="0" w:after="120"/>
        <w:ind w:left="60" w:right="99" w:hanging="0"/>
        <w:jc w:val="left"/>
        <w:rPr>
          <w:rFonts w:ascii="Arial;Helvetica;sans-serif" w:hAnsi="Arial;Helvetica;sans-serif"/>
          <w:sz w:val="20"/>
        </w:rPr>
      </w:pPr>
      <w:r>
        <w:rPr>
          <w:rFonts w:ascii="Arial;Helvetica;sans-serif" w:hAnsi="Arial;Helvetica;sans-serif"/>
          <w:sz w:val="20"/>
        </w:rPr>
        <w:t>Clinical trials can fail at any stage. Our clinical studies may produce negative or inconclusive results and we may decide, or regulators may require us, to conduct additional clinical or non-clinical studies in addition to those we have planned. The impacts of the COVID-19 pandemic, which may have affected certain participants in the post-market pivotal trial, are unknown, but they may exacerbate certain risks described above. In addition, if the FDA determines for any reason, including safety or their risk-benefit analysis, that the results of a trial are negative, the FDA may decide to modify or revoke our existing approval or such data may impact the adoption of Barostim. Moreover, a negative perception of clinical results for one indication for use could impact the use of Barostim for other FDA approved and clinically supported indications for use.</w:t>
      </w:r>
    </w:p>
    <w:p>
      <w:pPr>
        <w:pStyle w:val="TextBody"/>
        <w:bidi w:val="0"/>
        <w:spacing w:before="0" w:after="120"/>
        <w:ind w:left="60" w:right="139" w:hanging="0"/>
        <w:jc w:val="left"/>
        <w:rPr>
          <w:rFonts w:ascii="Arial;Helvetica;sans-serif" w:hAnsi="Arial;Helvetica;sans-serif"/>
          <w:sz w:val="20"/>
        </w:rPr>
      </w:pPr>
      <w:r>
        <w:rPr>
          <w:rFonts w:ascii="Arial;Helvetica;sans-serif" w:hAnsi="Arial;Helvetica;sans-serif"/>
          <w:sz w:val="20"/>
        </w:rPr>
        <w:t>We could also encounter delays if the FDA concludes that our financial relationships with investigators result in a perceived or actual conflict of interest that may have affected the interpretation of a study, the integrity of the data generated at the applicable clinical trial site or the utility of the clinical trial itself. Principal investigators for our clinical trials may serve as scientific advisors or consultants to us from time to time and receive compensation in connection with such services. If these relationships and any related compensation to or ownership interest by the clinical investigator carrying out the study result in perceived or actual conflicts of interest, or if the FDA concludes that the financial relationship may have affected interpretation of the study, the integrity of the data generated at the applicable clinical trial site may be questioned and the utility of the clinical trial itself may be jeopardized.</w:t>
      </w:r>
    </w:p>
    <w:p>
      <w:pPr>
        <w:pStyle w:val="TextBody"/>
        <w:bidi w:val="0"/>
        <w:spacing w:before="0" w:after="120"/>
        <w:ind w:left="60" w:right="199" w:hanging="0"/>
        <w:jc w:val="left"/>
        <w:rPr>
          <w:rFonts w:ascii="Arial;Helvetica;sans-serif" w:hAnsi="Arial;Helvetica;sans-serif"/>
          <w:sz w:val="20"/>
        </w:rPr>
      </w:pPr>
      <w:r>
        <w:rPr>
          <w:rFonts w:ascii="Arial;Helvetica;sans-serif" w:hAnsi="Arial;Helvetica;sans-serif"/>
          <w:sz w:val="20"/>
        </w:rPr>
        <w:t>Even if our products are approved in the U.S. and the EEA, comparable regulatory authorities of additional foreign countries must also approve the manufacturing and marketing of our products in those countries. Approval procedures vary among jurisdictions and can involve requirements and administrative review periods different from, and greater than, those in the U.S. or the EEA, including additional preclinical studies or clinical trials. Any of these occurrences may harm our business, financial condition and prospects significantly.</w:t>
      </w:r>
    </w:p>
    <w:p>
      <w:pPr>
        <w:pStyle w:val="TextBody"/>
        <w:bidi w:val="0"/>
        <w:spacing w:before="0" w:after="120"/>
        <w:ind w:left="60" w:right="179" w:hanging="0"/>
        <w:jc w:val="left"/>
        <w:rPr>
          <w:rFonts w:ascii="Arial;Helvetica;sans-serif" w:hAnsi="Arial;Helvetica;sans-serif"/>
          <w:b/>
          <w:i/>
          <w:color w:val="231F20"/>
          <w:sz w:val="20"/>
        </w:rPr>
      </w:pPr>
      <w:r>
        <w:rPr>
          <w:rFonts w:ascii="Arial;Helvetica;sans-serif" w:hAnsi="Arial;Helvetica;sans-serif"/>
          <w:b/>
          <w:i/>
          <w:color w:val="231F20"/>
          <w:sz w:val="20"/>
        </w:rPr>
        <w:t>Barostim is also subject to extensive governmental regulation in foreign jurisdictions, such as Europe, and our failure to comply with applicable requirements could cause our business to suffer.</w:t>
      </w:r>
    </w:p>
    <w:p>
      <w:pPr>
        <w:pStyle w:val="TextBody"/>
        <w:bidi w:val="0"/>
        <w:spacing w:before="0" w:after="120"/>
        <w:ind w:left="60" w:right="119" w:hanging="0"/>
        <w:jc w:val="left"/>
        <w:rPr>
          <w:rFonts w:ascii="Arial;Helvetica;sans-serif" w:hAnsi="Arial;Helvetica;sans-serif"/>
          <w:sz w:val="20"/>
        </w:rPr>
      </w:pPr>
      <w:r>
        <w:rPr>
          <w:rFonts w:ascii="Arial;Helvetica;sans-serif" w:hAnsi="Arial;Helvetica;sans-serif"/>
          <w:sz w:val="20"/>
        </w:rPr>
        <w:t>In the EEA, Barostim was required to comply with the Essential Requirements laid down in Annex I to the EU Active Implantable Medical Devices Directive. Compliance with these requirements was a prerequisite to affixing the CE mark to Barostim. To demonstrate compliance with the Essential Requirements and obtain the right to affix the CE Mark to Barostim, we underwent a conformity assessment procedure, which varied according to the type of medical device and its classification. Except for low-risk medical devices (Class I with no measuring function and which are not sterile), where the manufacturer could issue an EU Declaration of Conformity based on a self-assessment of the conformity of its products with the Essential Requirements, a conformity assessment procedure required the intervention of a Notified Body, which is an organization designated by a competent authority of an EEA country to conduct conformity assessments. Depending on the relevant conformity assessment procedure, the Notified Body would audit the Quality Management System and examine the Technical File for the manufacture, design and final inspection of our devices. The Notified Body would issue a CE Certificate of Conformity following successful completion of this conformity assessment procedure conducted in relation to the medical device and its manufacturer and their conformity with the Essential Requirements. This Certificate would entitle the manufacturer to affix the CE mark to its medical devices after having prepared and signed a related EU Declaration of Conformity.</w:t>
      </w:r>
    </w:p>
    <w:p>
      <w:pPr>
        <w:pStyle w:val="TextBody"/>
        <w:bidi w:val="0"/>
        <w:spacing w:before="0" w:after="0"/>
        <w:ind w:left="60" w:right="99" w:hanging="0"/>
        <w:jc w:val="left"/>
        <w:rPr>
          <w:rFonts w:ascii="Arial;Helvetica;sans-serif" w:hAnsi="Arial;Helvetica;sans-serif"/>
          <w:sz w:val="20"/>
        </w:rPr>
      </w:pPr>
      <w:r>
        <w:rPr>
          <w:rFonts w:ascii="Arial;Helvetica;sans-serif" w:hAnsi="Arial;Helvetica;sans-serif"/>
          <w:sz w:val="20"/>
        </w:rPr>
        <w:t xml:space="preserve">As a general rule, demonstration of conformity of medical devices and their manufacturers with the Essential Requirements must be based on, among other things, the evaluation of clinical data supporting the safety and performance of the products during normal conditions of use. Specifically, a manufacturer must demonstrate that the device achieves its intended performance during normal conditions of use and that the known and foreseeable risks, and any adverse events, are minimized and acceptable when weighed against the benefits of its intended performance, and that any claims made about the performance and safety of the device (e.g., product labeling and instructions for use) are supported by suitable evidence. This assessment must be based on clinical data, which can be obtained from (1) clinical studies conducted on the devices being assessed, (2) scientific literature from similar devices whose equivalence with the </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60" w:right="99" w:hanging="0"/>
        <w:jc w:val="left"/>
        <w:rPr>
          <w:rFonts w:ascii="Arial;Helvetica;sans-serif" w:hAnsi="Arial;Helvetica;sans-serif"/>
          <w:sz w:val="20"/>
        </w:rPr>
      </w:pPr>
      <w:r>
        <w:rPr>
          <w:rFonts w:ascii="Arial;Helvetica;sans-serif" w:hAnsi="Arial;Helvetica;sans-serif"/>
          <w:sz w:val="20"/>
        </w:rPr>
        <w:t>assessed device can be demonstrated or (3) both clinical studies and scientific literature. With respect to active implantable medical devices or Class III devices, the manufacturer must conduct clinical studies to obtain the required clinical data, unless reliance on existing clinical data from equivalent devices can be justified. The conduct of clinical studies in the EEA is governed by detailed regulatory obligations. These may include the requirement of prior authorization by the competent authorities of the country in which the study takes place and the requirement to obtain a positive opinion from a competent Ethics Committee. This process can be expensive and time-consuming.</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In order to continue to sell Barostim in Europe, we must comply with the Medical Devices Regulation (Regulation (EU) 2017/745 — “MDR”) and its evolving transition requirements. We have submitted our application for Barostim to comply with the general safety and performance requirements of the EU MDR (which are similar to the Essential Requirements of the Active Implantable Medical Device Directive (“AIMDD”)), and it is currently under review. Additionally, the EU did approve an amendment to the MDR which allows qualifying AIMDD CE certificates to be accepted through December of 2027. We have already met the qualifications identified within this amendment to allow continued distribution of Barostim through this time. Failing to continue to comply with applicable foreign regulatory requirements, including those administered by authorities of the EEA countries, could result in enforcement actions against us, including refusal, suspension or withdrawal of our CE Certificates of Conformity by our Notified Body (the National Standards Authority of Ireland, or NSAI), which could impair our ability to market products in the EEA in the future.</w:t>
      </w:r>
    </w:p>
    <w:p>
      <w:pPr>
        <w:pStyle w:val="TextBody"/>
        <w:pBdr/>
        <w:bidi w:val="0"/>
        <w:spacing w:before="0" w:after="240"/>
        <w:ind w:left="0" w:right="0" w:hanging="360"/>
        <w:jc w:val="left"/>
        <w:rPr/>
      </w:pPr>
      <w:r>
        <w:rPr/>
        <w:t>​</w:t>
      </w:r>
    </w:p>
    <w:p>
      <w:pPr>
        <w:pStyle w:val="TextBody"/>
        <w:pBdr/>
        <w:bidi w:val="0"/>
        <w:spacing w:before="0" w:after="240"/>
        <w:ind w:left="0" w:right="0" w:hanging="360"/>
        <w:jc w:val="left"/>
        <w:rPr>
          <w:rFonts w:ascii="Arial;Helvetica;sans-serif" w:hAnsi="Arial;Helvetica;sans-serif"/>
          <w:b/>
          <w:sz w:val="24"/>
        </w:rPr>
      </w:pPr>
      <w:bookmarkStart w:id="676" w:name="Item2UnregisteredSalesofEquitySecurities"/>
      <w:bookmarkStart w:id="677" w:name="_4855cff3_d5c9_49df_8edb_8c7b7c60c57b"/>
      <w:bookmarkEnd w:id="676"/>
      <w:bookmarkEnd w:id="677"/>
      <w:r>
        <w:rPr>
          <w:rFonts w:ascii="Arial;Helvetica;sans-serif" w:hAnsi="Arial;Helvetica;sans-serif"/>
          <w:b/>
          <w:sz w:val="24"/>
        </w:rPr>
        <w:t>Item 2. Unregistered Sales of Equity Securities and Use of Proceeds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None.</w:t>
      </w:r>
    </w:p>
    <w:p>
      <w:pPr>
        <w:pStyle w:val="TextBody"/>
        <w:pBdr/>
        <w:bidi w:val="0"/>
        <w:spacing w:before="0" w:after="240"/>
        <w:ind w:left="0" w:right="0" w:hanging="360"/>
        <w:jc w:val="left"/>
        <w:rPr/>
      </w:pPr>
      <w:r>
        <w:rPr/>
        <w:t>​</w:t>
      </w:r>
    </w:p>
    <w:p>
      <w:pPr>
        <w:pStyle w:val="TextBody"/>
        <w:pBdr/>
        <w:bidi w:val="0"/>
        <w:spacing w:before="0" w:after="240"/>
        <w:ind w:left="0" w:right="0" w:hanging="360"/>
        <w:jc w:val="left"/>
        <w:rPr>
          <w:rFonts w:ascii="Arial;Helvetica;sans-serif" w:hAnsi="Arial;Helvetica;sans-serif"/>
          <w:b/>
          <w:sz w:val="24"/>
        </w:rPr>
      </w:pPr>
      <w:bookmarkStart w:id="678" w:name="Item3DefaultsUponSeniorSecurities_596530"/>
      <w:bookmarkStart w:id="679" w:name="_c9a61f8d_ecac_4015_bfc6_7baf2dcd111a"/>
      <w:bookmarkEnd w:id="678"/>
      <w:bookmarkEnd w:id="679"/>
      <w:r>
        <w:rPr>
          <w:rFonts w:ascii="Arial;Helvetica;sans-serif" w:hAnsi="Arial;Helvetica;sans-serif"/>
          <w:b/>
          <w:sz w:val="24"/>
        </w:rPr>
        <w:t>Item 3. Defaults Upon Senior Securities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None.</w:t>
      </w:r>
    </w:p>
    <w:p>
      <w:pPr>
        <w:pStyle w:val="TextBody"/>
        <w:pBdr/>
        <w:bidi w:val="0"/>
        <w:spacing w:before="0" w:after="240"/>
        <w:ind w:left="0" w:right="0" w:hanging="360"/>
        <w:jc w:val="left"/>
        <w:rPr/>
      </w:pPr>
      <w:r>
        <w:rPr/>
        <w:t>​</w:t>
      </w:r>
    </w:p>
    <w:p>
      <w:pPr>
        <w:pStyle w:val="TextBody"/>
        <w:pBdr/>
        <w:bidi w:val="0"/>
        <w:spacing w:before="0" w:after="240"/>
        <w:ind w:left="0" w:right="0" w:hanging="360"/>
        <w:jc w:val="left"/>
        <w:rPr>
          <w:rFonts w:ascii="Arial;Helvetica;sans-serif" w:hAnsi="Arial;Helvetica;sans-serif"/>
          <w:b/>
          <w:sz w:val="24"/>
        </w:rPr>
      </w:pPr>
      <w:bookmarkStart w:id="680" w:name="Item4MineSafetyDisclosures_347489"/>
      <w:bookmarkStart w:id="681" w:name="_033eb862_d0b3_4329_b788_cad8030897f5"/>
      <w:bookmarkEnd w:id="680"/>
      <w:bookmarkEnd w:id="681"/>
      <w:r>
        <w:rPr>
          <w:rFonts w:ascii="Arial;Helvetica;sans-serif" w:hAnsi="Arial;Helvetica;sans-serif"/>
          <w:b/>
          <w:sz w:val="24"/>
        </w:rPr>
        <w:t>Item 4. Mine Safety Disclosures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Not applicable.</w:t>
      </w:r>
    </w:p>
    <w:p>
      <w:pPr>
        <w:pStyle w:val="TextBody"/>
        <w:pBdr/>
        <w:bidi w:val="0"/>
        <w:spacing w:before="0" w:after="240"/>
        <w:ind w:left="0" w:right="0" w:hanging="360"/>
        <w:jc w:val="left"/>
        <w:rPr/>
      </w:pPr>
      <w:r>
        <w:rPr/>
        <w:t>​</w:t>
      </w:r>
    </w:p>
    <w:p>
      <w:pPr>
        <w:pStyle w:val="TextBody"/>
        <w:pBdr/>
        <w:bidi w:val="0"/>
        <w:spacing w:before="0" w:after="240"/>
        <w:ind w:left="0" w:right="0" w:hanging="360"/>
        <w:jc w:val="left"/>
        <w:rPr>
          <w:rFonts w:ascii="Arial;Helvetica;sans-serif" w:hAnsi="Arial;Helvetica;sans-serif"/>
          <w:b/>
          <w:sz w:val="24"/>
        </w:rPr>
      </w:pPr>
      <w:bookmarkStart w:id="682" w:name="Item5OtherInformation_696802"/>
      <w:bookmarkStart w:id="683" w:name="_8be9e57b_99c6_408c_9808_644b88463986"/>
      <w:bookmarkEnd w:id="682"/>
      <w:bookmarkEnd w:id="683"/>
      <w:r>
        <w:rPr>
          <w:rFonts w:ascii="Arial;Helvetica;sans-serif" w:hAnsi="Arial;Helvetica;sans-serif"/>
          <w:b/>
          <w:sz w:val="24"/>
        </w:rPr>
        <w:t>Item 5. Other Information</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None.</w:t>
      </w:r>
    </w:p>
    <w:p>
      <w:pPr>
        <w:pStyle w:val="TextBody"/>
        <w:pBdr/>
        <w:bidi w:val="0"/>
        <w:spacing w:before="0" w:after="240"/>
        <w:ind w:left="0" w:right="0" w:hanging="360"/>
        <w:jc w:val="left"/>
        <w:rPr/>
      </w:pPr>
      <w:r>
        <w:rPr/>
        <w:t>​</w:t>
      </w:r>
    </w:p>
    <w:p>
      <w:pPr>
        <w:pStyle w:val="TextBody"/>
        <w:pBdr/>
        <w:bidi w:val="0"/>
        <w:spacing w:before="0" w:after="240"/>
        <w:ind w:left="0" w:right="0" w:hanging="360"/>
        <w:jc w:val="left"/>
        <w:rPr>
          <w:rFonts w:ascii="Arial;Helvetica;sans-serif" w:hAnsi="Arial;Helvetica;sans-serif"/>
          <w:b/>
          <w:sz w:val="24"/>
        </w:rPr>
      </w:pPr>
      <w:bookmarkStart w:id="684" w:name="Item6Exhibits_742478"/>
      <w:bookmarkStart w:id="685" w:name="_950575"/>
      <w:bookmarkStart w:id="686" w:name="_654052cd_0f58_4e00_9c80_640a49953de3"/>
      <w:bookmarkEnd w:id="684"/>
      <w:bookmarkEnd w:id="685"/>
      <w:bookmarkEnd w:id="686"/>
      <w:r>
        <w:rPr>
          <w:rFonts w:ascii="Arial;Helvetica;sans-serif" w:hAnsi="Arial;Helvetica;sans-serif"/>
          <w:b/>
          <w:sz w:val="24"/>
        </w:rPr>
        <w:t>Item 6. Exhibits</w:t>
      </w:r>
    </w:p>
    <w:p>
      <w:pPr>
        <w:pStyle w:val="TextBody"/>
        <w:pBdr/>
        <w:bidi w:val="0"/>
        <w:spacing w:before="0" w:after="240"/>
        <w:ind w:left="0" w:right="0" w:hanging="360"/>
        <w:jc w:val="center"/>
        <w:rPr>
          <w:rFonts w:ascii="Arial;Helvetica;sans-serif" w:hAnsi="Arial;Helvetica;sans-serif"/>
          <w:b/>
          <w:sz w:val="24"/>
        </w:rPr>
      </w:pPr>
      <w:r>
        <w:rPr>
          <w:rFonts w:ascii="Arial;Helvetica;sans-serif" w:hAnsi="Arial;Helvetica;sans-serif"/>
          <w:b/>
          <w:sz w:val="24"/>
        </w:rPr>
        <w:t>EXHIBIT INDEX</w:t>
      </w:r>
    </w:p>
    <w:tbl>
      <w:tblPr>
        <w:tblW w:w="10205" w:type="dxa"/>
        <w:jc w:val="left"/>
        <w:tblInd w:w="0" w:type="dxa"/>
        <w:tblLayout w:type="fixed"/>
        <w:tblCellMar>
          <w:top w:w="0" w:type="dxa"/>
          <w:left w:w="0" w:type="dxa"/>
          <w:bottom w:w="0" w:type="dxa"/>
          <w:right w:w="0" w:type="dxa"/>
        </w:tblCellMar>
      </w:tblPr>
      <w:tblGrid>
        <w:gridCol w:w="676"/>
        <w:gridCol w:w="326"/>
        <w:gridCol w:w="9203"/>
      </w:tblGrid>
      <w:tr>
        <w:trPr/>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429260" cy="175260"/>
                      <wp:effectExtent l="0" t="0" r="0" b="0"/>
                      <wp:wrapNone/>
                      <wp:docPr id="161" name="Frame16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9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5843905" cy="29210"/>
                      <wp:effectExtent l="0" t="0" r="0" b="0"/>
                      <wp:wrapNone/>
                      <wp:docPr id="162" name="Frame162"/>
                      <a:graphic xmlns:a="http://schemas.openxmlformats.org/drawingml/2006/main">
                        <a:graphicData uri="http://schemas.microsoft.com/office/word/2010/wordprocessingShape">
                          <wps:wsp>
                            <wps:cNvSpPr txBox="1"/>
                            <wps:spPr>
                              <a:xfrm>
                                <a:off x="0" y="0"/>
                                <a:ext cx="58439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67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Exhibit</w:t>
            </w:r>
          </w:p>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No.</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03"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Description</w:t>
            </w:r>
          </w:p>
        </w:tc>
      </w:tr>
      <w:tr>
        <w:trPr/>
        <w:tc>
          <w:tcPr>
            <w:tcW w:w="676"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9203"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r>
      <w:tr>
        <w:trPr/>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3.1</w:t>
            </w:r>
          </w:p>
        </w:tc>
        <w:tc>
          <w:tcPr>
            <w:tcW w:w="326" w:type="dxa"/>
            <w:tcBorders/>
            <w:vAlign w:val="center"/>
          </w:tcPr>
          <w:p>
            <w:pPr>
              <w:pStyle w:val="TableContents"/>
              <w:bidi w:val="0"/>
              <w:spacing w:before="0" w:after="0"/>
              <w:ind w:left="0" w:right="0" w:hanging="0"/>
              <w:jc w:val="left"/>
              <w:rPr/>
            </w:pPr>
            <w:r>
              <w:rPr/>
              <w:t>​</w:t>
            </w:r>
          </w:p>
        </w:tc>
        <w:tc>
          <w:tcPr>
            <w:tcW w:w="9203" w:type="dxa"/>
            <w:tcBorders/>
            <w:vAlign w:val="center"/>
          </w:tcPr>
          <w:p>
            <w:pPr>
              <w:pStyle w:val="TableContents"/>
              <w:bidi w:val="0"/>
              <w:spacing w:before="0" w:after="0"/>
              <w:ind w:left="0" w:right="0" w:hanging="0"/>
              <w:jc w:val="left"/>
              <w:rPr/>
            </w:pPr>
            <w:hyperlink r:id="rId2">
              <w:r>
                <w:rPr>
                  <w:rStyle w:val="InternetLink"/>
                  <w:rFonts w:ascii="Arial;Helvetica;sans-serif" w:hAnsi="Arial;Helvetica;sans-serif"/>
                  <w:b w:val="false"/>
                  <w:i w:val="false"/>
                  <w:caps w:val="false"/>
                  <w:smallCaps w:val="false"/>
                  <w:sz w:val="20"/>
                </w:rPr>
                <w:t>Amended and Restated Certificate of Incorporation of CVRx, Inc. (incorporated by reference to Exhibit 3.1 to the Company’s Current Report on Form 8-K filed on July 7, 2021)</w:t>
              </w:r>
            </w:hyperlink>
          </w:p>
        </w:tc>
      </w:tr>
      <w:tr>
        <w:trPr/>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203" w:type="dxa"/>
            <w:tcBorders/>
            <w:vAlign w:val="center"/>
          </w:tcPr>
          <w:p>
            <w:pPr>
              <w:pStyle w:val="TableContents"/>
              <w:bidi w:val="0"/>
              <w:spacing w:before="0" w:after="0"/>
              <w:ind w:left="0" w:right="0" w:hanging="0"/>
              <w:jc w:val="left"/>
              <w:rPr/>
            </w:pPr>
            <w:r>
              <w:rPr/>
              <w:t>​</w:t>
            </w:r>
          </w:p>
        </w:tc>
      </w:tr>
      <w:tr>
        <w:trPr/>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3.2</w:t>
            </w:r>
          </w:p>
        </w:tc>
        <w:tc>
          <w:tcPr>
            <w:tcW w:w="326" w:type="dxa"/>
            <w:tcBorders/>
            <w:vAlign w:val="center"/>
          </w:tcPr>
          <w:p>
            <w:pPr>
              <w:pStyle w:val="TableContents"/>
              <w:bidi w:val="0"/>
              <w:spacing w:before="0" w:after="0"/>
              <w:ind w:left="0" w:right="0" w:hanging="0"/>
              <w:jc w:val="left"/>
              <w:rPr/>
            </w:pPr>
            <w:r>
              <w:rPr/>
              <w:t>​</w:t>
            </w:r>
          </w:p>
        </w:tc>
        <w:tc>
          <w:tcPr>
            <w:tcW w:w="9203" w:type="dxa"/>
            <w:tcBorders/>
            <w:vAlign w:val="center"/>
          </w:tcPr>
          <w:p>
            <w:pPr>
              <w:pStyle w:val="TableContents"/>
              <w:bidi w:val="0"/>
              <w:spacing w:before="0" w:after="0"/>
              <w:ind w:left="0" w:right="0" w:hanging="0"/>
              <w:jc w:val="left"/>
              <w:rPr/>
            </w:pPr>
            <w:hyperlink r:id="rId3">
              <w:r>
                <w:rPr>
                  <w:rStyle w:val="InternetLink"/>
                  <w:rFonts w:ascii="Arial;Helvetica;sans-serif" w:hAnsi="Arial;Helvetica;sans-serif"/>
                  <w:b w:val="false"/>
                  <w:i w:val="false"/>
                  <w:caps w:val="false"/>
                  <w:smallCaps w:val="false"/>
                  <w:sz w:val="20"/>
                </w:rPr>
                <w:t>Amended and Restated By-Laws of CVRx, Inc. (incorporated by reference to Exhibit 3.2 to the Company’s Current Report on Form 8-K filed on July 7, 2021)</w:t>
              </w:r>
            </w:hyperlink>
            <w:r>
              <w:rPr>
                <w:rFonts w:ascii="Arial;Helvetica;sans-serif" w:hAnsi="Arial;Helvetica;sans-serif"/>
                <w:sz w:val="20"/>
              </w:rPr>
              <w:t xml:space="preserve"> </w:t>
            </w:r>
          </w:p>
        </w:tc>
      </w:tr>
      <w:tr>
        <w:trPr/>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203" w:type="dxa"/>
            <w:tcBorders/>
            <w:vAlign w:val="center"/>
          </w:tcPr>
          <w:p>
            <w:pPr>
              <w:pStyle w:val="TableContents"/>
              <w:bidi w:val="0"/>
              <w:spacing w:before="0" w:after="0"/>
              <w:ind w:left="0" w:right="0" w:hanging="0"/>
              <w:jc w:val="left"/>
              <w:rPr>
                <w:shd w:fill="FFFF00" w:val="clear"/>
              </w:rPr>
            </w:pPr>
            <w:r>
              <w:rPr>
                <w:shd w:fill="FFFF00" w:val="clear"/>
              </w:rPr>
              <w:t>​</w:t>
            </w:r>
          </w:p>
        </w:tc>
      </w:tr>
      <w:tr>
        <w:trPr/>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10.1†</w:t>
            </w:r>
          </w:p>
        </w:tc>
        <w:tc>
          <w:tcPr>
            <w:tcW w:w="326" w:type="dxa"/>
            <w:tcBorders/>
            <w:vAlign w:val="center"/>
          </w:tcPr>
          <w:p>
            <w:pPr>
              <w:pStyle w:val="TableContents"/>
              <w:bidi w:val="0"/>
              <w:spacing w:before="0" w:after="0"/>
              <w:ind w:left="0" w:right="0" w:hanging="0"/>
              <w:jc w:val="left"/>
              <w:rPr/>
            </w:pPr>
            <w:r>
              <w:rPr/>
              <w:t>​</w:t>
            </w:r>
          </w:p>
        </w:tc>
        <w:tc>
          <w:tcPr>
            <w:tcW w:w="9203" w:type="dxa"/>
            <w:tcBorders/>
            <w:vAlign w:val="center"/>
          </w:tcPr>
          <w:p>
            <w:pPr>
              <w:pStyle w:val="TableContents"/>
              <w:bidi w:val="0"/>
              <w:spacing w:before="0" w:after="0"/>
              <w:ind w:left="0" w:right="0" w:hanging="0"/>
              <w:jc w:val="left"/>
              <w:rPr/>
            </w:pPr>
            <w:hyperlink w:anchor="cvrx-20230331xex10d1.htm">
              <w:r>
                <w:rPr>
                  <w:rStyle w:val="InternetLink"/>
                  <w:rFonts w:ascii="Arial;Helvetica;sans-serif" w:hAnsi="Arial;Helvetica;sans-serif"/>
                  <w:b w:val="false"/>
                  <w:i w:val="false"/>
                  <w:caps w:val="false"/>
                  <w:smallCaps w:val="false"/>
                  <w:sz w:val="20"/>
                </w:rPr>
                <w:t>Fifth Amendment to Lease, dated April 21, 2023, by and between the Company and TCI TT, LLC</w:t>
              </w:r>
            </w:hyperlink>
          </w:p>
        </w:tc>
      </w:tr>
      <w:tr>
        <w:trPr/>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203" w:type="dxa"/>
            <w:tcBorders/>
            <w:vAlign w:val="center"/>
          </w:tcPr>
          <w:p>
            <w:pPr>
              <w:pStyle w:val="TableContents"/>
              <w:bidi w:val="0"/>
              <w:spacing w:before="0" w:after="0"/>
              <w:ind w:left="13" w:right="0" w:hanging="0"/>
              <w:jc w:val="left"/>
              <w:rPr>
                <w:shd w:fill="FFFF00" w:val="clear"/>
              </w:rPr>
            </w:pPr>
            <w:r>
              <w:rPr>
                <w:shd w:fill="FFFF00" w:val="clear"/>
              </w:rPr>
              <w:t>​</w:t>
            </w:r>
          </w:p>
        </w:tc>
      </w:tr>
    </w:tbl>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797"/>
        <w:gridCol w:w="109"/>
        <w:gridCol w:w="9299"/>
      </w:tblGrid>
      <w:tr>
        <w:trPr/>
        <w:tc>
          <w:tcPr>
            <w:tcW w:w="797"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31.1†</w:t>
            </w:r>
          </w:p>
        </w:tc>
        <w:tc>
          <w:tcPr>
            <w:tcW w:w="109" w:type="dxa"/>
            <w:tcBorders/>
            <w:vAlign w:val="center"/>
          </w:tcPr>
          <w:p>
            <w:pPr>
              <w:pStyle w:val="TableContents"/>
              <w:bidi w:val="0"/>
              <w:spacing w:before="0" w:after="0"/>
              <w:ind w:left="0" w:right="0" w:hanging="0"/>
              <w:jc w:val="left"/>
              <w:rPr/>
            </w:pPr>
            <w:r>
              <w:rPr/>
              <w:t>​</w:t>
            </w:r>
          </w:p>
        </w:tc>
        <w:tc>
          <w:tcPr>
            <w:tcW w:w="9299" w:type="dxa"/>
            <w:tcBorders/>
            <w:vAlign w:val="center"/>
          </w:tcPr>
          <w:p>
            <w:pPr>
              <w:pStyle w:val="TableContents"/>
              <w:bidi w:val="0"/>
              <w:spacing w:before="0" w:after="0"/>
              <w:ind w:left="0" w:right="0" w:hanging="0"/>
              <w:jc w:val="left"/>
              <w:rPr/>
            </w:pPr>
            <w:hyperlink w:anchor="cvrx-20230331xex31d1.htm">
              <w:r>
                <w:rPr>
                  <w:rStyle w:val="InternetLink"/>
                  <w:rFonts w:ascii="Arial;Helvetica;sans-serif" w:hAnsi="Arial;Helvetica;sans-serif"/>
                  <w:b w:val="false"/>
                  <w:i w:val="false"/>
                  <w:caps w:val="false"/>
                  <w:smallCaps w:val="false"/>
                  <w:sz w:val="20"/>
                </w:rPr>
                <w:t>Certification of Chief Executive Officer Pursuant to Section</w:t>
              </w:r>
            </w:hyperlink>
            <w:hyperlink w:anchor="cvrx-20230331xex31d1.htm">
              <w:r>
                <w:rPr>
                  <w:rStyle w:val="InternetLink"/>
                  <w:rFonts w:ascii="Arial;Helvetica;sans-serif" w:hAnsi="Arial;Helvetica;sans-serif"/>
                  <w:caps w:val="false"/>
                  <w:smallCaps w:val="false"/>
                  <w:sz w:val="20"/>
                </w:rPr>
                <w:t> </w:t>
              </w:r>
            </w:hyperlink>
            <w:hyperlink w:anchor="cvrx-20230331xex31d1.htm">
              <w:r>
                <w:rPr>
                  <w:rStyle w:val="InternetLink"/>
                  <w:rFonts w:ascii="Arial;Helvetica;sans-serif" w:hAnsi="Arial;Helvetica;sans-serif"/>
                  <w:b w:val="false"/>
                  <w:i w:val="false"/>
                  <w:caps w:val="false"/>
                  <w:smallCaps w:val="false"/>
                  <w:sz w:val="20"/>
                </w:rPr>
                <w:t>302 of the Sarbanes-Oxley Act of 2002</w:t>
              </w:r>
            </w:hyperlink>
          </w:p>
        </w:tc>
      </w:tr>
      <w:tr>
        <w:trPr/>
        <w:tc>
          <w:tcPr>
            <w:tcW w:w="797"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9299" w:type="dxa"/>
            <w:tcBorders/>
            <w:vAlign w:val="center"/>
          </w:tcPr>
          <w:p>
            <w:pPr>
              <w:pStyle w:val="TableContents"/>
              <w:bidi w:val="0"/>
              <w:spacing w:before="0" w:after="283"/>
              <w:ind w:left="0" w:right="0" w:hanging="0"/>
              <w:jc w:val="left"/>
              <w:rPr>
                <w:sz w:val="4"/>
                <w:szCs w:val="4"/>
              </w:rPr>
            </w:pPr>
            <w:r>
              <w:rPr>
                <w:sz w:val="4"/>
                <w:szCs w:val="4"/>
              </w:rPr>
            </w:r>
          </w:p>
        </w:tc>
      </w:tr>
      <w:tr>
        <w:trPr/>
        <w:tc>
          <w:tcPr>
            <w:tcW w:w="797"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31.2†</w:t>
            </w:r>
          </w:p>
        </w:tc>
        <w:tc>
          <w:tcPr>
            <w:tcW w:w="109" w:type="dxa"/>
            <w:tcBorders/>
            <w:vAlign w:val="center"/>
          </w:tcPr>
          <w:p>
            <w:pPr>
              <w:pStyle w:val="TableContents"/>
              <w:bidi w:val="0"/>
              <w:spacing w:before="0" w:after="0"/>
              <w:ind w:left="0" w:right="0" w:hanging="0"/>
              <w:jc w:val="left"/>
              <w:rPr/>
            </w:pPr>
            <w:r>
              <w:rPr/>
              <w:t>​</w:t>
            </w:r>
          </w:p>
        </w:tc>
        <w:tc>
          <w:tcPr>
            <w:tcW w:w="9299" w:type="dxa"/>
            <w:tcBorders/>
            <w:vAlign w:val="center"/>
          </w:tcPr>
          <w:p>
            <w:pPr>
              <w:pStyle w:val="TableContents"/>
              <w:bidi w:val="0"/>
              <w:spacing w:before="0" w:after="0"/>
              <w:ind w:left="0" w:right="0" w:hanging="0"/>
              <w:jc w:val="left"/>
              <w:rPr/>
            </w:pPr>
            <w:hyperlink w:anchor="cvrx-20230331xex31d2.htm">
              <w:r>
                <w:rPr>
                  <w:rStyle w:val="InternetLink"/>
                  <w:rFonts w:ascii="Arial;Helvetica;sans-serif" w:hAnsi="Arial;Helvetica;sans-serif"/>
                  <w:b w:val="false"/>
                  <w:i w:val="false"/>
                  <w:caps w:val="false"/>
                  <w:smallCaps w:val="false"/>
                  <w:sz w:val="20"/>
                </w:rPr>
                <w:t>Certification of Chief Financial Officer Pursuant to Section</w:t>
              </w:r>
            </w:hyperlink>
            <w:hyperlink w:anchor="cvrx-20230331xex31d2.htm">
              <w:r>
                <w:rPr>
                  <w:rStyle w:val="InternetLink"/>
                  <w:rFonts w:ascii="Arial;Helvetica;sans-serif" w:hAnsi="Arial;Helvetica;sans-serif"/>
                  <w:caps w:val="false"/>
                  <w:smallCaps w:val="false"/>
                  <w:sz w:val="20"/>
                </w:rPr>
                <w:t> </w:t>
              </w:r>
            </w:hyperlink>
            <w:hyperlink w:anchor="cvrx-20230331xex31d2.htm">
              <w:r>
                <w:rPr>
                  <w:rStyle w:val="InternetLink"/>
                  <w:rFonts w:ascii="Arial;Helvetica;sans-serif" w:hAnsi="Arial;Helvetica;sans-serif"/>
                  <w:b w:val="false"/>
                  <w:i w:val="false"/>
                  <w:caps w:val="false"/>
                  <w:smallCaps w:val="false"/>
                  <w:sz w:val="20"/>
                </w:rPr>
                <w:t>302 of the Sarbanes-Oxley Act of 2002</w:t>
              </w:r>
            </w:hyperlink>
          </w:p>
        </w:tc>
      </w:tr>
      <w:tr>
        <w:trPr/>
        <w:tc>
          <w:tcPr>
            <w:tcW w:w="797"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9299" w:type="dxa"/>
            <w:tcBorders/>
            <w:vAlign w:val="center"/>
          </w:tcPr>
          <w:p>
            <w:pPr>
              <w:pStyle w:val="TableContents"/>
              <w:bidi w:val="0"/>
              <w:spacing w:before="0" w:after="283"/>
              <w:ind w:left="0" w:right="0" w:hanging="0"/>
              <w:jc w:val="left"/>
              <w:rPr>
                <w:sz w:val="4"/>
                <w:szCs w:val="4"/>
              </w:rPr>
            </w:pPr>
            <w:r>
              <w:rPr>
                <w:sz w:val="4"/>
                <w:szCs w:val="4"/>
              </w:rPr>
            </w:r>
          </w:p>
        </w:tc>
      </w:tr>
      <w:tr>
        <w:trPr/>
        <w:tc>
          <w:tcPr>
            <w:tcW w:w="797"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32.1†</w:t>
            </w:r>
          </w:p>
        </w:tc>
        <w:tc>
          <w:tcPr>
            <w:tcW w:w="109" w:type="dxa"/>
            <w:tcBorders/>
            <w:vAlign w:val="center"/>
          </w:tcPr>
          <w:p>
            <w:pPr>
              <w:pStyle w:val="TableContents"/>
              <w:bidi w:val="0"/>
              <w:spacing w:before="0" w:after="0"/>
              <w:ind w:left="0" w:right="0" w:hanging="0"/>
              <w:jc w:val="left"/>
              <w:rPr/>
            </w:pPr>
            <w:r>
              <w:rPr/>
              <w:t>​</w:t>
            </w:r>
          </w:p>
        </w:tc>
        <w:tc>
          <w:tcPr>
            <w:tcW w:w="9299" w:type="dxa"/>
            <w:tcBorders/>
            <w:vAlign w:val="center"/>
          </w:tcPr>
          <w:p>
            <w:pPr>
              <w:pStyle w:val="TableContents"/>
              <w:bidi w:val="0"/>
              <w:spacing w:before="0" w:after="0"/>
              <w:ind w:left="0" w:right="0" w:hanging="0"/>
              <w:jc w:val="left"/>
              <w:rPr/>
            </w:pPr>
            <w:hyperlink w:anchor="cvrx-20230331xex32d1.htm">
              <w:r>
                <w:rPr>
                  <w:rStyle w:val="InternetLink"/>
                  <w:rFonts w:ascii="Arial;Helvetica;sans-serif" w:hAnsi="Arial;Helvetica;sans-serif"/>
                  <w:b w:val="false"/>
                  <w:i w:val="false"/>
                  <w:caps w:val="false"/>
                  <w:smallCaps w:val="false"/>
                  <w:sz w:val="20"/>
                </w:rPr>
                <w:t>Certification of Chief Executive Officer Pursuant to 18 U.S.C. Section</w:t>
              </w:r>
            </w:hyperlink>
            <w:hyperlink w:anchor="cvrx-20230331xex32d1.htm">
              <w:r>
                <w:rPr>
                  <w:rStyle w:val="InternetLink"/>
                  <w:rFonts w:ascii="Arial;Helvetica;sans-serif" w:hAnsi="Arial;Helvetica;sans-serif"/>
                  <w:caps w:val="false"/>
                  <w:smallCaps w:val="false"/>
                  <w:sz w:val="20"/>
                </w:rPr>
                <w:t> </w:t>
              </w:r>
            </w:hyperlink>
            <w:hyperlink w:anchor="cvrx-20230331xex32d1.htm">
              <w:r>
                <w:rPr>
                  <w:rStyle w:val="InternetLink"/>
                  <w:rFonts w:ascii="Arial;Helvetica;sans-serif" w:hAnsi="Arial;Helvetica;sans-serif"/>
                  <w:b w:val="false"/>
                  <w:i w:val="false"/>
                  <w:caps w:val="false"/>
                  <w:smallCaps w:val="false"/>
                  <w:sz w:val="20"/>
                </w:rPr>
                <w:t>1350, as adopted pursuant to Section</w:t>
              </w:r>
            </w:hyperlink>
            <w:hyperlink w:anchor="cvrx-20230331xex32d1.htm">
              <w:r>
                <w:rPr>
                  <w:rStyle w:val="InternetLink"/>
                  <w:rFonts w:ascii="Arial;Helvetica;sans-serif" w:hAnsi="Arial;Helvetica;sans-serif"/>
                  <w:caps w:val="false"/>
                  <w:smallCaps w:val="false"/>
                  <w:sz w:val="20"/>
                </w:rPr>
                <w:t> </w:t>
              </w:r>
            </w:hyperlink>
            <w:hyperlink w:anchor="cvrx-20230331xex32d1.htm">
              <w:r>
                <w:rPr>
                  <w:rStyle w:val="InternetLink"/>
                  <w:rFonts w:ascii="Arial;Helvetica;sans-serif" w:hAnsi="Arial;Helvetica;sans-serif"/>
                  <w:b w:val="false"/>
                  <w:i w:val="false"/>
                  <w:caps w:val="false"/>
                  <w:smallCaps w:val="false"/>
                  <w:sz w:val="20"/>
                </w:rPr>
                <w:t>906 of the Sarbanes-Oxley Act of 2002</w:t>
              </w:r>
            </w:hyperlink>
          </w:p>
        </w:tc>
      </w:tr>
      <w:tr>
        <w:trPr/>
        <w:tc>
          <w:tcPr>
            <w:tcW w:w="797"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9299" w:type="dxa"/>
            <w:tcBorders/>
            <w:vAlign w:val="center"/>
          </w:tcPr>
          <w:p>
            <w:pPr>
              <w:pStyle w:val="TableContents"/>
              <w:bidi w:val="0"/>
              <w:spacing w:before="0" w:after="283"/>
              <w:ind w:left="0" w:right="0" w:hanging="0"/>
              <w:jc w:val="left"/>
              <w:rPr>
                <w:sz w:val="4"/>
                <w:szCs w:val="4"/>
              </w:rPr>
            </w:pPr>
            <w:r>
              <w:rPr>
                <w:sz w:val="4"/>
                <w:szCs w:val="4"/>
              </w:rPr>
            </w:r>
          </w:p>
        </w:tc>
      </w:tr>
      <w:tr>
        <w:trPr/>
        <w:tc>
          <w:tcPr>
            <w:tcW w:w="797"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32.2†</w:t>
            </w:r>
          </w:p>
        </w:tc>
        <w:tc>
          <w:tcPr>
            <w:tcW w:w="109" w:type="dxa"/>
            <w:tcBorders/>
            <w:vAlign w:val="center"/>
          </w:tcPr>
          <w:p>
            <w:pPr>
              <w:pStyle w:val="TableContents"/>
              <w:bidi w:val="0"/>
              <w:spacing w:before="0" w:after="0"/>
              <w:ind w:left="0" w:right="0" w:hanging="0"/>
              <w:jc w:val="left"/>
              <w:rPr/>
            </w:pPr>
            <w:r>
              <w:rPr/>
              <w:t>​</w:t>
            </w:r>
          </w:p>
        </w:tc>
        <w:tc>
          <w:tcPr>
            <w:tcW w:w="9299" w:type="dxa"/>
            <w:tcBorders/>
            <w:vAlign w:val="center"/>
          </w:tcPr>
          <w:p>
            <w:pPr>
              <w:pStyle w:val="TableContents"/>
              <w:bidi w:val="0"/>
              <w:spacing w:before="0" w:after="0"/>
              <w:ind w:left="0" w:right="0" w:hanging="0"/>
              <w:jc w:val="left"/>
              <w:rPr/>
            </w:pPr>
            <w:hyperlink w:anchor="cvrx-20230331xex32d2.htm">
              <w:r>
                <w:rPr>
                  <w:rStyle w:val="InternetLink"/>
                  <w:rFonts w:ascii="Arial;Helvetica;sans-serif" w:hAnsi="Arial;Helvetica;sans-serif"/>
                  <w:b w:val="false"/>
                  <w:i w:val="false"/>
                  <w:caps w:val="false"/>
                  <w:smallCaps w:val="false"/>
                  <w:sz w:val="20"/>
                </w:rPr>
                <w:t>Certification of Chief Financial Officer Pursuant to 18 U.S.C. Section</w:t>
              </w:r>
            </w:hyperlink>
            <w:hyperlink w:anchor="cvrx-20230331xex32d2.htm">
              <w:r>
                <w:rPr>
                  <w:rStyle w:val="InternetLink"/>
                  <w:rFonts w:ascii="Arial;Helvetica;sans-serif" w:hAnsi="Arial;Helvetica;sans-serif"/>
                  <w:caps w:val="false"/>
                  <w:smallCaps w:val="false"/>
                  <w:sz w:val="20"/>
                </w:rPr>
                <w:t> </w:t>
              </w:r>
            </w:hyperlink>
            <w:hyperlink w:anchor="cvrx-20230331xex32d2.htm">
              <w:r>
                <w:rPr>
                  <w:rStyle w:val="InternetLink"/>
                  <w:rFonts w:ascii="Arial;Helvetica;sans-serif" w:hAnsi="Arial;Helvetica;sans-serif"/>
                  <w:b w:val="false"/>
                  <w:i w:val="false"/>
                  <w:caps w:val="false"/>
                  <w:smallCaps w:val="false"/>
                  <w:sz w:val="20"/>
                </w:rPr>
                <w:t>1350, as adopted pursuant to Section</w:t>
              </w:r>
            </w:hyperlink>
            <w:hyperlink w:anchor="cvrx-20230331xex32d2.htm">
              <w:r>
                <w:rPr>
                  <w:rStyle w:val="InternetLink"/>
                  <w:rFonts w:ascii="Arial;Helvetica;sans-serif" w:hAnsi="Arial;Helvetica;sans-serif"/>
                  <w:caps w:val="false"/>
                  <w:smallCaps w:val="false"/>
                  <w:sz w:val="20"/>
                </w:rPr>
                <w:t> </w:t>
              </w:r>
            </w:hyperlink>
            <w:hyperlink w:anchor="cvrx-20230331xex32d2.htm">
              <w:r>
                <w:rPr>
                  <w:rStyle w:val="InternetLink"/>
                  <w:rFonts w:ascii="Arial;Helvetica;sans-serif" w:hAnsi="Arial;Helvetica;sans-serif"/>
                  <w:b w:val="false"/>
                  <w:i w:val="false"/>
                  <w:caps w:val="false"/>
                  <w:smallCaps w:val="false"/>
                  <w:sz w:val="20"/>
                </w:rPr>
                <w:t>906 of the Sarbanes-Oxley Act of 2002</w:t>
              </w:r>
            </w:hyperlink>
          </w:p>
        </w:tc>
      </w:tr>
      <w:tr>
        <w:trPr/>
        <w:tc>
          <w:tcPr>
            <w:tcW w:w="79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299" w:type="dxa"/>
            <w:tcBorders/>
            <w:vAlign w:val="center"/>
          </w:tcPr>
          <w:p>
            <w:pPr>
              <w:pStyle w:val="TableContents"/>
              <w:bidi w:val="0"/>
              <w:spacing w:before="0" w:after="0"/>
              <w:ind w:left="0" w:right="0" w:hanging="0"/>
              <w:jc w:val="left"/>
              <w:rPr/>
            </w:pPr>
            <w:r>
              <w:rPr/>
              <w:t>​</w:t>
            </w:r>
          </w:p>
        </w:tc>
      </w:tr>
      <w:tr>
        <w:trPr/>
        <w:tc>
          <w:tcPr>
            <w:tcW w:w="797"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101.INS†</w:t>
            </w:r>
          </w:p>
        </w:tc>
        <w:tc>
          <w:tcPr>
            <w:tcW w:w="109" w:type="dxa"/>
            <w:tcBorders/>
            <w:vAlign w:val="center"/>
          </w:tcPr>
          <w:p>
            <w:pPr>
              <w:pStyle w:val="TableContents"/>
              <w:bidi w:val="0"/>
              <w:spacing w:before="0" w:after="0"/>
              <w:ind w:left="0" w:right="0" w:hanging="0"/>
              <w:jc w:val="left"/>
              <w:rPr/>
            </w:pPr>
            <w:r>
              <w:rPr/>
              <w:t>​</w:t>
            </w:r>
          </w:p>
        </w:tc>
        <w:tc>
          <w:tcPr>
            <w:tcW w:w="9299"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Instance Document – the instance document does not appear in the Interactive Data File because its XBRL tags are embedded within the Inline XBRL document</w:t>
            </w:r>
          </w:p>
        </w:tc>
      </w:tr>
      <w:tr>
        <w:trPr/>
        <w:tc>
          <w:tcPr>
            <w:tcW w:w="797"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9299" w:type="dxa"/>
            <w:tcBorders/>
            <w:vAlign w:val="center"/>
          </w:tcPr>
          <w:p>
            <w:pPr>
              <w:pStyle w:val="TableContents"/>
              <w:bidi w:val="0"/>
              <w:spacing w:before="0" w:after="283"/>
              <w:ind w:left="0" w:right="0" w:hanging="0"/>
              <w:jc w:val="left"/>
              <w:rPr>
                <w:sz w:val="4"/>
                <w:szCs w:val="4"/>
              </w:rPr>
            </w:pPr>
            <w:r>
              <w:rPr>
                <w:sz w:val="4"/>
                <w:szCs w:val="4"/>
              </w:rPr>
            </w:r>
          </w:p>
        </w:tc>
      </w:tr>
      <w:tr>
        <w:trPr/>
        <w:tc>
          <w:tcPr>
            <w:tcW w:w="797"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101.SCH†</w:t>
            </w:r>
          </w:p>
        </w:tc>
        <w:tc>
          <w:tcPr>
            <w:tcW w:w="109" w:type="dxa"/>
            <w:tcBorders/>
            <w:vAlign w:val="center"/>
          </w:tcPr>
          <w:p>
            <w:pPr>
              <w:pStyle w:val="TableContents"/>
              <w:bidi w:val="0"/>
              <w:spacing w:before="0" w:after="0"/>
              <w:ind w:left="0" w:right="0" w:hanging="0"/>
              <w:jc w:val="left"/>
              <w:rPr/>
            </w:pPr>
            <w:r>
              <w:rPr/>
              <w:t>​</w:t>
            </w:r>
          </w:p>
        </w:tc>
        <w:tc>
          <w:tcPr>
            <w:tcW w:w="9299"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Taxonomy Extension Schema Document</w:t>
            </w:r>
          </w:p>
        </w:tc>
      </w:tr>
      <w:tr>
        <w:trPr/>
        <w:tc>
          <w:tcPr>
            <w:tcW w:w="797"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9299" w:type="dxa"/>
            <w:tcBorders/>
            <w:vAlign w:val="center"/>
          </w:tcPr>
          <w:p>
            <w:pPr>
              <w:pStyle w:val="TableContents"/>
              <w:bidi w:val="0"/>
              <w:spacing w:before="0" w:after="283"/>
              <w:ind w:left="0" w:right="0" w:hanging="0"/>
              <w:jc w:val="left"/>
              <w:rPr>
                <w:sz w:val="4"/>
                <w:szCs w:val="4"/>
              </w:rPr>
            </w:pPr>
            <w:r>
              <w:rPr>
                <w:sz w:val="4"/>
                <w:szCs w:val="4"/>
              </w:rPr>
            </w:r>
          </w:p>
        </w:tc>
      </w:tr>
      <w:tr>
        <w:trPr/>
        <w:tc>
          <w:tcPr>
            <w:tcW w:w="797"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101.CAL†</w:t>
            </w:r>
          </w:p>
        </w:tc>
        <w:tc>
          <w:tcPr>
            <w:tcW w:w="109" w:type="dxa"/>
            <w:tcBorders/>
            <w:vAlign w:val="center"/>
          </w:tcPr>
          <w:p>
            <w:pPr>
              <w:pStyle w:val="TableContents"/>
              <w:bidi w:val="0"/>
              <w:spacing w:before="0" w:after="0"/>
              <w:ind w:left="0" w:right="0" w:hanging="0"/>
              <w:jc w:val="left"/>
              <w:rPr/>
            </w:pPr>
            <w:r>
              <w:rPr/>
              <w:t>​</w:t>
            </w:r>
          </w:p>
        </w:tc>
        <w:tc>
          <w:tcPr>
            <w:tcW w:w="9299"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Taxonomy Extension Calculation Linkbase Document</w:t>
            </w:r>
          </w:p>
        </w:tc>
      </w:tr>
      <w:tr>
        <w:trPr/>
        <w:tc>
          <w:tcPr>
            <w:tcW w:w="797"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9299" w:type="dxa"/>
            <w:tcBorders/>
            <w:vAlign w:val="center"/>
          </w:tcPr>
          <w:p>
            <w:pPr>
              <w:pStyle w:val="TableContents"/>
              <w:bidi w:val="0"/>
              <w:spacing w:before="0" w:after="283"/>
              <w:ind w:left="0" w:right="0" w:hanging="0"/>
              <w:jc w:val="left"/>
              <w:rPr>
                <w:sz w:val="4"/>
                <w:szCs w:val="4"/>
              </w:rPr>
            </w:pPr>
            <w:r>
              <w:rPr>
                <w:sz w:val="4"/>
                <w:szCs w:val="4"/>
              </w:rPr>
            </w:r>
          </w:p>
        </w:tc>
      </w:tr>
      <w:tr>
        <w:trPr/>
        <w:tc>
          <w:tcPr>
            <w:tcW w:w="797"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101.DEF†</w:t>
            </w:r>
          </w:p>
        </w:tc>
        <w:tc>
          <w:tcPr>
            <w:tcW w:w="109" w:type="dxa"/>
            <w:tcBorders/>
            <w:vAlign w:val="center"/>
          </w:tcPr>
          <w:p>
            <w:pPr>
              <w:pStyle w:val="TableContents"/>
              <w:bidi w:val="0"/>
              <w:spacing w:before="0" w:after="0"/>
              <w:ind w:left="0" w:right="0" w:hanging="0"/>
              <w:jc w:val="left"/>
              <w:rPr/>
            </w:pPr>
            <w:r>
              <w:rPr/>
              <w:t>​</w:t>
            </w:r>
          </w:p>
        </w:tc>
        <w:tc>
          <w:tcPr>
            <w:tcW w:w="9299"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Taxonomy Extension Definition Linkbase Document</w:t>
            </w:r>
          </w:p>
        </w:tc>
      </w:tr>
      <w:tr>
        <w:trPr/>
        <w:tc>
          <w:tcPr>
            <w:tcW w:w="797"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9299" w:type="dxa"/>
            <w:tcBorders/>
            <w:vAlign w:val="center"/>
          </w:tcPr>
          <w:p>
            <w:pPr>
              <w:pStyle w:val="TableContents"/>
              <w:bidi w:val="0"/>
              <w:spacing w:before="0" w:after="283"/>
              <w:ind w:left="0" w:right="0" w:hanging="0"/>
              <w:jc w:val="left"/>
              <w:rPr>
                <w:sz w:val="4"/>
                <w:szCs w:val="4"/>
              </w:rPr>
            </w:pPr>
            <w:r>
              <w:rPr>
                <w:sz w:val="4"/>
                <w:szCs w:val="4"/>
              </w:rPr>
            </w:r>
          </w:p>
        </w:tc>
      </w:tr>
      <w:tr>
        <w:trPr/>
        <w:tc>
          <w:tcPr>
            <w:tcW w:w="797"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101.LAB†</w:t>
            </w:r>
          </w:p>
        </w:tc>
        <w:tc>
          <w:tcPr>
            <w:tcW w:w="109" w:type="dxa"/>
            <w:tcBorders/>
            <w:vAlign w:val="center"/>
          </w:tcPr>
          <w:p>
            <w:pPr>
              <w:pStyle w:val="TableContents"/>
              <w:bidi w:val="0"/>
              <w:spacing w:before="0" w:after="0"/>
              <w:ind w:left="0" w:right="0" w:hanging="0"/>
              <w:jc w:val="left"/>
              <w:rPr/>
            </w:pPr>
            <w:r>
              <w:rPr/>
              <w:t>​</w:t>
            </w:r>
          </w:p>
        </w:tc>
        <w:tc>
          <w:tcPr>
            <w:tcW w:w="9299"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Taxonomy Extension Label Linkbase Document</w:t>
            </w:r>
          </w:p>
        </w:tc>
      </w:tr>
      <w:tr>
        <w:trPr/>
        <w:tc>
          <w:tcPr>
            <w:tcW w:w="797"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9299" w:type="dxa"/>
            <w:tcBorders/>
            <w:vAlign w:val="center"/>
          </w:tcPr>
          <w:p>
            <w:pPr>
              <w:pStyle w:val="TableContents"/>
              <w:bidi w:val="0"/>
              <w:spacing w:before="0" w:after="283"/>
              <w:ind w:left="0" w:right="0" w:hanging="0"/>
              <w:jc w:val="left"/>
              <w:rPr>
                <w:sz w:val="4"/>
                <w:szCs w:val="4"/>
              </w:rPr>
            </w:pPr>
            <w:r>
              <w:rPr>
                <w:sz w:val="4"/>
                <w:szCs w:val="4"/>
              </w:rPr>
            </w:r>
          </w:p>
        </w:tc>
      </w:tr>
      <w:tr>
        <w:trPr/>
        <w:tc>
          <w:tcPr>
            <w:tcW w:w="797"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101.PRE†</w:t>
            </w:r>
          </w:p>
        </w:tc>
        <w:tc>
          <w:tcPr>
            <w:tcW w:w="109" w:type="dxa"/>
            <w:tcBorders/>
            <w:vAlign w:val="center"/>
          </w:tcPr>
          <w:p>
            <w:pPr>
              <w:pStyle w:val="TableContents"/>
              <w:bidi w:val="0"/>
              <w:spacing w:before="0" w:after="0"/>
              <w:ind w:left="0" w:right="0" w:hanging="0"/>
              <w:jc w:val="left"/>
              <w:rPr/>
            </w:pPr>
            <w:r>
              <w:rPr/>
              <w:t>​</w:t>
            </w:r>
          </w:p>
        </w:tc>
        <w:tc>
          <w:tcPr>
            <w:tcW w:w="9299"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Taxonomy Extension Presentation Linkbase Document</w:t>
            </w:r>
          </w:p>
        </w:tc>
      </w:tr>
      <w:tr>
        <w:trPr/>
        <w:tc>
          <w:tcPr>
            <w:tcW w:w="79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299" w:type="dxa"/>
            <w:tcBorders/>
            <w:vAlign w:val="center"/>
          </w:tcPr>
          <w:p>
            <w:pPr>
              <w:pStyle w:val="TableContents"/>
              <w:bidi w:val="0"/>
              <w:spacing w:before="0" w:after="0"/>
              <w:ind w:left="0" w:right="0" w:hanging="0"/>
              <w:jc w:val="left"/>
              <w:rPr/>
            </w:pPr>
            <w:r>
              <w:rPr/>
              <w:t>​</w:t>
            </w:r>
          </w:p>
        </w:tc>
      </w:tr>
      <w:tr>
        <w:trPr/>
        <w:tc>
          <w:tcPr>
            <w:tcW w:w="797"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104†</w:t>
            </w:r>
          </w:p>
        </w:tc>
        <w:tc>
          <w:tcPr>
            <w:tcW w:w="109" w:type="dxa"/>
            <w:tcBorders/>
            <w:vAlign w:val="center"/>
          </w:tcPr>
          <w:p>
            <w:pPr>
              <w:pStyle w:val="TableContents"/>
              <w:bidi w:val="0"/>
              <w:spacing w:before="0" w:after="0"/>
              <w:ind w:left="0" w:right="0" w:hanging="0"/>
              <w:jc w:val="left"/>
              <w:rPr/>
            </w:pPr>
            <w:r>
              <w:rPr/>
              <w:t>​</w:t>
            </w:r>
          </w:p>
        </w:tc>
        <w:tc>
          <w:tcPr>
            <w:tcW w:w="9299" w:type="dxa"/>
            <w:tcBorders/>
            <w:vAlign w:val="center"/>
          </w:tcPr>
          <w:p>
            <w:pPr>
              <w:pStyle w:val="TableContents"/>
              <w:bidi w:val="0"/>
              <w:spacing w:before="0" w:after="0"/>
              <w:ind w:left="13" w:right="0" w:hanging="0"/>
              <w:jc w:val="left"/>
              <w:rPr>
                <w:rFonts w:ascii="Arial;Helvetica;sans-serif" w:hAnsi="Arial;Helvetica;sans-serif"/>
                <w:sz w:val="20"/>
              </w:rPr>
            </w:pPr>
            <w:r>
              <w:rPr>
                <w:rFonts w:ascii="Arial;Helvetica;sans-serif" w:hAnsi="Arial;Helvetica;sans-serif"/>
                <w:sz w:val="20"/>
              </w:rPr>
              <w:t>Cover Page Interactive Data File (formatted in Inline XBRL and contained in Exhibit 101)</w:t>
            </w:r>
          </w:p>
        </w:tc>
      </w:tr>
    </w:tbl>
    <w:tbl>
      <w:tblPr>
        <w:tblW w:w="1652" w:type="dxa"/>
        <w:jc w:val="left"/>
        <w:tblInd w:w="0" w:type="dxa"/>
        <w:tblLayout w:type="fixed"/>
        <w:tblCellMar>
          <w:top w:w="0" w:type="dxa"/>
          <w:left w:w="0" w:type="dxa"/>
          <w:bottom w:w="0" w:type="dxa"/>
          <w:right w:w="0" w:type="dxa"/>
        </w:tblCellMar>
      </w:tblPr>
      <w:tblGrid>
        <w:gridCol w:w="241"/>
        <w:gridCol w:w="1411"/>
      </w:tblGrid>
      <w:tr>
        <w:trPr/>
        <w:tc>
          <w:tcPr>
            <w:tcW w:w="241" w:type="dxa"/>
            <w:tcBorders/>
            <w:vAlign w:val="center"/>
          </w:tcPr>
          <w:p>
            <w:pPr>
              <w:pStyle w:val="TableContents"/>
              <w:bidi w:val="0"/>
              <w:spacing w:before="0" w:after="240"/>
              <w:jc w:val="left"/>
              <w:rPr/>
            </w:pPr>
            <w:r>
              <w:rPr/>
              <w:t>†</w:t>
            </w:r>
          </w:p>
        </w:tc>
        <w:tc>
          <w:tcPr>
            <w:tcW w:w="1411" w:type="dxa"/>
            <w:tcBorders/>
            <w:vAlign w:val="center"/>
          </w:tcPr>
          <w:p>
            <w:pPr>
              <w:pStyle w:val="TableContents"/>
              <w:bidi w:val="0"/>
              <w:spacing w:before="0" w:after="240"/>
              <w:jc w:val="left"/>
              <w:rPr>
                <w:rFonts w:ascii="Arial;Helvetica;sans-serif" w:hAnsi="Arial;Helvetica;sans-serif"/>
                <w:sz w:val="20"/>
              </w:rPr>
            </w:pPr>
            <w:r>
              <w:rPr>
                <w:rFonts w:ascii="Arial;Helvetica;sans-serif" w:hAnsi="Arial;Helvetica;sans-serif"/>
                <w:sz w:val="20"/>
              </w:rPr>
              <w:t>Filed herewith.</w:t>
            </w:r>
          </w:p>
        </w:tc>
      </w:tr>
    </w:tbl>
    <w:p>
      <w:pPr>
        <w:pStyle w:val="TextBody"/>
        <w:pBdr/>
        <w:bidi w:val="0"/>
        <w:spacing w:before="0" w:after="240"/>
        <w:ind w:left="0" w:right="0" w:hanging="36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0" w:right="0" w:hanging="360"/>
        <w:jc w:val="left"/>
        <w:rPr/>
      </w:pPr>
      <w:r>
        <w:rPr/>
        <w:t>​</w:t>
      </w:r>
    </w:p>
    <w:p>
      <w:pPr>
        <w:pStyle w:val="TextBody"/>
        <w:bidi w:val="0"/>
        <w:spacing w:before="0" w:after="240"/>
        <w:ind w:left="0" w:right="0" w:hanging="0"/>
        <w:jc w:val="center"/>
        <w:rPr>
          <w:rFonts w:ascii="Arial;Helvetica;sans-serif" w:hAnsi="Arial;Helvetica;sans-serif"/>
          <w:b/>
          <w:sz w:val="24"/>
        </w:rPr>
      </w:pPr>
      <w:bookmarkStart w:id="687" w:name="SIGNATURES_221192"/>
      <w:bookmarkStart w:id="688" w:name="_11cd4fbc_683f_4e42_a25c_35d9287509c9"/>
      <w:bookmarkEnd w:id="687"/>
      <w:bookmarkEnd w:id="688"/>
      <w:r>
        <w:rPr>
          <w:rFonts w:ascii="Arial;Helvetica;sans-serif" w:hAnsi="Arial;Helvetica;sans-serif"/>
          <w:b/>
          <w:sz w:val="24"/>
        </w:rPr>
        <w:t>SIGNATURES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Date: May 11, 2023</w:t>
      </w:r>
    </w:p>
    <w:tbl>
      <w:tblPr>
        <w:tblW w:w="4716" w:type="dxa"/>
        <w:jc w:val="left"/>
        <w:tblInd w:w="0" w:type="dxa"/>
        <w:tblLayout w:type="fixed"/>
        <w:tblCellMar>
          <w:top w:w="0" w:type="dxa"/>
          <w:left w:w="0" w:type="dxa"/>
          <w:bottom w:w="0" w:type="dxa"/>
          <w:right w:w="0" w:type="dxa"/>
        </w:tblCellMar>
      </w:tblPr>
      <w:tblGrid>
        <w:gridCol w:w="124"/>
        <w:gridCol w:w="676"/>
        <w:gridCol w:w="3916"/>
      </w:tblGrid>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91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92" w:type="dxa"/>
            <w:gridSpan w:val="2"/>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b/>
                <w:sz w:val="20"/>
              </w:rPr>
              <w:t>CVRX,</w:t>
            </w:r>
            <w:r>
              <w:rPr>
                <w:rFonts w:ascii="Arial;Helvetica;sans-serif" w:hAnsi="Arial;Helvetica;sans-serif"/>
                <w:sz w:val="20"/>
              </w:rPr>
              <w:t> </w:t>
            </w:r>
            <w:r>
              <w:rPr>
                <w:rFonts w:ascii="Arial;Helvetica;sans-serif" w:hAnsi="Arial;Helvetica;sans-serif"/>
                <w:b/>
                <w:sz w:val="20"/>
              </w:rPr>
              <w:t>INC.</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91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391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 Nadim Yared</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Name:</w:t>
            </w:r>
          </w:p>
        </w:tc>
        <w:tc>
          <w:tcPr>
            <w:tcW w:w="39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Nadim Yared</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Title:</w:t>
            </w:r>
          </w:p>
        </w:tc>
        <w:tc>
          <w:tcPr>
            <w:tcW w:w="39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President and 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9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(Principal Executive Officer)</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91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391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 Jared Oasheim</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Name:</w:t>
            </w:r>
          </w:p>
        </w:tc>
        <w:tc>
          <w:tcPr>
            <w:tcW w:w="3916"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Jared Oasheim</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Title:</w:t>
            </w:r>
          </w:p>
        </w:tc>
        <w:tc>
          <w:tcPr>
            <w:tcW w:w="39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Chief Financial Officer</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9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(Principal Financial and Accounting Officer)</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91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33</w:t>
      </w:r>
    </w:p>
    <w:p>
      <w:pPr>
        <w:pStyle w:val="TextBody"/>
        <w:bidi w:val="0"/>
        <w:spacing w:before="0" w:after="0"/>
        <w:ind w:left="0" w:right="0" w:hanging="0"/>
        <w:jc w:val="right"/>
        <w:rPr>
          <w:rFonts w:ascii="Times New Roman;Times;serif" w:hAnsi="Times New Roman;Times;serif"/>
          <w:b/>
          <w:sz w:val="24"/>
        </w:rPr>
      </w:pPr>
      <w:bookmarkStart w:id="689" w:name="cvrx-20230331xex10d1.htm"/>
      <w:bookmarkStart w:id="690" w:name="kscvrx20230331xex10d1"/>
      <w:bookmarkEnd w:id="689"/>
      <w:bookmarkEnd w:id="690"/>
      <w:r>
        <w:rPr>
          <w:rFonts w:ascii="Times New Roman;Times;serif" w:hAnsi="Times New Roman;Times;serif"/>
          <w:b/>
          <w:sz w:val="24"/>
        </w:rPr>
        <w:t>Exhibit 10.1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FIFTH AMENDMENT TO LEASE</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THIS FIFTH AMENDMENT TO LEASE (“Amendment”) is dated April 21, 2023, by and between TCI TT, LLC, a Delaware limited liability company (“Landlord”), and CVRx, Inc., a Delaware limited liability company (“Tenant”).</w:t>
      </w:r>
    </w:p>
    <w:p>
      <w:pPr>
        <w:pStyle w:val="TextBody"/>
        <w:bidi w:val="0"/>
        <w:spacing w:before="0" w:after="0"/>
        <w:ind w:left="0" w:right="0" w:hanging="0"/>
        <w:jc w:val="both"/>
        <w:rPr/>
      </w:pPr>
      <w:r>
        <w:rPr/>
        <w:t>​</w:t>
      </w:r>
    </w:p>
    <w:p>
      <w:pPr>
        <w:pStyle w:val="TextBody"/>
        <w:bidi w:val="0"/>
        <w:ind w:left="0" w:right="0" w:hanging="0"/>
        <w:jc w:val="both"/>
        <w:rPr>
          <w:rFonts w:ascii="Times New Roman;Times;serif" w:hAnsi="Times New Roman;Times;serif"/>
          <w:sz w:val="24"/>
        </w:rPr>
      </w:pPr>
      <w:r>
        <w:rPr>
          <w:rFonts w:ascii="Times New Roman;Times;serif" w:hAnsi="Times New Roman;Times;serif"/>
          <w:sz w:val="24"/>
        </w:rPr>
        <w:t>A.Landlord, as successor in interest to Duke Realty Limited Partnership, and Tenant are the current parties to that certain Lease dated October 13, 2008 (“Original Lease”), as amended by that certain First Lease Amendment dated November 30, 2010 (“First Amendment”), as further amended by that certain Second Lease Amendment dated October 22, 2012 (“Second Amendment”), as further amended by that certain Lease Amending Agreement No. 3 dated May 20, 2016 (“Third Amendment”), and as further amended by that certain Lease Amending Agreement No. 4 dated May 18, 2020 (“Fourth Amendment”) (the Original Lease, First Amendment, Second Amendment, Third Amendment and Fourth Amendment are hereinafter collectively referred to as the “Lease”), for the lease by Tenant of that certain space located at 9201 West Broadway North, Suite 650, Brooklyn Park, Minnesota 55445, consisting of approximately 23,890 rentable square feet, as more particularly described in the Lease (“Leased Premises”).</w:t>
      </w:r>
    </w:p>
    <w:p>
      <w:pPr>
        <w:pStyle w:val="TextBody"/>
        <w:bidi w:val="0"/>
        <w:spacing w:before="0" w:after="0"/>
        <w:ind w:left="630" w:right="0" w:hanging="0"/>
        <w:jc w:val="both"/>
        <w:rPr/>
      </w:pPr>
      <w:r>
        <w:rPr/>
        <w:t>​</w:t>
      </w:r>
    </w:p>
    <w:p>
      <w:pPr>
        <w:pStyle w:val="TextBody"/>
        <w:bidi w:val="0"/>
        <w:ind w:left="0" w:right="0" w:hanging="0"/>
        <w:jc w:val="both"/>
        <w:rPr>
          <w:rFonts w:ascii="Times New Roman;Times;serif" w:hAnsi="Times New Roman;Times;serif"/>
          <w:sz w:val="24"/>
        </w:rPr>
      </w:pPr>
      <w:r>
        <w:rPr>
          <w:rFonts w:ascii="Times New Roman;Times;serif" w:hAnsi="Times New Roman;Times;serif"/>
          <w:sz w:val="24"/>
        </w:rPr>
        <w:t>B.Landlord and Tenant desire to amend the Lease to extend the term of the Lease, and to make certain other specific modifications to the Lease, upon the terms and conditions hereinafter set forth.</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NOW, THEREFORE, in consideration of the foregoing and the mutual covenants hereinafter contained, and for other good and valuable consideration, the receipt and sufficiency of which are hereby acknowledged, the parties agree as follows:</w:t>
      </w:r>
    </w:p>
    <w:p>
      <w:pPr>
        <w:pStyle w:val="TextBody"/>
        <w:bidi w:val="0"/>
        <w:spacing w:before="0" w:after="0"/>
        <w:ind w:left="0" w:right="0" w:hanging="0"/>
        <w:jc w:val="both"/>
        <w:rPr/>
      </w:pPr>
      <w:r>
        <w:rPr/>
        <w:t>​</w:t>
      </w:r>
    </w:p>
    <w:p>
      <w:pPr>
        <w:pStyle w:val="TextBody"/>
        <w:bidi w:val="0"/>
        <w:ind w:left="0" w:right="0" w:hanging="0"/>
        <w:jc w:val="both"/>
        <w:rPr>
          <w:rFonts w:ascii="Courier" w:hAnsi="Courier"/>
          <w:sz w:val="24"/>
        </w:rPr>
      </w:pPr>
      <w:r>
        <w:rPr>
          <w:rFonts w:ascii="Times New Roman;Times;serif" w:hAnsi="Times New Roman;Times;serif"/>
          <w:sz w:val="24"/>
        </w:rPr>
        <w:t>1.</w:t>
      </w:r>
      <w:r>
        <w:rPr>
          <w:rFonts w:ascii="Times New Roman;Times;serif" w:hAnsi="Times New Roman;Times;serif"/>
          <w:sz w:val="24"/>
          <w:u w:val="single"/>
        </w:rPr>
        <w:t>Capitalized Terms</w:t>
      </w:r>
      <w:r>
        <w:rPr>
          <w:rFonts w:ascii="Times New Roman;Times;serif" w:hAnsi="Times New Roman;Times;serif"/>
          <w:sz w:val="24"/>
        </w:rPr>
        <w:t>.  All capitalized terms in this Amendment have the same meaning defined in the Lease, except where expressly defined to the contrary in this Amendment.</w:t>
      </w:r>
    </w:p>
    <w:p>
      <w:pPr>
        <w:pStyle w:val="TextBody"/>
        <w:bidi w:val="0"/>
        <w:spacing w:before="0" w:after="0"/>
        <w:ind w:left="360" w:right="0" w:hanging="0"/>
        <w:jc w:val="both"/>
        <w:rPr/>
      </w:pPr>
      <w:r>
        <w:rPr/>
        <w:t>​</w:t>
      </w:r>
    </w:p>
    <w:p>
      <w:pPr>
        <w:pStyle w:val="TextBody"/>
        <w:bidi w:val="0"/>
        <w:ind w:left="0" w:right="0" w:hanging="0"/>
        <w:jc w:val="both"/>
        <w:rPr>
          <w:rFonts w:ascii="Courier" w:hAnsi="Courier"/>
          <w:sz w:val="24"/>
        </w:rPr>
      </w:pPr>
      <w:r>
        <w:rPr>
          <w:rFonts w:ascii="Times New Roman;Times;serif" w:hAnsi="Times New Roman;Times;serif"/>
          <w:sz w:val="24"/>
        </w:rPr>
        <w:t>2.</w:t>
      </w:r>
      <w:r>
        <w:rPr>
          <w:rFonts w:ascii="Times New Roman;Times;serif" w:hAnsi="Times New Roman;Times;serif"/>
          <w:sz w:val="24"/>
          <w:u w:val="single"/>
        </w:rPr>
        <w:t>Confirmation</w:t>
      </w:r>
      <w:r>
        <w:rPr>
          <w:rFonts w:ascii="Times New Roman;Times;serif" w:hAnsi="Times New Roman;Times;serif"/>
          <w:sz w:val="24"/>
        </w:rPr>
        <w:t>.  Tenant acknowledges and agrees that: (a) Tenant is in sole possession of the Leased Premises demised under the Lease; (b) all work, improvements and furnishings required by Landlord under the Lease have been completed and accepted by Tenant; (c) Tenant has no offset, claim, recoupment, or defense against the payment of rent or other sums and the performance of all obligations of Tenant under the Lease; (d) the Lease is binding on Tenant and is in full force and effect, and Tenant has no defenses to the enforcement of the Lease; (e) Tenant has not assigned the Lease, or sublet the Leased Premises; and (f) Tenant is not in default of the Lease and Tenant acknowledges that Landlord is not in default of the Lease.</w:t>
      </w:r>
    </w:p>
    <w:p>
      <w:pPr>
        <w:pStyle w:val="TextBody"/>
        <w:bidi w:val="0"/>
        <w:spacing w:before="0" w:after="0"/>
        <w:ind w:left="360" w:right="0" w:hanging="0"/>
        <w:jc w:val="both"/>
        <w:rPr/>
      </w:pPr>
      <w:r>
        <w:rPr/>
        <w:t>​</w:t>
      </w:r>
    </w:p>
    <w:p>
      <w:pPr>
        <w:pStyle w:val="TextBody"/>
        <w:bidi w:val="0"/>
        <w:ind w:left="0" w:right="0" w:hanging="0"/>
        <w:jc w:val="both"/>
        <w:rPr>
          <w:rFonts w:ascii="Courier" w:hAnsi="Courier"/>
          <w:sz w:val="24"/>
        </w:rPr>
      </w:pPr>
      <w:r>
        <w:rPr>
          <w:rFonts w:ascii="Times New Roman;Times;serif" w:hAnsi="Times New Roman;Times;serif"/>
          <w:sz w:val="24"/>
        </w:rPr>
        <w:t>3.</w:t>
      </w:r>
      <w:r>
        <w:rPr>
          <w:rFonts w:ascii="Times New Roman;Times;serif" w:hAnsi="Times New Roman;Times;serif"/>
          <w:sz w:val="24"/>
          <w:u w:val="single"/>
        </w:rPr>
        <w:t>Term</w:t>
      </w:r>
      <w:r>
        <w:rPr>
          <w:rFonts w:ascii="Times New Roman;Times;serif" w:hAnsi="Times New Roman;Times;serif"/>
          <w:sz w:val="24"/>
        </w:rPr>
        <w:t>.  The Term of the Lease is extended for an additional forty-nine (49) consecutive months commencing August 1, 2024, such that it will expire on August 31, 2028 (“Extension Term”).</w:t>
      </w:r>
    </w:p>
    <w:p>
      <w:pPr>
        <w:pStyle w:val="TextBody"/>
        <w:bidi w:val="0"/>
        <w:spacing w:before="0" w:after="0"/>
        <w:ind w:left="360" w:right="0" w:hanging="0"/>
        <w:jc w:val="both"/>
        <w:rPr/>
      </w:pPr>
      <w:r>
        <w:rPr/>
        <w:t>​</w:t>
      </w:r>
    </w:p>
    <w:p>
      <w:pPr>
        <w:pStyle w:val="TextBody"/>
        <w:bidi w:val="0"/>
        <w:ind w:left="0" w:right="0" w:hanging="0"/>
        <w:jc w:val="both"/>
        <w:rPr>
          <w:rFonts w:ascii="Courier" w:hAnsi="Courier"/>
          <w:sz w:val="24"/>
        </w:rPr>
      </w:pPr>
      <w:r>
        <w:rPr>
          <w:rFonts w:ascii="Times New Roman;Times;serif" w:hAnsi="Times New Roman;Times;serif"/>
          <w:sz w:val="24"/>
        </w:rPr>
        <w:t>4.</w:t>
      </w:r>
      <w:r>
        <w:rPr>
          <w:rFonts w:ascii="Times New Roman;Times;serif" w:hAnsi="Times New Roman;Times;serif"/>
          <w:sz w:val="24"/>
          <w:u w:val="single"/>
        </w:rPr>
        <w:t>Monthly Rental Installments</w:t>
      </w:r>
      <w:r>
        <w:rPr>
          <w:rFonts w:ascii="Times New Roman;Times;serif" w:hAnsi="Times New Roman;Times;serif"/>
          <w:sz w:val="24"/>
        </w:rPr>
        <w:t>. The Monthly Rental Installments from and after August 1, 2024 is as follows:</w:t>
      </w:r>
    </w:p>
    <w:p>
      <w:pPr>
        <w:pStyle w:val="TextBody"/>
        <w:bidi w:val="0"/>
        <w:spacing w:before="0" w:after="0"/>
        <w:ind w:left="720" w:right="0" w:hanging="0"/>
        <w:jc w:val="left"/>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tbl>
      <w:tblPr>
        <w:tblW w:w="6530" w:type="dxa"/>
        <w:jc w:val="left"/>
        <w:tblInd w:w="0" w:type="dxa"/>
        <w:tblLayout w:type="fixed"/>
        <w:tblCellMar>
          <w:top w:w="0" w:type="dxa"/>
          <w:left w:w="0" w:type="dxa"/>
          <w:bottom w:w="0" w:type="dxa"/>
          <w:right w:w="0" w:type="dxa"/>
        </w:tblCellMar>
      </w:tblPr>
      <w:tblGrid>
        <w:gridCol w:w="961"/>
        <w:gridCol w:w="226"/>
        <w:gridCol w:w="1066"/>
        <w:gridCol w:w="1231"/>
        <w:gridCol w:w="3046"/>
      </w:tblGrid>
      <w:tr>
        <w:trPr/>
        <w:tc>
          <w:tcPr>
            <w:tcW w:w="2253" w:type="dxa"/>
            <w:gridSpan w:val="3"/>
            <w:tcBorders/>
            <w:vAlign w:val="center"/>
          </w:tcPr>
          <w:p>
            <w:pPr>
              <w:pStyle w:val="TableContents"/>
              <w:bidi w:val="0"/>
              <w:spacing w:before="0" w:after="0"/>
              <w:ind w:left="0" w:right="0" w:hanging="0"/>
              <w:jc w:val="both"/>
              <w:rPr>
                <w:rFonts w:ascii="Times New Roman;Times;serif" w:hAnsi="Times New Roman;Times;serif"/>
                <w:b/>
                <w:sz w:val="24"/>
              </w:rPr>
            </w:pPr>
            <w:r>
              <w:rPr>
                <w:rFonts w:ascii="Times New Roman;Times;serif" w:hAnsi="Times New Roman;Times;serif"/>
                <w:b/>
                <w:sz w:val="24"/>
              </w:rPr>
              <w:t>Time Period</w:t>
            </w:r>
          </w:p>
        </w:tc>
        <w:tc>
          <w:tcPr>
            <w:tcW w:w="1231" w:type="dxa"/>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Rate (PSF)</w:t>
            </w:r>
          </w:p>
        </w:tc>
        <w:tc>
          <w:tcPr>
            <w:tcW w:w="3046" w:type="dxa"/>
            <w:tcBorders/>
            <w:vAlign w:val="center"/>
          </w:tcPr>
          <w:p>
            <w:pPr>
              <w:pStyle w:val="TableContents"/>
              <w:bidi w:val="0"/>
              <w:spacing w:before="0" w:after="0"/>
              <w:ind w:left="0" w:right="0" w:hanging="0"/>
              <w:jc w:val="both"/>
              <w:rPr>
                <w:rFonts w:ascii="Times New Roman;Times;serif" w:hAnsi="Times New Roman;Times;serif"/>
                <w:b/>
                <w:sz w:val="24"/>
              </w:rPr>
            </w:pPr>
            <w:r>
              <w:rPr>
                <w:rFonts w:ascii="Times New Roman;Times;serif" w:hAnsi="Times New Roman;Times;serif"/>
                <w:b/>
                <w:sz w:val="24"/>
              </w:rPr>
              <w:t>Monthly Rental Installments</w:t>
            </w:r>
          </w:p>
        </w:tc>
      </w:tr>
      <w:tr>
        <w:trPr/>
        <w:tc>
          <w:tcPr>
            <w:tcW w:w="96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8/1/2024</w:t>
            </w:r>
          </w:p>
        </w:tc>
        <w:tc>
          <w:tcPr>
            <w:tcW w:w="226" w:type="dxa"/>
            <w:tcBorders/>
            <w:vAlign w:val="center"/>
          </w:tcPr>
          <w:p>
            <w:pPr>
              <w:pStyle w:val="TableContents"/>
              <w:bidi w:val="0"/>
              <w:spacing w:before="0" w:after="0"/>
              <w:ind w:left="0" w:right="0" w:hanging="0"/>
              <w:jc w:val="both"/>
              <w:rPr/>
            </w:pPr>
            <w:r>
              <w:rPr/>
              <w:t>–</w:t>
            </w:r>
          </w:p>
        </w:tc>
        <w:tc>
          <w:tcPr>
            <w:tcW w:w="10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7/31/2025</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$10.50 </w:t>
            </w:r>
          </w:p>
        </w:tc>
        <w:tc>
          <w:tcPr>
            <w:tcW w:w="304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$20,903.75* </w:t>
            </w:r>
          </w:p>
        </w:tc>
      </w:tr>
      <w:tr>
        <w:trPr/>
        <w:tc>
          <w:tcPr>
            <w:tcW w:w="96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8/1/2025</w:t>
            </w:r>
          </w:p>
        </w:tc>
        <w:tc>
          <w:tcPr>
            <w:tcW w:w="226" w:type="dxa"/>
            <w:tcBorders/>
            <w:vAlign w:val="center"/>
          </w:tcPr>
          <w:p>
            <w:pPr>
              <w:pStyle w:val="TableContents"/>
              <w:bidi w:val="0"/>
              <w:spacing w:before="0" w:after="0"/>
              <w:ind w:left="0" w:right="0" w:hanging="0"/>
              <w:jc w:val="both"/>
              <w:rPr/>
            </w:pPr>
            <w:r>
              <w:rPr/>
              <w:t>–</w:t>
            </w:r>
          </w:p>
        </w:tc>
        <w:tc>
          <w:tcPr>
            <w:tcW w:w="10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7/31/2026</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$10.82 </w:t>
            </w:r>
          </w:p>
        </w:tc>
        <w:tc>
          <w:tcPr>
            <w:tcW w:w="304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$21,540.82 </w:t>
            </w:r>
          </w:p>
        </w:tc>
      </w:tr>
      <w:tr>
        <w:trPr/>
        <w:tc>
          <w:tcPr>
            <w:tcW w:w="96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8/1/2026</w:t>
            </w:r>
          </w:p>
        </w:tc>
        <w:tc>
          <w:tcPr>
            <w:tcW w:w="226" w:type="dxa"/>
            <w:tcBorders/>
            <w:vAlign w:val="center"/>
          </w:tcPr>
          <w:p>
            <w:pPr>
              <w:pStyle w:val="TableContents"/>
              <w:bidi w:val="0"/>
              <w:spacing w:before="0" w:after="0"/>
              <w:ind w:left="0" w:right="0" w:hanging="0"/>
              <w:jc w:val="both"/>
              <w:rPr/>
            </w:pPr>
            <w:r>
              <w:rPr/>
              <w:t>–</w:t>
            </w:r>
          </w:p>
        </w:tc>
        <w:tc>
          <w:tcPr>
            <w:tcW w:w="10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7/31/2027</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$11.14 </w:t>
            </w:r>
          </w:p>
        </w:tc>
        <w:tc>
          <w:tcPr>
            <w:tcW w:w="304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$22,177.88 </w:t>
            </w:r>
          </w:p>
        </w:tc>
      </w:tr>
      <w:tr>
        <w:trPr/>
        <w:tc>
          <w:tcPr>
            <w:tcW w:w="96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8/1/2027</w:t>
            </w:r>
          </w:p>
        </w:tc>
        <w:tc>
          <w:tcPr>
            <w:tcW w:w="226" w:type="dxa"/>
            <w:tcBorders/>
            <w:vAlign w:val="center"/>
          </w:tcPr>
          <w:p>
            <w:pPr>
              <w:pStyle w:val="TableContents"/>
              <w:bidi w:val="0"/>
              <w:spacing w:before="0" w:after="0"/>
              <w:ind w:left="0" w:right="0" w:hanging="0"/>
              <w:jc w:val="both"/>
              <w:rPr/>
            </w:pPr>
            <w:r>
              <w:rPr/>
              <w:t>–</w:t>
            </w:r>
          </w:p>
        </w:tc>
        <w:tc>
          <w:tcPr>
            <w:tcW w:w="10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7/31/2028</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$11.47 </w:t>
            </w:r>
          </w:p>
        </w:tc>
        <w:tc>
          <w:tcPr>
            <w:tcW w:w="304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$22,834.86 </w:t>
            </w:r>
          </w:p>
        </w:tc>
      </w:tr>
      <w:tr>
        <w:trPr/>
        <w:tc>
          <w:tcPr>
            <w:tcW w:w="96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8/1/2028</w:t>
            </w:r>
          </w:p>
        </w:tc>
        <w:tc>
          <w:tcPr>
            <w:tcW w:w="226" w:type="dxa"/>
            <w:tcBorders/>
            <w:vAlign w:val="center"/>
          </w:tcPr>
          <w:p>
            <w:pPr>
              <w:pStyle w:val="TableContents"/>
              <w:bidi w:val="0"/>
              <w:spacing w:before="0" w:after="0"/>
              <w:ind w:left="0" w:right="0" w:hanging="0"/>
              <w:jc w:val="both"/>
              <w:rPr/>
            </w:pPr>
            <w:r>
              <w:rPr/>
              <w:t>–</w:t>
            </w:r>
          </w:p>
        </w:tc>
        <w:tc>
          <w:tcPr>
            <w:tcW w:w="1066" w:type="dxa"/>
            <w:tcBorders/>
            <w:vAlign w:val="center"/>
          </w:tcPr>
          <w:p>
            <w:pPr>
              <w:pStyle w:val="TableContents"/>
              <w:bidi w:val="0"/>
              <w:spacing w:before="0" w:after="0"/>
              <w:ind w:left="0" w:right="0" w:hanging="0"/>
              <w:jc w:val="both"/>
              <w:rPr>
                <w:rFonts w:ascii="Times New Roman;Times;serif" w:hAnsi="Times New Roman;Times;serif"/>
                <w:sz w:val="24"/>
              </w:rPr>
            </w:pPr>
            <w:r>
              <w:rPr>
                <w:rFonts w:ascii="Times New Roman;Times;serif" w:hAnsi="Times New Roman;Times;serif"/>
                <w:sz w:val="24"/>
              </w:rPr>
              <w:t>8/31/2028</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$11.81 </w:t>
            </w:r>
          </w:p>
        </w:tc>
        <w:tc>
          <w:tcPr>
            <w:tcW w:w="304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$23,511.74 </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*Tenant shall have no obligation to pay Monthly Rental Installments for the first (1st) month of the Extension Term (“Abated Rent Period”), reflecting the abatement of Twenty Thousand Nine Hundred Three and 75/100 Dollars ($20,903.75) of Monthly Rental Installments (“Abated Rent”). The Abated Rent granted under this Section is solely for the benefit of CVRx, Inc., and shall not be transferable to any assignee or subtenant. The Abated Rent will accrue as a contingent obligation of Tenant to Landlord but is not payable unless a default occurs under the Lease. Upon the occurrence of a default under the Lease, the Abated Rent will automatically become immediately due and payable to Landlord without notice or demand of any kind. If no such default occurs during the entire Extension Term, Tenant’s contingent obligation to pay the Abated Rent will automatically terminate upon the expiration of the Extension Term. Notwithstanding the foregoing, during the Abated Rent Period, Tenant will pay all other amounts due under the Lease, including Tenant’s Proportionate Share of Operating Expenses.</w:t>
      </w:r>
    </w:p>
    <w:p>
      <w:pPr>
        <w:pStyle w:val="TextBody"/>
        <w:bidi w:val="0"/>
        <w:spacing w:before="0" w:after="0"/>
        <w:ind w:left="0" w:right="0" w:hanging="0"/>
        <w:jc w:val="both"/>
        <w:rPr/>
      </w:pPr>
      <w:r>
        <w:rPr/>
        <w:t>​</w:t>
      </w:r>
    </w:p>
    <w:p>
      <w:pPr>
        <w:pStyle w:val="TextBody"/>
        <w:bidi w:val="0"/>
        <w:ind w:left="0" w:right="0" w:hanging="0"/>
        <w:jc w:val="both"/>
        <w:rPr>
          <w:rFonts w:ascii="Courier" w:hAnsi="Courier"/>
          <w:sz w:val="24"/>
        </w:rPr>
      </w:pPr>
      <w:r>
        <w:rPr>
          <w:rFonts w:ascii="Times New Roman;Times;serif" w:hAnsi="Times New Roman;Times;serif"/>
          <w:sz w:val="24"/>
        </w:rPr>
        <w:t>5.</w:t>
      </w:r>
      <w:r>
        <w:rPr>
          <w:rFonts w:ascii="Times New Roman;Times;serif" w:hAnsi="Times New Roman;Times;serif"/>
          <w:sz w:val="24"/>
          <w:u w:val="single"/>
        </w:rPr>
        <w:t>Condition of Leased Premises</w:t>
      </w:r>
      <w:r>
        <w:rPr>
          <w:rFonts w:ascii="Times New Roman;Times;serif" w:hAnsi="Times New Roman;Times;serif"/>
          <w:sz w:val="24"/>
        </w:rPr>
        <w:t xml:space="preserve">. Tenant accepts the Leased Premises in its as-is condition as of the commencement of the Extension Term, and Landlord will have no obligation to make or pay for any alterations, additions, improvements, or renovations in or to the Leased Premises to prepare it for Tenant’s occupancy during the Extension Term, except for the allowance provided for in </w:t>
      </w:r>
      <w:r>
        <w:rPr>
          <w:rFonts w:ascii="Times New Roman;Times;serif" w:hAnsi="Times New Roman;Times;serif"/>
          <w:b/>
          <w:sz w:val="24"/>
        </w:rPr>
        <w:t>Exhibit A</w:t>
      </w:r>
      <w:r>
        <w:rPr>
          <w:rFonts w:ascii="Times New Roman;Times;serif" w:hAnsi="Times New Roman;Times;serif"/>
          <w:sz w:val="24"/>
        </w:rPr>
        <w:t>.</w:t>
      </w:r>
    </w:p>
    <w:p>
      <w:pPr>
        <w:pStyle w:val="TextBody"/>
        <w:bidi w:val="0"/>
        <w:spacing w:before="0" w:after="0"/>
        <w:ind w:left="0" w:right="0" w:hanging="0"/>
        <w:jc w:val="both"/>
        <w:rPr/>
      </w:pPr>
      <w:r>
        <w:rPr/>
        <w:t>​</w:t>
      </w:r>
    </w:p>
    <w:p>
      <w:pPr>
        <w:pStyle w:val="TextBody"/>
        <w:bidi w:val="0"/>
        <w:ind w:left="0" w:right="0" w:hanging="0"/>
        <w:jc w:val="both"/>
        <w:rPr>
          <w:rFonts w:ascii="Courier" w:hAnsi="Courier"/>
          <w:sz w:val="24"/>
        </w:rPr>
      </w:pPr>
      <w:r>
        <w:rPr>
          <w:rFonts w:ascii="Times New Roman;Times;serif" w:hAnsi="Times New Roman;Times;serif"/>
          <w:sz w:val="24"/>
        </w:rPr>
        <w:t>6.</w:t>
      </w:r>
      <w:r>
        <w:rPr>
          <w:rFonts w:ascii="Times New Roman;Times;serif" w:hAnsi="Times New Roman;Times;serif"/>
          <w:sz w:val="24"/>
          <w:u w:val="single"/>
        </w:rPr>
        <w:t>Improvements by Tenant</w:t>
      </w:r>
      <w:r>
        <w:rPr>
          <w:rFonts w:ascii="Times New Roman;Times;serif" w:hAnsi="Times New Roman;Times;serif"/>
          <w:sz w:val="24"/>
        </w:rPr>
        <w:t xml:space="preserve">. All alterations or improvements by Tenant in the Leased Premises (“Alterations”) shall be subject to Article 7 of the Original Lease and </w:t>
      </w:r>
      <w:r>
        <w:rPr>
          <w:rFonts w:ascii="Times New Roman;Times;serif" w:hAnsi="Times New Roman;Times;serif"/>
          <w:b/>
          <w:sz w:val="24"/>
        </w:rPr>
        <w:t>Exhibit A</w:t>
      </w:r>
      <w:r>
        <w:rPr>
          <w:rFonts w:ascii="Courier" w:hAnsi="Courier"/>
          <w:sz w:val="24"/>
        </w:rPr>
        <w:t xml:space="preserve"> </w:t>
      </w:r>
      <w:r>
        <w:rPr>
          <w:rFonts w:ascii="Times New Roman;Times;serif" w:hAnsi="Times New Roman;Times;serif"/>
          <w:sz w:val="24"/>
        </w:rPr>
        <w:t>attached hereto.  </w:t>
      </w:r>
    </w:p>
    <w:p>
      <w:pPr>
        <w:pStyle w:val="TextBody"/>
        <w:bidi w:val="0"/>
        <w:spacing w:before="0" w:after="0"/>
        <w:ind w:left="0" w:right="0" w:hanging="0"/>
        <w:jc w:val="both"/>
        <w:rPr/>
      </w:pPr>
      <w:r>
        <w:rPr/>
        <w:t>​</w:t>
      </w:r>
    </w:p>
    <w:p>
      <w:pPr>
        <w:pStyle w:val="TextBody"/>
        <w:bidi w:val="0"/>
        <w:ind w:left="0" w:right="0" w:hanging="0"/>
        <w:jc w:val="both"/>
        <w:rPr>
          <w:rFonts w:ascii="Courier" w:hAnsi="Courier"/>
          <w:sz w:val="24"/>
        </w:rPr>
      </w:pPr>
      <w:r>
        <w:rPr>
          <w:rFonts w:ascii="Times New Roman;Times;serif" w:hAnsi="Times New Roman;Times;serif"/>
          <w:sz w:val="24"/>
        </w:rPr>
        <w:t>7.</w:t>
      </w:r>
      <w:r>
        <w:rPr>
          <w:rFonts w:ascii="Times New Roman;Times;serif" w:hAnsi="Times New Roman;Times;serif"/>
          <w:sz w:val="24"/>
          <w:u w:val="single"/>
        </w:rPr>
        <w:t>Real Estate Brokers</w:t>
      </w:r>
      <w:r>
        <w:rPr>
          <w:rFonts w:ascii="Times New Roman;Times;serif" w:hAnsi="Times New Roman;Times;serif"/>
          <w:sz w:val="24"/>
        </w:rPr>
        <w:t>.  Notwithstanding anything to the contrary contained in the Lease, Landlord and Tenant each represents and warrants to the other party that it has not authorized or employed, or acted by implication to authorize or employ, any real estate broker or salesperson to act for it in connection with this Amendment, except for Capital Partners Management, LLC, on behalf of Landlord, and Tim Olsen, Carlson Partners, on behalf of Tenant, each of whom shall be paid a commission by Landlord pursuant to a separate written agreement. Landlord and Tenant each indemnify, defend, and hold the other party harmless from and against any and all claims by any other</w:t>
      </w:r>
      <w:r>
        <w:rPr>
          <w:rFonts w:ascii="Courier" w:hAnsi="Courier"/>
          <w:sz w:val="24"/>
        </w:rPr>
        <w:t xml:space="preserve"> </w:t>
      </w:r>
      <w:r>
        <w:rPr>
          <w:rFonts w:ascii="Times New Roman;Times;serif" w:hAnsi="Times New Roman;Times;serif"/>
          <w:sz w:val="24"/>
        </w:rPr>
        <w:t>real estate broker or salesperson whom the indemnifying party authorized or employed, or acted by implication to authorize or employ, to act for the indemnifying party in connection with this Amendment.</w:t>
      </w:r>
    </w:p>
    <w:p>
      <w:pPr>
        <w:pStyle w:val="TextBody"/>
        <w:bidi w:val="0"/>
        <w:spacing w:before="0" w:after="0"/>
        <w:ind w:left="0" w:right="0" w:hanging="0"/>
        <w:jc w:val="both"/>
        <w:rPr/>
      </w:pPr>
      <w:r>
        <w:rPr/>
        <w:t>​</w:t>
      </w:r>
    </w:p>
    <w:p>
      <w:pPr>
        <w:pStyle w:val="TextBody"/>
        <w:bidi w:val="0"/>
        <w:ind w:left="0" w:right="0" w:hanging="0"/>
        <w:jc w:val="both"/>
        <w:rPr>
          <w:rFonts w:ascii="Courier" w:hAnsi="Courier"/>
          <w:sz w:val="24"/>
        </w:rPr>
      </w:pPr>
      <w:r>
        <w:rPr>
          <w:rFonts w:ascii="Times New Roman;Times;serif" w:hAnsi="Times New Roman;Times;serif"/>
          <w:sz w:val="24"/>
        </w:rPr>
        <w:t>8.</w:t>
      </w:r>
      <w:r>
        <w:rPr>
          <w:rFonts w:ascii="Times New Roman;Times;serif" w:hAnsi="Times New Roman;Times;serif"/>
          <w:sz w:val="24"/>
          <w:u w:val="single"/>
        </w:rPr>
        <w:t>Landlord’s Notice Address</w:t>
      </w:r>
      <w:r>
        <w:rPr>
          <w:rFonts w:ascii="Times New Roman;Times;serif" w:hAnsi="Times New Roman;Times;serif"/>
          <w:sz w:val="24"/>
        </w:rPr>
        <w:t>.  Effective immediately, Landlord’s notice address under the Lease is hereby amended and restated as follows: TCI TT, LLC, c/o Capital Partners Management, LLC, 5201 Eden Avenue, Suite 50, Edina, Minnesota 55436.</w:t>
      </w:r>
    </w:p>
    <w:p>
      <w:pPr>
        <w:pStyle w:val="TextBody"/>
        <w:bidi w:val="0"/>
        <w:spacing w:before="0" w:after="0"/>
        <w:ind w:left="72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TextBody"/>
        <w:bidi w:val="0"/>
        <w:spacing w:before="0" w:after="0"/>
        <w:ind w:left="0" w:right="36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ind w:left="0" w:right="0" w:hanging="0"/>
        <w:jc w:val="both"/>
        <w:rPr>
          <w:rFonts w:ascii="Courier" w:hAnsi="Courier"/>
          <w:sz w:val="24"/>
        </w:rPr>
      </w:pPr>
      <w:r>
        <w:rPr>
          <w:rFonts w:ascii="Times New Roman;Times;serif" w:hAnsi="Times New Roman;Times;serif"/>
          <w:sz w:val="24"/>
        </w:rPr>
        <w:t>9.</w:t>
      </w:r>
      <w:r>
        <w:rPr>
          <w:rFonts w:ascii="Times New Roman;Times;serif" w:hAnsi="Times New Roman;Times;serif"/>
          <w:sz w:val="24"/>
          <w:u w:val="single"/>
        </w:rPr>
        <w:t>Rent Payments</w:t>
      </w:r>
      <w:r>
        <w:rPr>
          <w:rFonts w:ascii="Times New Roman;Times;serif" w:hAnsi="Times New Roman;Times;serif"/>
          <w:sz w:val="24"/>
        </w:rPr>
        <w:t>. All rent shall be paid to Landlord without notice, demand, abatement, deduction or offset, in lawful money of the United States via ACH as follows:</w:t>
      </w:r>
    </w:p>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4"/>
        </w:rPr>
      </w:pPr>
      <w:r>
        <w:rPr>
          <w:rFonts w:ascii="Times New Roman;Times;serif" w:hAnsi="Times New Roman;Times;serif"/>
          <w:sz w:val="24"/>
        </w:rPr>
        <w:t>Receiver Bank Name: [***]</w:t>
      </w:r>
    </w:p>
    <w:p>
      <w:pPr>
        <w:pStyle w:val="TextBody"/>
        <w:bidi w:val="0"/>
        <w:spacing w:before="0" w:after="0"/>
        <w:ind w:left="720" w:right="0" w:hanging="0"/>
        <w:jc w:val="both"/>
        <w:rPr>
          <w:rFonts w:ascii="Times New Roman;Times;serif" w:hAnsi="Times New Roman;Times;serif"/>
          <w:sz w:val="24"/>
        </w:rPr>
      </w:pPr>
      <w:r>
        <w:rPr>
          <w:rFonts w:ascii="Times New Roman;Times;serif" w:hAnsi="Times New Roman;Times;serif"/>
          <w:sz w:val="24"/>
        </w:rPr>
        <w:t>ABA / Routing Number: [***]</w:t>
      </w:r>
    </w:p>
    <w:p>
      <w:pPr>
        <w:pStyle w:val="TextBody"/>
        <w:bidi w:val="0"/>
        <w:spacing w:before="0" w:after="0"/>
        <w:ind w:left="720" w:right="0" w:hanging="0"/>
        <w:jc w:val="both"/>
        <w:rPr>
          <w:rFonts w:ascii="Times New Roman;Times;serif" w:hAnsi="Times New Roman;Times;serif"/>
          <w:sz w:val="24"/>
        </w:rPr>
      </w:pPr>
      <w:r>
        <w:rPr>
          <w:rFonts w:ascii="Times New Roman;Times;serif" w:hAnsi="Times New Roman;Times;serif"/>
          <w:sz w:val="24"/>
        </w:rPr>
        <w:t>Beneficiary Acct. # [***]</w:t>
      </w:r>
    </w:p>
    <w:p>
      <w:pPr>
        <w:pStyle w:val="TextBody"/>
        <w:bidi w:val="0"/>
        <w:spacing w:before="0" w:after="0"/>
        <w:ind w:left="720" w:right="0" w:hanging="0"/>
        <w:jc w:val="both"/>
        <w:rPr>
          <w:rFonts w:ascii="Times New Roman;Times;serif" w:hAnsi="Times New Roman;Times;serif"/>
          <w:sz w:val="24"/>
        </w:rPr>
      </w:pPr>
      <w:r>
        <w:rPr>
          <w:rFonts w:ascii="Times New Roman;Times;serif" w:hAnsi="Times New Roman;Times;serif"/>
          <w:sz w:val="24"/>
        </w:rPr>
        <w:t>Beneficiary Name: [***]</w:t>
      </w:r>
    </w:p>
    <w:p>
      <w:pPr>
        <w:pStyle w:val="TextBody"/>
        <w:bidi w:val="0"/>
        <w:spacing w:before="0" w:after="0"/>
        <w:ind w:left="0" w:right="0" w:hanging="0"/>
        <w:jc w:val="both"/>
        <w:rPr/>
      </w:pPr>
      <w:r>
        <w:rPr/>
        <w:t>​</w:t>
      </w:r>
    </w:p>
    <w:p>
      <w:pPr>
        <w:pStyle w:val="TextBody"/>
        <w:bidi w:val="0"/>
        <w:ind w:left="0" w:right="0" w:hanging="0"/>
        <w:jc w:val="both"/>
        <w:rPr>
          <w:rFonts w:ascii="Courier" w:hAnsi="Courier"/>
          <w:sz w:val="24"/>
        </w:rPr>
      </w:pPr>
      <w:r>
        <w:rPr>
          <w:rFonts w:ascii="Times New Roman;Times;serif" w:hAnsi="Times New Roman;Times;serif"/>
          <w:sz w:val="24"/>
        </w:rPr>
        <w:t>10.</w:t>
      </w:r>
      <w:r>
        <w:rPr>
          <w:rFonts w:ascii="Times New Roman;Times;serif" w:hAnsi="Times New Roman;Times;serif"/>
          <w:sz w:val="24"/>
          <w:u w:val="single"/>
        </w:rPr>
        <w:t>Option to Extend Lease Term</w:t>
      </w:r>
      <w:r>
        <w:rPr>
          <w:rFonts w:ascii="Times New Roman;Times;serif" w:hAnsi="Times New Roman;Times;serif"/>
          <w:sz w:val="24"/>
        </w:rPr>
        <w:t>.  </w:t>
      </w:r>
    </w:p>
    <w:p>
      <w:pPr>
        <w:pStyle w:val="TextBody"/>
        <w:bidi w:val="0"/>
        <w:spacing w:before="0" w:after="0"/>
        <w:ind w:left="0" w:right="0" w:hanging="0"/>
        <w:jc w:val="both"/>
        <w:rPr/>
      </w:pPr>
      <w:r>
        <w:rPr/>
        <w:t>​</w:t>
      </w:r>
    </w:p>
    <w:p>
      <w:pPr>
        <w:pStyle w:val="TextBody"/>
        <w:bidi w:val="0"/>
        <w:ind w:left="0" w:right="0" w:hanging="0"/>
        <w:jc w:val="both"/>
        <w:rPr>
          <w:rFonts w:ascii="Times New Roman;Times;serif" w:hAnsi="Times New Roman;Times;serif"/>
          <w:sz w:val="24"/>
        </w:rPr>
      </w:pPr>
      <w:r>
        <w:rPr>
          <w:rFonts w:ascii="Times New Roman;Times;serif" w:hAnsi="Times New Roman;Times;serif"/>
          <w:sz w:val="24"/>
        </w:rPr>
        <w:t>a.Landlord hereby grants to Tenant one (1) option (“Option”) to extend the Extension Term for a period of three (3) years (“Option Term”) immediately following the expiration of the Extension Term. The Option shall be exercised, if at all, by written notice (“Option Notice”) delivered by Tenant to Landlord no later than nine (9) full months prior to the expiration of the Extension Term. Further, the Option shall not be deemed to be properly exercised if, as of the date of the Option Notice or at the end of the Extension Term, Tenant (i) is in uncured default under the Lease beyond any cure period, (ii) has assigned the Lease or its interest therein, or (iii) has sublet more than fifty percent (50%) of the Premises. Provided Tenant has properly and timely exercised the Option, the Extension Term shall be extended by the Option Term, and all terms, covenants and conditions of the Lease shall remain unmodified and in full force and effect, except for the Annual Base Rent, which shall be adjusted to the “Fair Market Rental Value” for the Premises, but shall not be less than the then current Annual Base Rent. As used herein, “Fair Market Rental Value” shall mean the projected prevailing rental rate (but not inducements or other concessions) as of the first day of the Option Term for similarly improved premises situated in a similar building in a similar Northwest suburban market area, within or close to the Building with similar loading, clear height, and other attributes of the Building. No additional options to extend the Option Term shall be granted or allowed unless specifically agreed to in writing between Landlord and Tenant.  </w:t>
      </w:r>
    </w:p>
    <w:p>
      <w:pPr>
        <w:pStyle w:val="TextBody"/>
        <w:bidi w:val="0"/>
        <w:spacing w:before="0" w:after="0"/>
        <w:ind w:left="720" w:right="0" w:hanging="0"/>
        <w:jc w:val="both"/>
        <w:rPr/>
      </w:pPr>
      <w:r>
        <w:rPr/>
        <w:t>​</w:t>
      </w:r>
    </w:p>
    <w:p>
      <w:pPr>
        <w:pStyle w:val="TextBody"/>
        <w:bidi w:val="0"/>
        <w:ind w:left="0" w:right="0" w:hanging="0"/>
        <w:jc w:val="both"/>
        <w:rPr>
          <w:rFonts w:ascii="Times New Roman;Times;serif" w:hAnsi="Times New Roman;Times;serif"/>
          <w:sz w:val="24"/>
        </w:rPr>
      </w:pPr>
      <w:r>
        <w:rPr>
          <w:rFonts w:ascii="Times New Roman;Times;serif" w:hAnsi="Times New Roman;Times;serif"/>
          <w:sz w:val="24"/>
        </w:rPr>
        <w:t xml:space="preserve">b.Landlord shall, within ten (10) days after Landlord receives the Option Notice, provide Tenant with Landlord’s good faith determination of the Fair Market Rental Value for the Option Term. Within ten (10) days after Tenant’s receipt of Landlord’s determination, Tenant shall notify Landlord of whether Tenant accepts or rejects such determination. If Tenant fails to notify Landlord within such ten (10) day period, Tenant shall be deemed to have accepted such determination. If Tenant properly notifies Landlord of its rejection of such determination, then Landlord and Tenant shall use good faith efforts to agree upon the Fair Market Rental Value within thirty (30) days following Landlord’s receipt of Tenant’s notice of objection (the “Outside Agreement Date”). If Tenant and Landlord are unable to agree on such Fair Market Rental Value by the Outside Agreement Date, then Landlord and Tenant shall each appoint an independent real estate broker with at least ten (10) years’ commercial real estate experience in the Northwest suburban market.  The two brokers shall then, within ten (10) days after their designation, select an independent third broker with like qualifications.  Landlord and Tenant shall each submit their determination of Fair Market Rental Value.  Within twenty (20) business days after the selection of the third broker, a majority of the brokers shall determine the Fair Market Rental Value by selecting either Landlord’s or Tenant’s determination of Fair Market Rental Value and may not average the two determinations. Each party shall pay the fees and expenses of the one of the two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TextBody"/>
        <w:bidi w:val="0"/>
        <w:spacing w:before="0" w:after="0"/>
        <w:ind w:left="0" w:right="36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ind w:left="0" w:right="0" w:hanging="0"/>
        <w:jc w:val="both"/>
        <w:rPr>
          <w:rFonts w:ascii="Times New Roman;Times;serif" w:hAnsi="Times New Roman;Times;serif"/>
          <w:sz w:val="24"/>
        </w:rPr>
      </w:pPr>
      <w:r>
        <w:rPr>
          <w:rFonts w:ascii="Times New Roman;Times;serif" w:hAnsi="Times New Roman;Times;serif"/>
          <w:sz w:val="24"/>
        </w:rPr>
        <w:t>original appraisers appointed by such party, or in whose stead as above provided such appraiser was appointed, and the fees and expenses of the third appraiser shall be borne equally by both parties. The determination made pursuant to the foregoing procedures shall be final and binding on the parties and judgment upon any such determination may be entered by any court having jurisdiction thereof. Until Fair Market Rental Value is determined, amounts payable in reference to the Fair Market Rental Value shall be paid in accordance with the Landlord’s opinion of value, subject to adjustment upon resolution of such dispute.</w:t>
      </w:r>
    </w:p>
    <w:p>
      <w:pPr>
        <w:pStyle w:val="TextBody"/>
        <w:bidi w:val="0"/>
        <w:spacing w:before="0" w:after="0"/>
        <w:ind w:left="0" w:right="0" w:hanging="0"/>
        <w:jc w:val="both"/>
        <w:rPr/>
      </w:pPr>
      <w:r>
        <w:rPr/>
        <w:t>​</w:t>
      </w:r>
    </w:p>
    <w:p>
      <w:pPr>
        <w:pStyle w:val="TextBody"/>
        <w:bidi w:val="0"/>
        <w:ind w:left="0" w:right="0" w:hanging="0"/>
        <w:jc w:val="both"/>
        <w:rPr>
          <w:rFonts w:ascii="Courier" w:hAnsi="Courier"/>
          <w:sz w:val="24"/>
        </w:rPr>
      </w:pPr>
      <w:r>
        <w:rPr>
          <w:rFonts w:ascii="Times New Roman;Times;serif" w:hAnsi="Times New Roman;Times;serif"/>
          <w:sz w:val="24"/>
        </w:rPr>
        <w:t>11.</w:t>
      </w:r>
      <w:r>
        <w:rPr>
          <w:rFonts w:ascii="Times New Roman;Times;serif" w:hAnsi="Times New Roman;Times;serif"/>
          <w:sz w:val="24"/>
          <w:u w:val="single"/>
        </w:rPr>
        <w:t>Option Rights</w:t>
      </w:r>
      <w:r>
        <w:rPr>
          <w:rFonts w:ascii="Times New Roman;Times;serif" w:hAnsi="Times New Roman;Times;serif"/>
          <w:sz w:val="24"/>
        </w:rPr>
        <w:t>.  All option rights, if any, contained in the Lease, including, without limitation, options to extend or renew the term of the Lease or to expand the Leased Premises, are hereby deleted and are of no force and effect, except for the Option provided herein.</w:t>
      </w:r>
    </w:p>
    <w:p>
      <w:pPr>
        <w:pStyle w:val="TextBody"/>
        <w:bidi w:val="0"/>
        <w:spacing w:before="0" w:after="0"/>
        <w:ind w:left="720" w:right="0" w:hanging="0"/>
        <w:jc w:val="both"/>
        <w:rPr/>
      </w:pPr>
      <w:r>
        <w:rPr/>
        <w:t>​</w:t>
      </w:r>
    </w:p>
    <w:p>
      <w:pPr>
        <w:pStyle w:val="TextBody"/>
        <w:bidi w:val="0"/>
        <w:ind w:left="0" w:right="0" w:hanging="0"/>
        <w:jc w:val="both"/>
        <w:rPr>
          <w:rFonts w:ascii="Courier" w:hAnsi="Courier"/>
          <w:sz w:val="24"/>
        </w:rPr>
      </w:pPr>
      <w:r>
        <w:rPr>
          <w:rFonts w:ascii="Times New Roman;Times;serif" w:hAnsi="Times New Roman;Times;serif"/>
          <w:sz w:val="24"/>
        </w:rPr>
        <w:t>12.</w:t>
      </w:r>
      <w:r>
        <w:rPr>
          <w:rFonts w:ascii="Times New Roman;Times;serif" w:hAnsi="Times New Roman;Times;serif"/>
          <w:sz w:val="24"/>
          <w:u w:val="single"/>
        </w:rPr>
        <w:t>Further Assurances</w:t>
      </w:r>
      <w:r>
        <w:rPr>
          <w:rFonts w:ascii="Times New Roman;Times;serif" w:hAnsi="Times New Roman;Times;serif"/>
          <w:sz w:val="24"/>
        </w:rPr>
        <w:t>.  Landlord and Tenant each agree to execute any and all documents and agreements reasonably requested by the other party to further evidence or effectuate this Amendment.</w:t>
      </w:r>
    </w:p>
    <w:p>
      <w:pPr>
        <w:pStyle w:val="TextBody"/>
        <w:bidi w:val="0"/>
        <w:spacing w:before="0" w:after="0"/>
        <w:ind w:left="360" w:right="0" w:hanging="0"/>
        <w:jc w:val="both"/>
        <w:rPr/>
      </w:pPr>
      <w:r>
        <w:rPr/>
        <w:t>​</w:t>
      </w:r>
    </w:p>
    <w:p>
      <w:pPr>
        <w:pStyle w:val="TextBody"/>
        <w:bidi w:val="0"/>
        <w:ind w:left="0" w:right="0" w:hanging="0"/>
        <w:jc w:val="both"/>
        <w:rPr>
          <w:rFonts w:ascii="Courier" w:hAnsi="Courier"/>
          <w:sz w:val="24"/>
        </w:rPr>
      </w:pPr>
      <w:r>
        <w:rPr>
          <w:rFonts w:ascii="Times New Roman;Times;serif" w:hAnsi="Times New Roman;Times;serif"/>
          <w:sz w:val="24"/>
        </w:rPr>
        <w:t>13.</w:t>
      </w:r>
      <w:r>
        <w:rPr>
          <w:rFonts w:ascii="Times New Roman;Times;serif" w:hAnsi="Times New Roman;Times;serif"/>
          <w:sz w:val="24"/>
          <w:u w:val="single"/>
        </w:rPr>
        <w:t>Successors and Assigns</w:t>
      </w:r>
      <w:r>
        <w:rPr>
          <w:rFonts w:ascii="Times New Roman;Times;serif" w:hAnsi="Times New Roman;Times;serif"/>
          <w:sz w:val="24"/>
        </w:rPr>
        <w:t>.  This Amendment is binding upon and inures to the benefit of the parties and their successors and assigns.</w:t>
      </w:r>
    </w:p>
    <w:p>
      <w:pPr>
        <w:pStyle w:val="TextBody"/>
        <w:bidi w:val="0"/>
        <w:spacing w:before="0" w:after="0"/>
        <w:ind w:left="360" w:right="0" w:hanging="0"/>
        <w:jc w:val="both"/>
        <w:rPr/>
      </w:pPr>
      <w:r>
        <w:rPr/>
        <w:t>​</w:t>
      </w:r>
    </w:p>
    <w:p>
      <w:pPr>
        <w:pStyle w:val="TextBody"/>
        <w:bidi w:val="0"/>
        <w:ind w:left="0" w:right="0" w:hanging="0"/>
        <w:jc w:val="both"/>
        <w:rPr>
          <w:rFonts w:ascii="Courier" w:hAnsi="Courier"/>
          <w:sz w:val="24"/>
        </w:rPr>
      </w:pPr>
      <w:r>
        <w:rPr>
          <w:rFonts w:ascii="Times New Roman;Times;serif" w:hAnsi="Times New Roman;Times;serif"/>
          <w:sz w:val="24"/>
        </w:rPr>
        <w:t>14.</w:t>
      </w:r>
      <w:r>
        <w:rPr>
          <w:rFonts w:ascii="Times New Roman;Times;serif" w:hAnsi="Times New Roman;Times;serif"/>
          <w:sz w:val="24"/>
          <w:u w:val="single"/>
        </w:rPr>
        <w:t>Reaffirmation</w:t>
      </w:r>
      <w:r>
        <w:rPr>
          <w:rFonts w:ascii="Times New Roman;Times;serif" w:hAnsi="Times New Roman;Times;serif"/>
          <w:sz w:val="24"/>
        </w:rPr>
        <w:t>.  Except as modified herein, all other terms and conditions of the Lease remain in full force and effect, and nothing herein may be construed to relieve either Landlord or Tenant of any obligations as set forth therein.</w:t>
      </w:r>
    </w:p>
    <w:p>
      <w:pPr>
        <w:pStyle w:val="TextBody"/>
        <w:bidi w:val="0"/>
        <w:spacing w:before="0" w:after="0"/>
        <w:ind w:left="360" w:right="0" w:hanging="0"/>
        <w:jc w:val="both"/>
        <w:rPr/>
      </w:pPr>
      <w:r>
        <w:rPr/>
        <w:t>​</w:t>
      </w:r>
    </w:p>
    <w:p>
      <w:pPr>
        <w:pStyle w:val="TextBody"/>
        <w:bidi w:val="0"/>
        <w:ind w:left="0" w:right="0" w:hanging="0"/>
        <w:jc w:val="both"/>
        <w:rPr>
          <w:rFonts w:ascii="Courier" w:hAnsi="Courier"/>
          <w:sz w:val="24"/>
        </w:rPr>
      </w:pPr>
      <w:r>
        <w:rPr>
          <w:rFonts w:ascii="Times New Roman;Times;serif" w:hAnsi="Times New Roman;Times;serif"/>
          <w:sz w:val="24"/>
        </w:rPr>
        <w:t>15.</w:t>
      </w:r>
      <w:r>
        <w:rPr>
          <w:rFonts w:ascii="Times New Roman;Times;serif" w:hAnsi="Times New Roman;Times;serif"/>
          <w:sz w:val="24"/>
          <w:u w:val="single"/>
        </w:rPr>
        <w:t>Conflicts</w:t>
      </w:r>
      <w:r>
        <w:rPr>
          <w:rFonts w:ascii="Times New Roman;Times;serif" w:hAnsi="Times New Roman;Times;serif"/>
          <w:sz w:val="24"/>
        </w:rPr>
        <w:t>.  In case of any conflict between any term or provision of this Amendment and the Lease, the term or provision of this Amendment will govern.</w:t>
      </w:r>
    </w:p>
    <w:p>
      <w:pPr>
        <w:pStyle w:val="TextBody"/>
        <w:bidi w:val="0"/>
        <w:spacing w:before="0" w:after="0"/>
        <w:ind w:left="360" w:right="0" w:hanging="0"/>
        <w:jc w:val="both"/>
        <w:rPr/>
      </w:pPr>
      <w:r>
        <w:rPr/>
        <w:t>​</w:t>
      </w:r>
    </w:p>
    <w:p>
      <w:pPr>
        <w:pStyle w:val="TextBody"/>
        <w:bidi w:val="0"/>
        <w:ind w:left="0" w:right="0" w:hanging="0"/>
        <w:jc w:val="both"/>
        <w:rPr>
          <w:rFonts w:ascii="Courier" w:hAnsi="Courier"/>
          <w:sz w:val="24"/>
        </w:rPr>
      </w:pPr>
      <w:r>
        <w:rPr>
          <w:rFonts w:ascii="Times New Roman;Times;serif" w:hAnsi="Times New Roman;Times;serif"/>
          <w:sz w:val="24"/>
        </w:rPr>
        <w:t>16.</w:t>
      </w:r>
      <w:r>
        <w:rPr>
          <w:rFonts w:ascii="Times New Roman;Times;serif" w:hAnsi="Times New Roman;Times;serif"/>
          <w:sz w:val="24"/>
          <w:u w:val="single"/>
        </w:rPr>
        <w:t>Counterparts</w:t>
      </w:r>
      <w:r>
        <w:rPr>
          <w:rFonts w:ascii="Times New Roman;Times;serif" w:hAnsi="Times New Roman;Times;serif"/>
          <w:sz w:val="24"/>
        </w:rPr>
        <w:t>.  This Amendment may be executed in one or more counterparts, each of which is deemed an original, but all of which when taken together will constitute one agreement.</w:t>
      </w:r>
    </w:p>
    <w:p>
      <w:pPr>
        <w:pStyle w:val="TextBody"/>
        <w:bidi w:val="0"/>
        <w:spacing w:before="0" w:after="0"/>
        <w:ind w:left="360" w:right="0" w:hanging="0"/>
        <w:jc w:val="both"/>
        <w:rPr/>
      </w:pPr>
      <w:r>
        <w:rPr/>
        <w:t>​</w:t>
      </w:r>
    </w:p>
    <w:p>
      <w:pPr>
        <w:pStyle w:val="TextBody"/>
        <w:bidi w:val="0"/>
        <w:ind w:left="0" w:right="0" w:hanging="0"/>
        <w:jc w:val="both"/>
        <w:rPr>
          <w:rFonts w:ascii="Courier" w:hAnsi="Courier"/>
          <w:sz w:val="24"/>
        </w:rPr>
      </w:pPr>
      <w:r>
        <w:rPr>
          <w:rFonts w:ascii="Times New Roman;Times;serif" w:hAnsi="Times New Roman;Times;serif"/>
          <w:sz w:val="24"/>
        </w:rPr>
        <w:t>17.</w:t>
      </w:r>
      <w:r>
        <w:rPr>
          <w:rFonts w:ascii="Times New Roman;Times;serif" w:hAnsi="Times New Roman;Times;serif"/>
          <w:sz w:val="24"/>
          <w:u w:val="single"/>
        </w:rPr>
        <w:t>PDF Signatures</w:t>
      </w:r>
      <w:r>
        <w:rPr>
          <w:rFonts w:ascii="Times New Roman;Times;serif" w:hAnsi="Times New Roman;Times;serif"/>
          <w:sz w:val="24"/>
        </w:rPr>
        <w:t>.  In order to expedite this transaction, signatures sent by PDF via e-mail may be used in place of ink-signed original signatures on this Amendment or any other document or agreement in this transaction, other than those to be recorded in the public records. Landlord and Tenant intend to be bound by the signatures on each PDF document, are aware that the other party will rely on the PDF signatures, and hereby waive any defenses to the enforcement of the terms of this Amendment or any related document based on the form of signature. In the event PDF signatures are used in any instance, ink-signed originals of those documents must also be promptly exchanged by the parties, but the failure to subsequently deliver those originals will not affect the enforceability of the PDF signatures.</w:t>
      </w:r>
    </w:p>
    <w:p>
      <w:pPr>
        <w:pStyle w:val="TextBody"/>
        <w:bidi w:val="0"/>
        <w:spacing w:before="0" w:after="0"/>
        <w:ind w:left="0" w:right="0" w:hanging="0"/>
        <w:jc w:val="both"/>
        <w:rPr/>
      </w:pPr>
      <w:r>
        <w:rPr/>
        <w:t>​</w:t>
      </w:r>
    </w:p>
    <w:p>
      <w:pPr>
        <w:pStyle w:val="TextBody"/>
        <w:bidi w:val="0"/>
        <w:ind w:left="0" w:right="0" w:hanging="0"/>
        <w:jc w:val="both"/>
        <w:rPr>
          <w:rFonts w:ascii="Courier" w:hAnsi="Courier"/>
          <w:sz w:val="24"/>
        </w:rPr>
      </w:pPr>
      <w:r>
        <w:rPr>
          <w:rFonts w:ascii="Times New Roman;Times;serif" w:hAnsi="Times New Roman;Times;serif"/>
          <w:sz w:val="24"/>
        </w:rPr>
        <w:t>18.</w:t>
      </w:r>
      <w:r>
        <w:rPr>
          <w:rFonts w:ascii="Times New Roman;Times;serif" w:hAnsi="Times New Roman;Times;serif"/>
          <w:sz w:val="24"/>
          <w:u w:val="single"/>
        </w:rPr>
        <w:t>Construction</w:t>
      </w:r>
      <w:r>
        <w:rPr>
          <w:rFonts w:ascii="Times New Roman;Times;serif" w:hAnsi="Times New Roman;Times;serif"/>
          <w:sz w:val="24"/>
        </w:rPr>
        <w:t>.  This Amendment shall be construed under the laws of the State in which the Leased Premises is located. Whenever possible, each provision of this Amendment shall be interpreted in a manner that would render it effective and valid under applicable law. If any provision of this Amendment is determined to be invalid or unenforceable, that provision will be ineffective only to the extent of the prohibition or invalidity without invalidating or otherwise affecting the remaining provisions of this Amendment.</w:t>
      </w:r>
    </w:p>
    <w:p>
      <w:pPr>
        <w:pStyle w:val="TextBody"/>
        <w:bidi w:val="0"/>
        <w:spacing w:before="0" w:after="0"/>
        <w:ind w:left="360" w:right="0" w:hanging="0"/>
        <w:jc w:val="both"/>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4</w:t>
      </w:r>
    </w:p>
    <w:p>
      <w:pPr>
        <w:pStyle w:val="TextBody"/>
        <w:bidi w:val="0"/>
        <w:spacing w:before="0" w:after="0"/>
        <w:ind w:left="0" w:right="36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ind w:left="0" w:right="0" w:hanging="0"/>
        <w:jc w:val="both"/>
        <w:rPr>
          <w:rFonts w:ascii="Courier" w:hAnsi="Courier"/>
          <w:sz w:val="24"/>
        </w:rPr>
      </w:pPr>
      <w:r>
        <w:rPr>
          <w:rFonts w:ascii="Times New Roman;Times;serif" w:hAnsi="Times New Roman;Times;serif"/>
          <w:sz w:val="24"/>
        </w:rPr>
        <w:t>19.</w:t>
      </w:r>
      <w:r>
        <w:rPr>
          <w:rFonts w:ascii="Times New Roman;Times;serif" w:hAnsi="Times New Roman;Times;serif"/>
          <w:sz w:val="24"/>
          <w:u w:val="single"/>
        </w:rPr>
        <w:t>Corporate Authority</w:t>
      </w:r>
      <w:r>
        <w:rPr>
          <w:rFonts w:ascii="Times New Roman;Times;serif" w:hAnsi="Times New Roman;Times;serif"/>
          <w:sz w:val="24"/>
        </w:rPr>
        <w:t>.  Landlord and Tenant represent and warrant to the other that each has the power and authority to enter into this Amendment</w:t>
      </w:r>
      <w:r>
        <w:rPr>
          <w:rFonts w:ascii="Courier" w:hAnsi="Courier"/>
          <w:sz w:val="24"/>
        </w:rPr>
        <w:t xml:space="preserve"> </w:t>
      </w:r>
      <w:r>
        <w:rPr>
          <w:rFonts w:ascii="Times New Roman;Times;serif" w:hAnsi="Times New Roman;Times;serif"/>
          <w:sz w:val="24"/>
        </w:rPr>
        <w:t>and that the person duly executing this Amendment</w:t>
      </w:r>
      <w:r>
        <w:rPr>
          <w:rFonts w:ascii="Courier" w:hAnsi="Courier"/>
          <w:sz w:val="24"/>
        </w:rPr>
        <w:t xml:space="preserve"> </w:t>
      </w:r>
      <w:r>
        <w:rPr>
          <w:rFonts w:ascii="Times New Roman;Times;serif" w:hAnsi="Times New Roman;Times;serif"/>
          <w:sz w:val="24"/>
        </w:rPr>
        <w:t>on behalf of each party has the requisite power and authority to do so.</w:t>
      </w:r>
    </w:p>
    <w:p>
      <w:pPr>
        <w:pStyle w:val="TextBody"/>
        <w:bidi w:val="0"/>
        <w:spacing w:before="0" w:after="0"/>
        <w:ind w:left="360" w:right="0" w:hanging="0"/>
        <w:jc w:val="both"/>
        <w:rPr/>
      </w:pPr>
      <w:r>
        <w:rPr/>
        <w:t>​</w:t>
      </w:r>
    </w:p>
    <w:p>
      <w:pPr>
        <w:pStyle w:val="TextBody"/>
        <w:bidi w:val="0"/>
        <w:ind w:left="0" w:right="0" w:hanging="0"/>
        <w:jc w:val="both"/>
        <w:rPr>
          <w:rFonts w:ascii="Courier" w:hAnsi="Courier"/>
          <w:sz w:val="24"/>
        </w:rPr>
      </w:pPr>
      <w:r>
        <w:rPr>
          <w:rFonts w:ascii="Times New Roman;Times;serif" w:hAnsi="Times New Roman;Times;serif"/>
          <w:sz w:val="24"/>
        </w:rPr>
        <w:t>20.</w:t>
      </w:r>
      <w:r>
        <w:rPr>
          <w:rFonts w:ascii="Times New Roman;Times;serif" w:hAnsi="Times New Roman;Times;serif"/>
          <w:sz w:val="24"/>
          <w:u w:val="single"/>
        </w:rPr>
        <w:t>Entire Agreement</w:t>
      </w:r>
      <w:r>
        <w:rPr>
          <w:rFonts w:ascii="Times New Roman;Times;serif" w:hAnsi="Times New Roman;Times;serif"/>
          <w:sz w:val="24"/>
        </w:rPr>
        <w:t>.  The Lease, this Amendment, and any exhibits attached hereto, constitute the entire understanding of the parties with respect to this transaction, and supersede all prior agreements and understandings between the parties with respect to the subject matter. No representations, warranties, undertakings or promises, whether oral, implied, written, or otherwise, have been made by any party to any other party unless expressly stated in the above-referenced documents, or unless mutually agreed to in writing between the parties after the date hereof, and neither party has relied upon any verbal representations, agreements, or understandings not expressly set forth herein.</w:t>
      </w:r>
    </w:p>
    <w:p>
      <w:pPr>
        <w:pStyle w:val="TextBody"/>
        <w:bidi w:val="0"/>
        <w:spacing w:before="0" w:after="0"/>
        <w:ind w:left="360" w:right="0" w:hanging="0"/>
        <w:jc w:val="both"/>
        <w:rPr/>
      </w:pPr>
      <w:r>
        <w:rPr/>
        <w:t>​</w:t>
      </w:r>
    </w:p>
    <w:p>
      <w:pPr>
        <w:pStyle w:val="TextBody"/>
        <w:bidi w:val="0"/>
        <w:ind w:left="0" w:right="0" w:hanging="0"/>
        <w:jc w:val="both"/>
        <w:rPr>
          <w:rFonts w:ascii="Courier" w:hAnsi="Courier"/>
          <w:sz w:val="24"/>
        </w:rPr>
      </w:pPr>
      <w:r>
        <w:rPr>
          <w:rFonts w:ascii="Times New Roman;Times;serif" w:hAnsi="Times New Roman;Times;serif"/>
          <w:sz w:val="24"/>
        </w:rPr>
        <w:t>21.</w:t>
      </w:r>
      <w:r>
        <w:rPr>
          <w:rFonts w:ascii="Times New Roman;Times;serif" w:hAnsi="Times New Roman;Times;serif"/>
          <w:sz w:val="24"/>
          <w:u w:val="single"/>
        </w:rPr>
        <w:t>Effectiveness</w:t>
      </w:r>
      <w:r>
        <w:rPr>
          <w:rFonts w:ascii="Times New Roman;Times;serif" w:hAnsi="Times New Roman;Times;serif"/>
          <w:sz w:val="24"/>
        </w:rPr>
        <w:t>.  The parties agree that the submission of a draft or copy of this Amendment for review or signature by a party is not intended, nor will it constitute or be deemed, by either party to be an offer to enter into a legally binding agreement with respect to the subject matter hereof and may not be relied on for any legal or equitable rights or obligations. Any draft or document submitted by Landlord or its agents to Tenant will not constitute a reservation of or option or offer in favor of Tenant. The parties will be legally bound with respect to the subject matter hereof pursuant to the terms of this Amendment only if, as and when all the parties have executed and delivered this Amendment to each other.  Before the complete execution and delivery of this Amendment by all parties, each party will be free to negotiate the form and terms of this Amendment in a manner acceptable to that party in its sole and absolute discretion. The parties acknowledge and agree that the execution and delivery by one party before the execution and delivery of this Amendment by the other party will be of no force and effect and will in no way prejudice the party that executed this Amendment or the party that has not executed this Amendment.</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i/>
          <w:sz w:val="24"/>
        </w:rPr>
      </w:pPr>
      <w:r>
        <w:rPr>
          <w:rFonts w:ascii="Times New Roman;Times;serif" w:hAnsi="Times New Roman;Times;serif"/>
          <w:i/>
          <w:sz w:val="24"/>
        </w:rPr>
        <w:t>[Signature Page Follows]</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5</w:t>
      </w:r>
    </w:p>
    <w:p>
      <w:pPr>
        <w:pStyle w:val="TextBody"/>
        <w:bidi w:val="0"/>
        <w:spacing w:before="0" w:after="0"/>
        <w:ind w:left="0" w:right="36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4"/>
        </w:rPr>
      </w:pPr>
      <w:r>
        <w:rPr>
          <w:rFonts w:ascii="Times New Roman;Times;serif" w:hAnsi="Times New Roman;Times;serif"/>
          <w:sz w:val="24"/>
        </w:rPr>
        <w:t>IN AGREEMENT, the parties have executed this Amendment as of the day and year first written above.</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LANDLORD: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TCI TT, LLC,</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a Delaware limited liability company</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rFonts w:ascii="Courier" w:hAnsi="Courier"/>
          <w:sz w:val="24"/>
        </w:rPr>
      </w:pPr>
      <w:r>
        <w:rPr>
          <w:rFonts w:ascii="Times New Roman;Times;serif" w:hAnsi="Times New Roman;Times;serif"/>
          <w:sz w:val="24"/>
        </w:rPr>
        <w:t xml:space="preserve">By: </w:t>
      </w:r>
      <w:r>
        <w:rPr>
          <w:rFonts w:ascii="Times New Roman;Times;serif" w:hAnsi="Times New Roman;Times;serif"/>
          <w:sz w:val="24"/>
          <w:u w:val="single"/>
        </w:rPr>
        <w:t>/s/ H. Herbert Myers</w:t>
      </w:r>
      <w:r>
        <w:rPr>
          <w:rFonts w:ascii="Courier" w:hAnsi="Courier"/>
          <w:sz w:val="24"/>
          <w:u w:val="single"/>
        </w:rPr>
        <w:t>​ ​​ ​​ ​</w:t>
      </w:r>
    </w:p>
    <w:p>
      <w:pPr>
        <w:pStyle w:val="TextBody"/>
        <w:bidi w:val="0"/>
        <w:spacing w:before="0" w:after="0"/>
        <w:ind w:left="0" w:right="0" w:hanging="0"/>
        <w:jc w:val="both"/>
        <w:rPr>
          <w:rFonts w:ascii="Courier" w:hAnsi="Courier"/>
          <w:sz w:val="24"/>
        </w:rPr>
      </w:pPr>
      <w:r>
        <w:rPr>
          <w:rFonts w:ascii="Times New Roman;Times;serif" w:hAnsi="Times New Roman;Times;serif"/>
          <w:sz w:val="24"/>
        </w:rPr>
        <w:t xml:space="preserve">Name: </w:t>
      </w:r>
      <w:r>
        <w:rPr>
          <w:rFonts w:ascii="Times New Roman;Times;serif" w:hAnsi="Times New Roman;Times;serif"/>
          <w:sz w:val="24"/>
          <w:u w:val="single"/>
        </w:rPr>
        <w:t>H. Herbert Myers</w:t>
      </w:r>
      <w:r>
        <w:rPr>
          <w:rFonts w:ascii="Courier" w:hAnsi="Courier"/>
          <w:sz w:val="24"/>
          <w:u w:val="single"/>
        </w:rPr>
        <w:t>​ ​​ ​​ ​</w:t>
      </w:r>
    </w:p>
    <w:p>
      <w:pPr>
        <w:pStyle w:val="TextBody"/>
        <w:bidi w:val="0"/>
        <w:spacing w:before="0" w:after="0"/>
        <w:ind w:left="0" w:right="0" w:hanging="0"/>
        <w:jc w:val="both"/>
        <w:rPr>
          <w:rFonts w:ascii="Courier" w:hAnsi="Courier"/>
          <w:sz w:val="24"/>
        </w:rPr>
      </w:pPr>
      <w:r>
        <w:rPr>
          <w:rFonts w:ascii="Times New Roman;Times;serif" w:hAnsi="Times New Roman;Times;serif"/>
          <w:sz w:val="24"/>
        </w:rPr>
        <w:t xml:space="preserve">Title: </w:t>
      </w:r>
      <w:r>
        <w:rPr>
          <w:rFonts w:ascii="Times New Roman;Times;serif" w:hAnsi="Times New Roman;Times;serif"/>
          <w:sz w:val="24"/>
          <w:u w:val="single"/>
        </w:rPr>
        <w:t>President</w:t>
      </w:r>
      <w:r>
        <w:rPr>
          <w:rFonts w:ascii="Courier" w:hAnsi="Courier"/>
          <w:sz w:val="24"/>
          <w:u w:val="single"/>
        </w:rPr>
        <w:t>​ ​​ ​​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TENANT: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CVRx, Inc., </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a Delaware limited liability company</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rFonts w:ascii="Courier" w:hAnsi="Courier"/>
          <w:sz w:val="24"/>
        </w:rPr>
      </w:pPr>
      <w:r>
        <w:rPr>
          <w:rFonts w:ascii="Times New Roman;Times;serif" w:hAnsi="Times New Roman;Times;serif"/>
          <w:sz w:val="24"/>
        </w:rPr>
        <w:t xml:space="preserve">By: </w:t>
      </w:r>
      <w:r>
        <w:rPr>
          <w:rFonts w:ascii="Times New Roman;Times;serif" w:hAnsi="Times New Roman;Times;serif"/>
          <w:sz w:val="24"/>
          <w:u w:val="single"/>
        </w:rPr>
        <w:t>/s/ Jared Oasheim</w:t>
      </w:r>
      <w:r>
        <w:rPr>
          <w:rFonts w:ascii="Courier" w:hAnsi="Courier"/>
          <w:sz w:val="24"/>
          <w:u w:val="single"/>
        </w:rPr>
        <w:t>​ ​​ ​​ ​</w:t>
      </w:r>
    </w:p>
    <w:p>
      <w:pPr>
        <w:pStyle w:val="TextBody"/>
        <w:bidi w:val="0"/>
        <w:spacing w:before="0" w:after="0"/>
        <w:ind w:left="0" w:right="0" w:hanging="0"/>
        <w:jc w:val="both"/>
        <w:rPr>
          <w:rFonts w:ascii="Courier" w:hAnsi="Courier"/>
          <w:sz w:val="24"/>
        </w:rPr>
      </w:pPr>
      <w:r>
        <w:rPr>
          <w:rFonts w:ascii="Times New Roman;Times;serif" w:hAnsi="Times New Roman;Times;serif"/>
          <w:sz w:val="24"/>
        </w:rPr>
        <w:t xml:space="preserve">Name: </w:t>
      </w:r>
      <w:r>
        <w:rPr>
          <w:rFonts w:ascii="Times New Roman;Times;serif" w:hAnsi="Times New Roman;Times;serif"/>
          <w:sz w:val="24"/>
          <w:u w:val="single"/>
        </w:rPr>
        <w:t>Jared Oasheim</w:t>
      </w:r>
      <w:r>
        <w:rPr>
          <w:rFonts w:ascii="Courier" w:hAnsi="Courier"/>
          <w:sz w:val="24"/>
          <w:u w:val="single"/>
        </w:rPr>
        <w:t>​ ​​ ​​ ​</w:t>
      </w:r>
    </w:p>
    <w:p>
      <w:pPr>
        <w:pStyle w:val="TextBody"/>
        <w:bidi w:val="0"/>
        <w:spacing w:before="0" w:after="0"/>
        <w:ind w:left="0" w:right="0" w:hanging="0"/>
        <w:jc w:val="both"/>
        <w:rPr>
          <w:rFonts w:ascii="Courier" w:hAnsi="Courier"/>
          <w:sz w:val="24"/>
        </w:rPr>
      </w:pPr>
      <w:r>
        <w:rPr>
          <w:rFonts w:ascii="Times New Roman;Times;serif" w:hAnsi="Times New Roman;Times;serif"/>
          <w:sz w:val="24"/>
        </w:rPr>
        <w:t xml:space="preserve">Title: </w:t>
      </w:r>
      <w:r>
        <w:rPr>
          <w:rFonts w:ascii="Times New Roman;Times;serif" w:hAnsi="Times New Roman;Times;serif"/>
          <w:sz w:val="24"/>
          <w:u w:val="single"/>
        </w:rPr>
        <w:t>CFO</w:t>
      </w:r>
      <w:r>
        <w:rPr>
          <w:rFonts w:ascii="Courier" w:hAnsi="Courier"/>
          <w:sz w:val="24"/>
          <w:u w:val="single"/>
        </w:rPr>
        <w:t>​ ​​ ​​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6</w:t>
      </w:r>
    </w:p>
    <w:p>
      <w:pPr>
        <w:pStyle w:val="TextBody"/>
        <w:bidi w:val="0"/>
        <w:spacing w:before="0" w:after="0"/>
        <w:ind w:left="0" w:right="36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EXHIBIT A</w:t>
      </w:r>
    </w:p>
    <w:p>
      <w:pPr>
        <w:pStyle w:val="TextBody"/>
        <w:bidi w:val="0"/>
        <w:spacing w:lineRule="auto" w:line="256" w:before="0" w:after="0"/>
        <w:ind w:left="0" w:right="0" w:hanging="0"/>
        <w:jc w:val="center"/>
        <w:rPr/>
      </w:pPr>
      <w:r>
        <w:rPr/>
        <w:t>​</w:t>
      </w:r>
    </w:p>
    <w:p>
      <w:pPr>
        <w:pStyle w:val="TextBody"/>
        <w:bidi w:val="0"/>
        <w:spacing w:lineRule="auto" w:line="256" w:before="0" w:after="0"/>
        <w:ind w:left="0" w:right="0" w:hanging="0"/>
        <w:jc w:val="center"/>
        <w:rPr>
          <w:rFonts w:ascii="Times New Roman;Times;serif" w:hAnsi="Times New Roman;Times;serif"/>
          <w:b/>
          <w:sz w:val="22"/>
        </w:rPr>
      </w:pPr>
      <w:r>
        <w:rPr>
          <w:rFonts w:ascii="Times New Roman;Times;serif" w:hAnsi="Times New Roman;Times;serif"/>
          <w:b/>
          <w:sz w:val="22"/>
        </w:rPr>
        <w:t>Tenant Improvements</w:t>
      </w:r>
    </w:p>
    <w:p>
      <w:pPr>
        <w:pStyle w:val="TextBody"/>
        <w:bidi w:val="0"/>
        <w:spacing w:before="0" w:after="0"/>
        <w:ind w:left="0" w:right="0" w:hanging="0"/>
        <w:jc w:val="both"/>
        <w:rPr/>
      </w:pPr>
      <w:r>
        <w:rPr/>
        <w:t>​</w:t>
      </w:r>
    </w:p>
    <w:p>
      <w:pPr>
        <w:pStyle w:val="TextBody"/>
        <w:bidi w:val="0"/>
        <w:ind w:left="0" w:right="0" w:hanging="0"/>
        <w:jc w:val="both"/>
        <w:rPr>
          <w:rFonts w:ascii="Times New Roman;Times;serif" w:hAnsi="Times New Roman;Times;serif"/>
          <w:sz w:val="24"/>
        </w:rPr>
      </w:pPr>
      <w:r>
        <w:rPr>
          <w:rFonts w:ascii="Times New Roman;Times;serif" w:hAnsi="Times New Roman;Times;serif"/>
          <w:sz w:val="24"/>
        </w:rPr>
        <w:t>1.Landlord will provide Tenant a cash allowance not to exceed $50,000.00 (“Allowance”) for the construction of standard tenant improvements to be mutually agreed upon by Landlord and Tenant (“Tenant Improvements”). The Allowance may be used by Tenant for all “hard” and “soft” costs of designing, developing, constructing, and completing the Tenant Improvements.</w:t>
      </w:r>
    </w:p>
    <w:p>
      <w:pPr>
        <w:pStyle w:val="TextBody"/>
        <w:bidi w:val="0"/>
        <w:spacing w:before="0" w:after="0"/>
        <w:ind w:left="0" w:right="0" w:hanging="0"/>
        <w:jc w:val="both"/>
        <w:rPr/>
      </w:pPr>
      <w:r>
        <w:rPr/>
        <w:t>​</w:t>
      </w:r>
    </w:p>
    <w:p>
      <w:pPr>
        <w:pStyle w:val="TextBody"/>
        <w:bidi w:val="0"/>
        <w:ind w:left="0" w:right="0" w:hanging="0"/>
        <w:jc w:val="both"/>
        <w:rPr>
          <w:rFonts w:ascii="Times New Roman;Times;serif" w:hAnsi="Times New Roman;Times;serif"/>
          <w:sz w:val="24"/>
        </w:rPr>
      </w:pPr>
      <w:r>
        <w:rPr>
          <w:rFonts w:ascii="Times New Roman;Times;serif" w:hAnsi="Times New Roman;Times;serif"/>
          <w:sz w:val="24"/>
        </w:rPr>
        <w:t>2.Tenant may use its own contractor and subcontractors (together, “Contractors”) to perform all Tenant Improvements. The names of all Contractors, together with proof they are licensed, are bonded and have worker’s compensation insurance must be provided to Landlord as hired.</w:t>
      </w:r>
    </w:p>
    <w:p>
      <w:pPr>
        <w:pStyle w:val="TextBody"/>
        <w:bidi w:val="0"/>
        <w:spacing w:before="0" w:after="0"/>
        <w:ind w:left="0" w:right="0" w:hanging="0"/>
        <w:jc w:val="both"/>
        <w:rPr/>
      </w:pPr>
      <w:r>
        <w:rPr/>
        <w:t>​</w:t>
      </w:r>
    </w:p>
    <w:p>
      <w:pPr>
        <w:pStyle w:val="TextBody"/>
        <w:bidi w:val="0"/>
        <w:ind w:left="0" w:right="0" w:hanging="0"/>
        <w:jc w:val="both"/>
        <w:rPr>
          <w:rFonts w:ascii="Times New Roman;Times;serif" w:hAnsi="Times New Roman;Times;serif"/>
          <w:sz w:val="24"/>
        </w:rPr>
      </w:pPr>
      <w:r>
        <w:rPr>
          <w:rFonts w:ascii="Times New Roman;Times;serif" w:hAnsi="Times New Roman;Times;serif"/>
          <w:sz w:val="24"/>
        </w:rPr>
        <w:t>3.Before commencement of the Tenant Improvements, Tenant must provide the following to Landlord, all of which must be to Landlord’s reasonable satisfaction and subject to Landlord’s prior written approval:</w:t>
      </w:r>
    </w:p>
    <w:p>
      <w:pPr>
        <w:pStyle w:val="TextBody"/>
        <w:bidi w:val="0"/>
        <w:spacing w:before="0" w:after="0"/>
        <w:ind w:left="720" w:right="0" w:hanging="0"/>
        <w:jc w:val="both"/>
        <w:rPr/>
      </w:pPr>
      <w:r>
        <w:rPr/>
        <w:t>​</w:t>
      </w:r>
    </w:p>
    <w:p>
      <w:pPr>
        <w:pStyle w:val="TextBody"/>
        <w:bidi w:val="0"/>
        <w:ind w:left="720" w:right="0" w:hanging="0"/>
        <w:jc w:val="both"/>
        <w:rPr>
          <w:rFonts w:ascii="Times New Roman;Times;serif" w:hAnsi="Times New Roman;Times;serif"/>
          <w:sz w:val="24"/>
        </w:rPr>
      </w:pPr>
      <w:r>
        <w:rPr>
          <w:rFonts w:ascii="Times New Roman;Times;serif" w:hAnsi="Times New Roman;Times;serif"/>
          <w:sz w:val="24"/>
        </w:rPr>
        <w:t>(a)Plans and specifications for the Tenant Improvements.</w:t>
      </w:r>
    </w:p>
    <w:p>
      <w:pPr>
        <w:pStyle w:val="TextBody"/>
        <w:bidi w:val="0"/>
        <w:spacing w:before="0" w:after="0"/>
        <w:ind w:left="720" w:right="0" w:hanging="0"/>
        <w:jc w:val="both"/>
        <w:rPr/>
      </w:pPr>
      <w:r>
        <w:rPr/>
        <w:t>​</w:t>
      </w:r>
    </w:p>
    <w:p>
      <w:pPr>
        <w:pStyle w:val="TextBody"/>
        <w:bidi w:val="0"/>
        <w:ind w:left="720" w:right="0" w:hanging="0"/>
        <w:jc w:val="both"/>
        <w:rPr>
          <w:rFonts w:ascii="Times New Roman;Times;serif" w:hAnsi="Times New Roman;Times;serif"/>
          <w:sz w:val="24"/>
        </w:rPr>
      </w:pPr>
      <w:r>
        <w:rPr>
          <w:rFonts w:ascii="Times New Roman;Times;serif" w:hAnsi="Times New Roman;Times;serif"/>
          <w:sz w:val="24"/>
        </w:rPr>
        <w:t>(b)An estimated budget and cost breakdown for the Tenant Improvements.</w:t>
      </w:r>
    </w:p>
    <w:p>
      <w:pPr>
        <w:pStyle w:val="TextBody"/>
        <w:bidi w:val="0"/>
        <w:spacing w:before="0" w:after="0"/>
        <w:ind w:left="720" w:right="0" w:hanging="0"/>
        <w:jc w:val="both"/>
        <w:rPr/>
      </w:pPr>
      <w:r>
        <w:rPr/>
        <w:t>​</w:t>
      </w:r>
    </w:p>
    <w:p>
      <w:pPr>
        <w:pStyle w:val="TextBody"/>
        <w:bidi w:val="0"/>
        <w:ind w:left="720" w:right="0" w:hanging="0"/>
        <w:jc w:val="both"/>
        <w:rPr>
          <w:rFonts w:ascii="Times New Roman;Times;serif" w:hAnsi="Times New Roman;Times;serif"/>
          <w:sz w:val="24"/>
        </w:rPr>
      </w:pPr>
      <w:r>
        <w:rPr>
          <w:rFonts w:ascii="Times New Roman;Times;serif" w:hAnsi="Times New Roman;Times;serif"/>
          <w:sz w:val="24"/>
        </w:rPr>
        <w:t>(c)An estimated completion schedule for the Tenant Improvements.</w:t>
      </w:r>
    </w:p>
    <w:p>
      <w:pPr>
        <w:pStyle w:val="TextBody"/>
        <w:bidi w:val="0"/>
        <w:spacing w:before="0" w:after="0"/>
        <w:ind w:left="720" w:right="0" w:hanging="0"/>
        <w:jc w:val="both"/>
        <w:rPr/>
      </w:pPr>
      <w:r>
        <w:rPr/>
        <w:t>​</w:t>
      </w:r>
    </w:p>
    <w:p>
      <w:pPr>
        <w:pStyle w:val="TextBody"/>
        <w:bidi w:val="0"/>
        <w:ind w:left="720" w:right="0" w:hanging="0"/>
        <w:jc w:val="both"/>
        <w:rPr>
          <w:rFonts w:ascii="Times New Roman;Times;serif" w:hAnsi="Times New Roman;Times;serif"/>
          <w:sz w:val="24"/>
        </w:rPr>
      </w:pPr>
      <w:r>
        <w:rPr>
          <w:rFonts w:ascii="Times New Roman;Times;serif" w:hAnsi="Times New Roman;Times;serif"/>
          <w:sz w:val="24"/>
        </w:rPr>
        <w:t>(d)The names and contact information for all Contractors and proof of worker’s compensation insurance, licensing, and bonding.</w:t>
      </w:r>
    </w:p>
    <w:p>
      <w:pPr>
        <w:pStyle w:val="TextBody"/>
        <w:bidi w:val="0"/>
        <w:spacing w:before="0" w:after="0"/>
        <w:ind w:left="720" w:right="0" w:hanging="0"/>
        <w:jc w:val="left"/>
        <w:rPr/>
      </w:pPr>
      <w:r>
        <w:rPr/>
        <w:t>​</w:t>
      </w:r>
    </w:p>
    <w:p>
      <w:pPr>
        <w:pStyle w:val="TextBody"/>
        <w:bidi w:val="0"/>
        <w:ind w:left="720" w:right="0" w:hanging="0"/>
        <w:jc w:val="both"/>
        <w:rPr>
          <w:rFonts w:ascii="Times New Roman;Times;serif" w:hAnsi="Times New Roman;Times;serif"/>
          <w:sz w:val="24"/>
        </w:rPr>
      </w:pPr>
      <w:r>
        <w:rPr>
          <w:rFonts w:ascii="Times New Roman;Times;serif" w:hAnsi="Times New Roman;Times;serif"/>
          <w:sz w:val="24"/>
        </w:rPr>
        <w:t>(e)Copies of all contracts with Contractors.</w:t>
      </w:r>
    </w:p>
    <w:p>
      <w:pPr>
        <w:pStyle w:val="TextBody"/>
        <w:bidi w:val="0"/>
        <w:spacing w:before="0" w:after="0"/>
        <w:ind w:left="720" w:right="0" w:hanging="0"/>
        <w:jc w:val="both"/>
        <w:rPr/>
      </w:pPr>
      <w:r>
        <w:rPr/>
        <w:t>​</w:t>
      </w:r>
    </w:p>
    <w:p>
      <w:pPr>
        <w:pStyle w:val="TextBody"/>
        <w:bidi w:val="0"/>
        <w:ind w:left="720" w:right="0" w:hanging="0"/>
        <w:jc w:val="both"/>
        <w:rPr>
          <w:rFonts w:ascii="Times New Roman;Times;serif" w:hAnsi="Times New Roman;Times;serif"/>
          <w:sz w:val="24"/>
        </w:rPr>
      </w:pPr>
      <w:r>
        <w:rPr>
          <w:rFonts w:ascii="Times New Roman;Times;serif" w:hAnsi="Times New Roman;Times;serif"/>
          <w:sz w:val="24"/>
        </w:rPr>
        <w:t>(f)Copies of all required permits for the Tenant Improvements, including a building permit issued by the applicable local municipality.</w:t>
      </w:r>
    </w:p>
    <w:p>
      <w:pPr>
        <w:pStyle w:val="TextBody"/>
        <w:pBdr/>
        <w:bidi w:val="0"/>
        <w:spacing w:before="0" w:after="0"/>
        <w:ind w:left="0" w:right="720" w:hanging="540"/>
        <w:jc w:val="both"/>
        <w:rPr/>
      </w:pPr>
      <w:r>
        <w:rPr/>
        <w:t>​</w:t>
      </w:r>
    </w:p>
    <w:p>
      <w:pPr>
        <w:pStyle w:val="TextBody"/>
        <w:bidi w:val="0"/>
        <w:ind w:left="0" w:right="0" w:hanging="0"/>
        <w:jc w:val="both"/>
        <w:rPr>
          <w:rFonts w:ascii="Times New Roman;Times;serif" w:hAnsi="Times New Roman;Times;serif"/>
          <w:sz w:val="24"/>
        </w:rPr>
      </w:pPr>
      <w:r>
        <w:rPr>
          <w:rFonts w:ascii="Times New Roman;Times;serif" w:hAnsi="Times New Roman;Times;serif"/>
          <w:sz w:val="24"/>
        </w:rPr>
        <w:t>4.Tenant shall be solely responsible for the construction and completion of the Tenant Improvements to the reasonable satisfaction of Landlord and for the payment of all amounts due and payable in connection therewith, without cost or expense to Landlord except for Landlord’s obligation to pay the Allowance. Tenant shall diligently proceed with the construction and completion of the Tenant Improvements in accordance with the plans, specifications, and completion schedule approved by Landlord. Tenant shall secure all licenses and permits necessary for performance of the Tenant Improvements and for occupancy of the Leased Premises. No material changes may be made to the plans, specifications, or completion schedule approved by the Landlord, without Landlord’s prior written consent.</w:t>
      </w:r>
    </w:p>
    <w:p>
      <w:pPr>
        <w:pStyle w:val="TextBody"/>
        <w:bidi w:val="0"/>
        <w:spacing w:before="0" w:after="0"/>
        <w:ind w:left="0" w:right="0" w:hanging="0"/>
        <w:jc w:val="both"/>
        <w:rPr/>
      </w:pPr>
      <w:r>
        <w:rPr/>
        <w:t>​</w:t>
      </w:r>
    </w:p>
    <w:p>
      <w:pPr>
        <w:pStyle w:val="TextBody"/>
        <w:bidi w:val="0"/>
        <w:ind w:left="0" w:right="0" w:hanging="0"/>
        <w:jc w:val="both"/>
        <w:rPr>
          <w:rFonts w:ascii="Times New Roman;Times;serif" w:hAnsi="Times New Roman;Times;serif"/>
          <w:sz w:val="24"/>
        </w:rPr>
      </w:pPr>
      <w:r>
        <w:rPr>
          <w:rFonts w:ascii="Times New Roman;Times;serif" w:hAnsi="Times New Roman;Times;serif"/>
          <w:sz w:val="24"/>
        </w:rPr>
        <w:t>5.No materials, equipment, or fixtures may be delivered to or installed upon the Leased Premises pursuant to any agreement by which another party has a security interest or rights to remove or repossess the items, without Landlord’s prior written consent.</w:t>
      </w:r>
    </w:p>
    <w:p>
      <w:pPr>
        <w:pStyle w:val="TextBody"/>
        <w:bidi w:val="0"/>
        <w:spacing w:before="0" w:after="0"/>
        <w:ind w:left="0" w:right="0" w:hanging="0"/>
        <w:jc w:val="both"/>
        <w:rPr/>
      </w:pPr>
      <w:r>
        <w:rPr/>
        <w:t>​</w:t>
      </w:r>
    </w:p>
    <w:p>
      <w:pPr>
        <w:pStyle w:val="TextBody"/>
        <w:bidi w:val="0"/>
        <w:ind w:left="0" w:right="0" w:hanging="0"/>
        <w:jc w:val="both"/>
        <w:rPr>
          <w:rFonts w:ascii="Times New Roman;Times;serif" w:hAnsi="Times New Roman;Times;serif"/>
          <w:sz w:val="24"/>
        </w:rPr>
      </w:pPr>
      <w:r>
        <w:rPr>
          <w:rFonts w:ascii="Times New Roman;Times;serif" w:hAnsi="Times New Roman;Times;serif"/>
          <w:sz w:val="24"/>
        </w:rPr>
        <w:t xml:space="preserve">6.At all times, Landlord has the right to inspect the Tenant Improvements and Tenant will immediately cease work upon written notice from Landlord; provided, however, Landlord shall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7</w:t>
      </w:r>
    </w:p>
    <w:p>
      <w:pPr>
        <w:pStyle w:val="TextBody"/>
        <w:bidi w:val="0"/>
        <w:spacing w:before="0" w:after="0"/>
        <w:ind w:left="0" w:right="36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ind w:left="0" w:right="0" w:hanging="0"/>
        <w:jc w:val="both"/>
        <w:rPr>
          <w:rFonts w:ascii="Times New Roman;Times;serif" w:hAnsi="Times New Roman;Times;serif"/>
          <w:sz w:val="24"/>
        </w:rPr>
      </w:pPr>
      <w:r>
        <w:rPr>
          <w:rFonts w:ascii="Times New Roman;Times;serif" w:hAnsi="Times New Roman;Times;serif"/>
          <w:sz w:val="24"/>
        </w:rPr>
        <w:t>only require Tenant to cease work as a result of Tenant’s breach of the Lease, Tenant’s failure to comply with the plans and specifications approved by Landlord, safety concerns, or any other reasonable concern by Landlord.</w:t>
      </w:r>
    </w:p>
    <w:p>
      <w:pPr>
        <w:pStyle w:val="TextBody"/>
        <w:bidi w:val="0"/>
        <w:spacing w:before="0" w:after="0"/>
        <w:ind w:left="0" w:right="0" w:hanging="0"/>
        <w:jc w:val="both"/>
        <w:rPr/>
      </w:pPr>
      <w:r>
        <w:rPr/>
        <w:t>​</w:t>
      </w:r>
    </w:p>
    <w:p>
      <w:pPr>
        <w:pStyle w:val="TextBody"/>
        <w:bidi w:val="0"/>
        <w:ind w:left="0" w:right="0" w:hanging="0"/>
        <w:jc w:val="both"/>
        <w:rPr>
          <w:rFonts w:ascii="Times New Roman;Times;serif" w:hAnsi="Times New Roman;Times;serif"/>
          <w:sz w:val="24"/>
        </w:rPr>
      </w:pPr>
      <w:r>
        <w:rPr>
          <w:rFonts w:ascii="Times New Roman;Times;serif" w:hAnsi="Times New Roman;Times;serif"/>
          <w:sz w:val="24"/>
        </w:rPr>
        <w:t>7.Tenant must pay and discharge promptly and fully all claims for labor done and materials and services furnished in connection with the Tenant Improvements. Tenant shall obtain from each Contractor and provide to Landlord a mechanic’s lien waiver in form suitable for recording.</w:t>
      </w:r>
    </w:p>
    <w:p>
      <w:pPr>
        <w:pStyle w:val="TextBody"/>
        <w:bidi w:val="0"/>
        <w:spacing w:before="0" w:after="0"/>
        <w:ind w:left="0" w:right="0" w:hanging="0"/>
        <w:jc w:val="both"/>
        <w:rPr/>
      </w:pPr>
      <w:r>
        <w:rPr/>
        <w:t>​</w:t>
      </w:r>
    </w:p>
    <w:p>
      <w:pPr>
        <w:pStyle w:val="TextBody"/>
        <w:bidi w:val="0"/>
        <w:ind w:left="0" w:right="0" w:hanging="0"/>
        <w:jc w:val="both"/>
        <w:rPr>
          <w:rFonts w:ascii="Times New Roman;Times;serif" w:hAnsi="Times New Roman;Times;serif"/>
          <w:sz w:val="24"/>
        </w:rPr>
      </w:pPr>
      <w:r>
        <w:rPr>
          <w:rFonts w:ascii="Times New Roman;Times;serif" w:hAnsi="Times New Roman;Times;serif"/>
          <w:sz w:val="24"/>
        </w:rPr>
        <w:t>8.Tenant shall indemnify, defend, and hold Landlord harmless against any and all claims, demands, lawsuits, expenses, damages, and causes of action asserted by any person arising out of, caused by or relating to the Tenant Improvements, the Allowance, and/or Tenant’s use or operation of the Leased Premises. The foregoing indemnity shall include all expenses in connection with any claim. The provisions of this paragraph will survive the expiration or earlier termination of the Lease.</w:t>
      </w:r>
    </w:p>
    <w:p>
      <w:pPr>
        <w:pStyle w:val="TextBody"/>
        <w:bidi w:val="0"/>
        <w:spacing w:before="0" w:after="0"/>
        <w:ind w:left="0" w:right="0" w:hanging="0"/>
        <w:jc w:val="both"/>
        <w:rPr/>
      </w:pPr>
      <w:r>
        <w:rPr/>
        <w:t>​</w:t>
      </w:r>
    </w:p>
    <w:p>
      <w:pPr>
        <w:pStyle w:val="TextBody"/>
        <w:bidi w:val="0"/>
        <w:ind w:left="0" w:right="0" w:hanging="0"/>
        <w:jc w:val="both"/>
        <w:rPr>
          <w:rFonts w:ascii="Times New Roman;Times;serif" w:hAnsi="Times New Roman;Times;serif"/>
          <w:sz w:val="24"/>
        </w:rPr>
      </w:pPr>
      <w:r>
        <w:rPr>
          <w:rFonts w:ascii="Times New Roman;Times;serif" w:hAnsi="Times New Roman;Times;serif"/>
          <w:sz w:val="24"/>
        </w:rPr>
        <w:t>9.Tenant must maintain during the performance of the Tenant Improvements, at its sole cost and expense, insurance of the types and in the amounts specified in the Lease, together with builders’ risk insurance for the amount of completed value of the Tenant Improvements on an all-risk non-reporting form covering all Tenant Improvements under construction, including building materials, and other insurance, in amounts and against risks as Landlord reasonably requires in connection with the Tenant Improvements.</w:t>
      </w:r>
    </w:p>
    <w:p>
      <w:pPr>
        <w:pStyle w:val="TextBody"/>
        <w:bidi w:val="0"/>
        <w:spacing w:before="0" w:after="0"/>
        <w:ind w:left="0" w:right="0" w:hanging="0"/>
        <w:jc w:val="both"/>
        <w:rPr/>
      </w:pPr>
      <w:r>
        <w:rPr/>
        <w:t>​</w:t>
      </w:r>
    </w:p>
    <w:p>
      <w:pPr>
        <w:pStyle w:val="TextBody"/>
        <w:bidi w:val="0"/>
        <w:ind w:left="0" w:right="0" w:hanging="0"/>
        <w:jc w:val="both"/>
        <w:rPr>
          <w:rFonts w:ascii="Times New Roman;Times;serif" w:hAnsi="Times New Roman;Times;serif"/>
          <w:sz w:val="24"/>
        </w:rPr>
      </w:pPr>
      <w:r>
        <w:rPr>
          <w:rFonts w:ascii="Times New Roman;Times;serif" w:hAnsi="Times New Roman;Times;serif"/>
          <w:sz w:val="24"/>
        </w:rPr>
        <w:t>10.Landlord reserves the right to establish reasonable rules and regulations for the use of the Building during the course of the Tenant Improvements, including, but not limited to, construction parking, storage of materials, hours of work, use of elevators, and clean-up of construction related debris.</w:t>
      </w:r>
    </w:p>
    <w:p>
      <w:pPr>
        <w:pStyle w:val="TextBody"/>
        <w:bidi w:val="0"/>
        <w:spacing w:before="0" w:after="0"/>
        <w:ind w:left="0" w:right="0" w:hanging="0"/>
        <w:jc w:val="both"/>
        <w:rPr/>
      </w:pPr>
      <w:r>
        <w:rPr/>
        <w:t>​</w:t>
      </w:r>
    </w:p>
    <w:p>
      <w:pPr>
        <w:pStyle w:val="TextBody"/>
        <w:bidi w:val="0"/>
        <w:ind w:left="0" w:right="0" w:hanging="0"/>
        <w:jc w:val="both"/>
        <w:rPr>
          <w:rFonts w:ascii="Times New Roman;Times;serif" w:hAnsi="Times New Roman;Times;serif"/>
          <w:sz w:val="24"/>
        </w:rPr>
      </w:pPr>
      <w:r>
        <w:rPr>
          <w:rFonts w:ascii="Times New Roman;Times;serif" w:hAnsi="Times New Roman;Times;serif"/>
          <w:sz w:val="24"/>
        </w:rPr>
        <w:t>11.Upon completion of the Tenant Improvements, Tenant may request funding by Landlord of the amount due for the Allowance. Landlord may, but has no obligation to make any advances with respect to the Allowance until Landlord has received the following, all of which will be to the Landlord’s reasonable satisfaction:</w:t>
      </w:r>
    </w:p>
    <w:p>
      <w:pPr>
        <w:pStyle w:val="TextBody"/>
        <w:bidi w:val="0"/>
        <w:spacing w:before="0" w:after="0"/>
        <w:ind w:left="0" w:right="0" w:hanging="0"/>
        <w:jc w:val="both"/>
        <w:rPr/>
      </w:pPr>
      <w:r>
        <w:rPr/>
        <w:t>​</w:t>
      </w:r>
    </w:p>
    <w:p>
      <w:pPr>
        <w:pStyle w:val="TextBody"/>
        <w:bidi w:val="0"/>
        <w:ind w:left="720" w:right="18" w:hanging="0"/>
        <w:jc w:val="both"/>
        <w:rPr>
          <w:rFonts w:ascii="Times New Roman;Times;serif" w:hAnsi="Times New Roman;Times;serif"/>
          <w:sz w:val="24"/>
        </w:rPr>
      </w:pPr>
      <w:r>
        <w:rPr>
          <w:rFonts w:ascii="Times New Roman;Times;serif" w:hAnsi="Times New Roman;Times;serif"/>
          <w:sz w:val="24"/>
        </w:rPr>
        <w:t>(a)Any certificates required for occupancy, including a permanent and complete Certificate of Occupancy issued by the applicable local municipality.</w:t>
      </w:r>
    </w:p>
    <w:p>
      <w:pPr>
        <w:pStyle w:val="TextBody"/>
        <w:bidi w:val="0"/>
        <w:spacing w:before="0" w:after="0"/>
        <w:ind w:left="720" w:right="18" w:hanging="0"/>
        <w:jc w:val="both"/>
        <w:rPr/>
      </w:pPr>
      <w:r>
        <w:rPr/>
        <w:t>​</w:t>
      </w:r>
    </w:p>
    <w:p>
      <w:pPr>
        <w:pStyle w:val="TextBody"/>
        <w:bidi w:val="0"/>
        <w:ind w:left="720" w:right="18" w:hanging="0"/>
        <w:jc w:val="both"/>
        <w:rPr>
          <w:rFonts w:ascii="Times New Roman;Times;serif" w:hAnsi="Times New Roman;Times;serif"/>
          <w:sz w:val="24"/>
        </w:rPr>
      </w:pPr>
      <w:r>
        <w:rPr>
          <w:rFonts w:ascii="Times New Roman;Times;serif" w:hAnsi="Times New Roman;Times;serif"/>
          <w:sz w:val="24"/>
        </w:rPr>
        <w:t>(b)A Certificate of Completion signed by the architect who prepared the plans and specifications approved by Landlord.</w:t>
      </w:r>
    </w:p>
    <w:p>
      <w:pPr>
        <w:pStyle w:val="TextBody"/>
        <w:bidi w:val="0"/>
        <w:spacing w:before="0" w:after="0"/>
        <w:ind w:left="720" w:right="18" w:hanging="0"/>
        <w:jc w:val="both"/>
        <w:rPr/>
      </w:pPr>
      <w:r>
        <w:rPr/>
        <w:t>​</w:t>
      </w:r>
    </w:p>
    <w:p>
      <w:pPr>
        <w:pStyle w:val="TextBody"/>
        <w:bidi w:val="0"/>
        <w:ind w:left="720" w:right="18" w:hanging="0"/>
        <w:jc w:val="both"/>
        <w:rPr>
          <w:rFonts w:ascii="Times New Roman;Times;serif" w:hAnsi="Times New Roman;Times;serif"/>
          <w:sz w:val="24"/>
        </w:rPr>
      </w:pPr>
      <w:r>
        <w:rPr>
          <w:rFonts w:ascii="Times New Roman;Times;serif" w:hAnsi="Times New Roman;Times;serif"/>
          <w:sz w:val="24"/>
        </w:rPr>
        <w:t>(c)An estoppel certificate signed by Tenant, in form satisfactory to Landlord, and stating that Tenant has taken occupancy of the Leased Premises and that there are no defaults under the Lease, and any other matters that Landlord may reasonably require.</w:t>
      </w:r>
    </w:p>
    <w:p>
      <w:pPr>
        <w:pStyle w:val="TextBody"/>
        <w:bidi w:val="0"/>
        <w:spacing w:before="0" w:after="0"/>
        <w:ind w:left="720" w:right="18" w:hanging="0"/>
        <w:jc w:val="both"/>
        <w:rPr/>
      </w:pPr>
      <w:r>
        <w:rPr/>
        <w:t>​</w:t>
      </w:r>
    </w:p>
    <w:p>
      <w:pPr>
        <w:pStyle w:val="TextBody"/>
        <w:bidi w:val="0"/>
        <w:ind w:left="720" w:right="18" w:hanging="0"/>
        <w:jc w:val="both"/>
        <w:rPr>
          <w:rFonts w:ascii="Times New Roman;Times;serif" w:hAnsi="Times New Roman;Times;serif"/>
          <w:sz w:val="24"/>
        </w:rPr>
      </w:pPr>
      <w:r>
        <w:rPr>
          <w:rFonts w:ascii="Times New Roman;Times;serif" w:hAnsi="Times New Roman;Times;serif"/>
          <w:sz w:val="24"/>
        </w:rPr>
        <w:t>(d)A cost breakdown itemizing all expenses for the Tenant Improvements for which the Tenant seeks Allowance reimbursement, together with invoices and receipts for the same.</w:t>
      </w:r>
    </w:p>
    <w:p>
      <w:pPr>
        <w:pStyle w:val="TextBody"/>
        <w:bidi w:val="0"/>
        <w:spacing w:before="0" w:after="0"/>
        <w:ind w:left="720" w:right="18" w:hanging="0"/>
        <w:jc w:val="both"/>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8</w:t>
      </w:r>
    </w:p>
    <w:p>
      <w:pPr>
        <w:pStyle w:val="TextBody"/>
        <w:bidi w:val="0"/>
        <w:spacing w:before="0" w:after="0"/>
        <w:ind w:left="0" w:right="36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ind w:left="720" w:right="18" w:hanging="0"/>
        <w:jc w:val="both"/>
        <w:rPr>
          <w:rFonts w:ascii="Times New Roman;Times;serif" w:hAnsi="Times New Roman;Times;serif"/>
          <w:sz w:val="24"/>
        </w:rPr>
      </w:pPr>
      <w:r>
        <w:rPr>
          <w:rFonts w:ascii="Times New Roman;Times;serif" w:hAnsi="Times New Roman;Times;serif"/>
          <w:sz w:val="24"/>
        </w:rPr>
        <w:t>(e)Mechanic’s lien waivers for all Tenant Improvements.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Courier" w:hAnsi="Courier"/>
          <w:sz w:val="24"/>
        </w:rPr>
      </w:pPr>
      <w:r>
        <w:rPr>
          <w:rFonts w:ascii="Times New Roman;Times;serif" w:hAnsi="Times New Roman;Times;serif"/>
          <w:sz w:val="24"/>
        </w:rPr>
        <w:t>Within thirty (30) days of the receipt of the foregoing, Landlord will fund to Tenant the lower of (i) Tenant’s actual costs for the Tenant Improvements, or (ii) the Allowance, less any amounts paid in monthly installments as progress payments or directly to Tenant’s Contractors.</w:t>
      </w:r>
      <w:r>
        <w:rPr>
          <w:rFonts w:ascii="Courier" w:hAnsi="Courier"/>
          <w:sz w:val="24"/>
        </w:rPr>
        <w:t xml:space="preserve"> </w:t>
      </w:r>
      <w:r>
        <w:rPr>
          <w:rFonts w:ascii="Times New Roman;Times;serif" w:hAnsi="Times New Roman;Times;serif"/>
          <w:sz w:val="24"/>
        </w:rPr>
        <w:t>Landlord shall only be obligated to pay the Allowance with respect to those costs submitted to Landlord by December 31, 2025, and Landlord shall have no obligation to pay any invoices received after such date or at any time during which Tenant is in default, beyond any applicable notice and cure period.</w:t>
      </w:r>
    </w:p>
    <w:p>
      <w:pPr>
        <w:pStyle w:val="TextBody"/>
        <w:bidi w:val="0"/>
        <w:spacing w:before="0" w:after="0"/>
        <w:ind w:left="0" w:right="0" w:hanging="0"/>
        <w:jc w:val="both"/>
        <w:rPr/>
      </w:pPr>
      <w:r>
        <w:rPr/>
        <w:t>​</w:t>
      </w:r>
    </w:p>
    <w:p>
      <w:pPr>
        <w:pStyle w:val="TextBody"/>
        <w:bidi w:val="0"/>
        <w:ind w:left="0" w:right="0" w:hanging="0"/>
        <w:jc w:val="both"/>
        <w:rPr>
          <w:rFonts w:ascii="Times New Roman;Times;serif" w:hAnsi="Times New Roman;Times;serif"/>
          <w:sz w:val="24"/>
        </w:rPr>
      </w:pPr>
      <w:r>
        <w:rPr>
          <w:rFonts w:ascii="Times New Roman;Times;serif" w:hAnsi="Times New Roman;Times;serif"/>
          <w:sz w:val="24"/>
        </w:rPr>
        <w:t>12.All Tenant Improvements, whether installed by Landlord or Tenant, will become a part of the Leased Premises, will be the property of Landlord and, subject to the provisions of the Lease, must be surrendered by Tenant with the Leased Premises, without any compensation to Tenant, at the expiration or termination of the Lease in accordance with the provisions of the Lease.</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9</w:t>
      </w:r>
    </w:p>
    <w:p>
      <w:pPr>
        <w:pStyle w:val="TextBody"/>
        <w:bidi w:val="0"/>
        <w:spacing w:before="0" w:after="0"/>
        <w:ind w:left="0" w:right="36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b/>
          <w:sz w:val="20"/>
        </w:rPr>
      </w:pPr>
      <w:bookmarkStart w:id="691" w:name="cvrx-20230331xex31d1.htm"/>
      <w:bookmarkStart w:id="692" w:name="kscvrx20230331xex31d1"/>
      <w:bookmarkEnd w:id="691"/>
      <w:bookmarkEnd w:id="692"/>
      <w:r>
        <w:rPr>
          <w:rFonts w:ascii="Times New Roman;Times;serif" w:hAnsi="Times New Roman;Times;serif"/>
          <w:b/>
          <w:sz w:val="20"/>
        </w:rPr>
        <w:t>Exhibit 31.1</w:t>
      </w:r>
      <w:r>
        <w:br w:type="page"/>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 Nadim Yared, certify that:</w:t>
      </w:r>
    </w:p>
    <w:tbl>
      <w:tblPr>
        <w:tblW w:w="5523" w:type="dxa"/>
        <w:jc w:val="left"/>
        <w:tblInd w:w="0" w:type="dxa"/>
        <w:tblLayout w:type="fixed"/>
        <w:tblCellMar>
          <w:top w:w="0" w:type="dxa"/>
          <w:left w:w="0" w:type="dxa"/>
          <w:bottom w:w="0" w:type="dxa"/>
          <w:right w:w="0" w:type="dxa"/>
        </w:tblCellMar>
      </w:tblPr>
      <w:tblGrid>
        <w:gridCol w:w="23"/>
        <w:gridCol w:w="170"/>
        <w:gridCol w:w="53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1.</w:t>
            </w:r>
          </w:p>
        </w:tc>
        <w:tc>
          <w:tcPr>
            <w:tcW w:w="533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I have reviewed this quarterly report on Form 10-Q of CVRx, Inc.;</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11, 2023</w:t>
      </w:r>
    </w:p>
    <w:p>
      <w:pPr>
        <w:pStyle w:val="TextBody"/>
        <w:bidi w:val="0"/>
        <w:spacing w:before="0" w:after="0"/>
        <w:ind w:left="0" w:right="0" w:hanging="0"/>
        <w:jc w:val="left"/>
        <w:rPr/>
      </w:pPr>
      <w:r>
        <w:rPr/>
        <w:t>​</w:t>
      </w:r>
    </w:p>
    <w:tbl>
      <w:tblPr>
        <w:tblW w:w="3966" w:type="dxa"/>
        <w:jc w:val="left"/>
        <w:tblInd w:w="0" w:type="dxa"/>
        <w:tblLayout w:type="fixed"/>
        <w:tblCellMar>
          <w:top w:w="0" w:type="dxa"/>
          <w:left w:w="0" w:type="dxa"/>
          <w:bottom w:w="0" w:type="dxa"/>
          <w:right w:w="0" w:type="dxa"/>
        </w:tblCellMar>
      </w:tblPr>
      <w:tblGrid>
        <w:gridCol w:w="124"/>
        <w:gridCol w:w="631"/>
        <w:gridCol w:w="3211"/>
      </w:tblGrid>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842"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Nadim Yared</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Nadim Yared </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b/>
          <w:sz w:val="20"/>
        </w:rPr>
      </w:pPr>
      <w:bookmarkStart w:id="693" w:name="cvrx-20230331xex31d2.htm"/>
      <w:bookmarkStart w:id="694" w:name="kscvrx20230331xex31d2"/>
      <w:bookmarkEnd w:id="693"/>
      <w:bookmarkEnd w:id="694"/>
      <w:r>
        <w:rPr>
          <w:rFonts w:ascii="Times New Roman;Times;serif" w:hAnsi="Times New Roman;Times;serif"/>
          <w:b/>
          <w:sz w:val="20"/>
        </w:rPr>
        <w:t>Exhibit 31.2</w:t>
      </w:r>
      <w:r>
        <w:br w:type="page"/>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 Jared Oasheim, certify that:</w:t>
      </w:r>
    </w:p>
    <w:tbl>
      <w:tblPr>
        <w:tblW w:w="5523" w:type="dxa"/>
        <w:jc w:val="left"/>
        <w:tblInd w:w="0" w:type="dxa"/>
        <w:tblLayout w:type="fixed"/>
        <w:tblCellMar>
          <w:top w:w="0" w:type="dxa"/>
          <w:left w:w="0" w:type="dxa"/>
          <w:bottom w:w="0" w:type="dxa"/>
          <w:right w:w="0" w:type="dxa"/>
        </w:tblCellMar>
      </w:tblPr>
      <w:tblGrid>
        <w:gridCol w:w="23"/>
        <w:gridCol w:w="170"/>
        <w:gridCol w:w="53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1.</w:t>
            </w:r>
          </w:p>
        </w:tc>
        <w:tc>
          <w:tcPr>
            <w:tcW w:w="533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I have reviewed this quarterly report on Form 10-Q of CVRx, Inc.;</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11, 2023</w:t>
      </w:r>
    </w:p>
    <w:p>
      <w:pPr>
        <w:pStyle w:val="TextBody"/>
        <w:bidi w:val="0"/>
        <w:spacing w:before="0" w:after="0"/>
        <w:ind w:left="0" w:right="0" w:hanging="0"/>
        <w:jc w:val="left"/>
        <w:rPr/>
      </w:pPr>
      <w:r>
        <w:rPr/>
        <w:t>​</w:t>
      </w:r>
    </w:p>
    <w:tbl>
      <w:tblPr>
        <w:tblW w:w="2913" w:type="dxa"/>
        <w:jc w:val="left"/>
        <w:tblInd w:w="0" w:type="dxa"/>
        <w:tblLayout w:type="fixed"/>
        <w:tblCellMar>
          <w:top w:w="0" w:type="dxa"/>
          <w:left w:w="0" w:type="dxa"/>
          <w:bottom w:w="0" w:type="dxa"/>
          <w:right w:w="0" w:type="dxa"/>
        </w:tblCellMar>
      </w:tblPr>
      <w:tblGrid>
        <w:gridCol w:w="271"/>
        <w:gridCol w:w="631"/>
        <w:gridCol w:w="2011"/>
      </w:tblGrid>
      <w:tr>
        <w:trPr/>
        <w:tc>
          <w:tcPr>
            <w:tcW w:w="27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J.</w:t>
            </w:r>
          </w:p>
        </w:tc>
        <w:tc>
          <w:tcPr>
            <w:tcW w:w="631"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pPr>
            <w:r>
              <w:rPr/>
              <w:t>​</w:t>
            </w:r>
          </w:p>
        </w:tc>
      </w:tr>
      <w:tr>
        <w:trPr/>
        <w:tc>
          <w:tcPr>
            <w:tcW w:w="271" w:type="dxa"/>
            <w:tcBorders/>
            <w:vAlign w:val="center"/>
          </w:tcPr>
          <w:p>
            <w:pPr>
              <w:pStyle w:val="TableContents"/>
              <w:bidi w:val="0"/>
              <w:spacing w:before="0" w:after="0"/>
              <w:ind w:left="0" w:right="0" w:hanging="0"/>
              <w:jc w:val="left"/>
              <w:rPr/>
            </w:pPr>
            <w:r>
              <w:rPr/>
              <w:t>​</w:t>
            </w:r>
          </w:p>
        </w:tc>
        <w:tc>
          <w:tcPr>
            <w:tcW w:w="2642" w:type="dxa"/>
            <w:gridSpan w:val="2"/>
            <w:tcBorders/>
            <w:vAlign w:val="center"/>
          </w:tcPr>
          <w:p>
            <w:pPr>
              <w:pStyle w:val="TableContents"/>
              <w:bidi w:val="0"/>
              <w:spacing w:before="0" w:after="0"/>
              <w:ind w:left="0" w:right="0" w:hanging="0"/>
              <w:jc w:val="left"/>
              <w:rPr/>
            </w:pPr>
            <w:r>
              <w:rPr/>
              <w:t>​</w:t>
            </w:r>
          </w:p>
        </w:tc>
      </w:tr>
      <w:tr>
        <w:trPr/>
        <w:tc>
          <w:tcPr>
            <w:tcW w:w="27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Jared Oasheim</w:t>
            </w:r>
          </w:p>
        </w:tc>
      </w:tr>
      <w:tr>
        <w:trPr/>
        <w:tc>
          <w:tcPr>
            <w:tcW w:w="27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Jared Oasheim</w:t>
            </w:r>
          </w:p>
        </w:tc>
      </w:tr>
      <w:tr>
        <w:trPr/>
        <w:tc>
          <w:tcPr>
            <w:tcW w:w="27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695" w:name="cvrx-20230331xex32d1.htm"/>
      <w:bookmarkStart w:id="696" w:name="kscvrx20230331xex32d1"/>
      <w:bookmarkEnd w:id="695"/>
      <w:bookmarkEnd w:id="696"/>
      <w:r>
        <w:rPr/>
        <w:t>​</w:t>
      </w:r>
      <w:r>
        <w:br w:type="page"/>
      </w:r>
    </w:p>
    <w:p>
      <w:pPr>
        <w:pStyle w:val="TextBody"/>
        <w:bidi w:val="0"/>
        <w:spacing w:before="0" w:after="120"/>
        <w:ind w:left="0" w:right="0" w:hanging="0"/>
        <w:jc w:val="right"/>
        <w:rPr>
          <w:rFonts w:ascii="Times New Roman;Times;serif" w:hAnsi="Times New Roman;Times;serif"/>
          <w:b/>
          <w:sz w:val="20"/>
        </w:rPr>
      </w:pPr>
      <w:r>
        <w:rPr>
          <w:rFonts w:ascii="Times New Roman;Times;serif" w:hAnsi="Times New Roman;Times;serif"/>
          <w:b/>
          <w:sz w:val="20"/>
        </w:rPr>
        <w:t>Exhibit 32.1</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Certification of CEO Pursuant to 18 U.S.C. Section 1350,</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 of the Sarbanes-Oxley Act of 2002</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CVRx, Inc. (the “Company”) on Form 10-Q for the period ended March 31, 2023 (the “Report”), as filed with the Securities and Exchange Commission on the date hereof, I, the undersigned, certify, pursuant to 18 U.S.C. Section 1350, as adopted pursuant to Section 906 of the Sarbanes-Oxley Act of 2002, to the best of my knowledge, that:</w:t>
      </w:r>
    </w:p>
    <w:tbl>
      <w:tblPr>
        <w:tblW w:w="10205" w:type="dxa"/>
        <w:jc w:val="left"/>
        <w:tblInd w:w="0" w:type="dxa"/>
        <w:tblLayout w:type="fixed"/>
        <w:tblCellMar>
          <w:top w:w="0" w:type="dxa"/>
          <w:left w:w="0" w:type="dxa"/>
          <w:bottom w:w="0" w:type="dxa"/>
          <w:right w:w="0" w:type="dxa"/>
        </w:tblCellMar>
      </w:tblPr>
      <w:tblGrid>
        <w:gridCol w:w="23"/>
        <w:gridCol w:w="242"/>
        <w:gridCol w:w="9940"/>
      </w:tblGrid>
      <w:tr>
        <w:trPr/>
        <w:tc>
          <w:tcPr>
            <w:tcW w:w="2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(1)</w:t>
            </w:r>
          </w:p>
        </w:tc>
        <w:tc>
          <w:tcPr>
            <w:tcW w:w="994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Report fully complies with the requirements of Section 13(a) or Section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11, 2023</w:t>
      </w:r>
    </w:p>
    <w:p>
      <w:pPr>
        <w:pStyle w:val="TextBody"/>
        <w:bidi w:val="0"/>
        <w:spacing w:before="0" w:after="0"/>
        <w:ind w:left="0" w:right="0" w:hanging="0"/>
        <w:jc w:val="left"/>
        <w:rPr/>
      </w:pPr>
      <w:r>
        <w:rPr/>
        <w:t>​</w:t>
      </w:r>
    </w:p>
    <w:tbl>
      <w:tblPr>
        <w:tblW w:w="3966" w:type="dxa"/>
        <w:jc w:val="left"/>
        <w:tblInd w:w="0" w:type="dxa"/>
        <w:tblLayout w:type="fixed"/>
        <w:tblCellMar>
          <w:top w:w="0" w:type="dxa"/>
          <w:left w:w="0" w:type="dxa"/>
          <w:bottom w:w="0" w:type="dxa"/>
          <w:right w:w="0" w:type="dxa"/>
        </w:tblCellMar>
      </w:tblPr>
      <w:tblGrid>
        <w:gridCol w:w="124"/>
        <w:gridCol w:w="631"/>
        <w:gridCol w:w="3211"/>
      </w:tblGrid>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842"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Nadim Yared</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Nadim Yared</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697" w:name="cvrx-20230331xex32d2.htm"/>
      <w:bookmarkStart w:id="698" w:name="kscvrx20230331xex32d2"/>
      <w:bookmarkEnd w:id="697"/>
      <w:bookmarkEnd w:id="698"/>
      <w:r>
        <w:rPr/>
        <w:t>​</w:t>
      </w:r>
      <w:r>
        <w:br w:type="page"/>
      </w:r>
    </w:p>
    <w:p>
      <w:pPr>
        <w:pStyle w:val="TextBody"/>
        <w:bidi w:val="0"/>
        <w:spacing w:before="0" w:after="120"/>
        <w:ind w:left="0" w:right="0" w:hanging="0"/>
        <w:jc w:val="right"/>
        <w:rPr>
          <w:rFonts w:ascii="Times New Roman;Times;serif" w:hAnsi="Times New Roman;Times;serif"/>
          <w:b/>
          <w:sz w:val="20"/>
        </w:rPr>
      </w:pPr>
      <w:r>
        <w:rPr>
          <w:rFonts w:ascii="Times New Roman;Times;serif" w:hAnsi="Times New Roman;Times;serif"/>
          <w:b/>
          <w:sz w:val="20"/>
        </w:rPr>
        <w:t>Exhibit 32.2</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Certification of CFO Pursuant to 18 U.S.C. Section 1350,</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 of the Sarbanes-Oxley Act of 2002</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CVRx, Inc. (the “Company”) on Form 10-Q for the period ended March 31, 2023 (the “Report”), as filed with the Securities and Exchange Commission on the date hereof, I, the undersigned, certify, pursuant to 18 U.S.C. Section 1350, as adopted pursuant to Section 906 of the Sarbanes-Oxley Act of 2002, to the best of my knowledge, that:</w:t>
      </w:r>
    </w:p>
    <w:tbl>
      <w:tblPr>
        <w:tblW w:w="10205" w:type="dxa"/>
        <w:jc w:val="left"/>
        <w:tblInd w:w="0" w:type="dxa"/>
        <w:tblLayout w:type="fixed"/>
        <w:tblCellMar>
          <w:top w:w="0" w:type="dxa"/>
          <w:left w:w="0" w:type="dxa"/>
          <w:bottom w:w="0" w:type="dxa"/>
          <w:right w:w="0" w:type="dxa"/>
        </w:tblCellMar>
      </w:tblPr>
      <w:tblGrid>
        <w:gridCol w:w="23"/>
        <w:gridCol w:w="242"/>
        <w:gridCol w:w="9940"/>
      </w:tblGrid>
      <w:tr>
        <w:trPr/>
        <w:tc>
          <w:tcPr>
            <w:tcW w:w="2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(1)</w:t>
            </w:r>
          </w:p>
        </w:tc>
        <w:tc>
          <w:tcPr>
            <w:tcW w:w="994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Report fully complies with the requirements of Section 13(a) or Section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11, 2023</w:t>
      </w:r>
    </w:p>
    <w:p>
      <w:pPr>
        <w:pStyle w:val="TextBody"/>
        <w:bidi w:val="0"/>
        <w:spacing w:before="0" w:after="0"/>
        <w:ind w:left="0" w:right="0" w:hanging="0"/>
        <w:jc w:val="left"/>
        <w:rPr/>
      </w:pPr>
      <w:r>
        <w:rPr/>
        <w:t>​</w:t>
      </w:r>
    </w:p>
    <w:tbl>
      <w:tblPr>
        <w:tblW w:w="2973" w:type="dxa"/>
        <w:jc w:val="left"/>
        <w:tblInd w:w="0" w:type="dxa"/>
        <w:tblLayout w:type="fixed"/>
        <w:tblCellMar>
          <w:top w:w="0" w:type="dxa"/>
          <w:left w:w="0" w:type="dxa"/>
          <w:bottom w:w="0" w:type="dxa"/>
          <w:right w:w="0" w:type="dxa"/>
        </w:tblCellMar>
      </w:tblPr>
      <w:tblGrid>
        <w:gridCol w:w="331"/>
        <w:gridCol w:w="631"/>
        <w:gridCol w:w="2011"/>
      </w:tblGrid>
      <w:tr>
        <w:trPr/>
        <w:tc>
          <w:tcPr>
            <w:tcW w:w="33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J. </w:t>
            </w:r>
          </w:p>
        </w:tc>
        <w:tc>
          <w:tcPr>
            <w:tcW w:w="631"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2642" w:type="dxa"/>
            <w:gridSpan w:val="2"/>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Jared Oasheim</w:t>
            </w:r>
          </w:p>
        </w:tc>
      </w:tr>
      <w:tr>
        <w:trPr/>
        <w:tc>
          <w:tcPr>
            <w:tcW w:w="33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Jared Oasheim</w:t>
            </w:r>
          </w:p>
        </w:tc>
      </w:tr>
      <w:tr>
        <w:trPr/>
        <w:tc>
          <w:tcPr>
            <w:tcW w:w="33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 w:name="Courier">
    <w:altName w:val="Courier Ne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35912/000110465921089779/tm2121505d1_ex3-1.htm" TargetMode="External"/><Relationship Id="rId3" Type="http://schemas.openxmlformats.org/officeDocument/2006/relationships/hyperlink" Target="https://www.sec.gov/Archives/edgar/data/1235912/000110465921089779/tm2121505d1_ex3-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18391</Words>
  <Characters>100051</Characters>
  <CharactersWithSpaces>119092</CharactersWithSpaces>
  <Paragraphs>3297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