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Specialized Disclosure Report</w:t>
      </w:r>
    </w:p>
    <w:p>
      <w:pPr>
        <w:spacing w:after="0" w:line="2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u w:val="single" w:color="auto"/>
          <w:color w:val="auto"/>
        </w:rPr>
        <w:t>CVRx, Inc.</w:t>
      </w:r>
    </w:p>
    <w:p>
      <w:pPr>
        <w:spacing w:after="0" w:line="4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40" w:type="dxa"/>
        <w:tblCellMar>
          <w:top w:w="0" w:type="dxa"/>
          <w:left w:w="0" w:type="dxa"/>
          <w:bottom w:w="0" w:type="dxa"/>
          <w:right w:w="0" w:type="dxa"/>
        </w:tblCellMar>
      </w:tblPr>
      <w:tr>
        <w:trPr>
          <w:trHeight w:val="220"/>
        </w:trPr>
        <w:tc>
          <w:tcPr>
            <w:tcW w:w="368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001-40545</w:t>
            </w:r>
          </w:p>
        </w:tc>
        <w:tc>
          <w:tcPr>
            <w:tcW w:w="2860" w:type="dxa"/>
            <w:vAlign w:val="bottom"/>
            <w:gridSpan w:val="3"/>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41-1983744</w:t>
            </w:r>
          </w:p>
        </w:tc>
      </w:tr>
      <w:tr>
        <w:trPr>
          <w:trHeight w:val="216"/>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(Commission</w:t>
            </w:r>
          </w:p>
        </w:tc>
        <w:tc>
          <w:tcPr>
            <w:tcW w:w="1120" w:type="dxa"/>
            <w:vAlign w:val="bottom"/>
          </w:tcPr>
          <w:p>
            <w:pPr>
              <w:spacing w:after="0"/>
              <w:rPr>
                <w:sz w:val="18"/>
                <w:szCs w:val="18"/>
                <w:color w:val="auto"/>
              </w:rPr>
            </w:pPr>
          </w:p>
        </w:tc>
        <w:tc>
          <w:tcPr>
            <w:tcW w:w="17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680" w:type="dxa"/>
            <w:vAlign w:val="bottom"/>
            <w:gridSpan w:val="3"/>
          </w:tcPr>
          <w:p>
            <w:pPr>
              <w:jc w:val="center"/>
              <w:ind w:right="1800"/>
              <w:spacing w:after="0"/>
              <w:rPr>
                <w:sz w:val="20"/>
                <w:szCs w:val="20"/>
                <w:color w:val="auto"/>
              </w:rPr>
            </w:pPr>
            <w:r>
              <w:rPr>
                <w:rFonts w:ascii="Times New Roman" w:cs="Times New Roman" w:eastAsia="Times New Roman" w:hAnsi="Times New Roman"/>
                <w:sz w:val="18"/>
                <w:szCs w:val="18"/>
                <w:color w:val="auto"/>
              </w:rPr>
              <w:t>of incorporation)</w:t>
            </w:r>
          </w:p>
        </w:tc>
        <w:tc>
          <w:tcPr>
            <w:tcW w:w="23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File Number)</w:t>
            </w:r>
          </w:p>
        </w:tc>
        <w:tc>
          <w:tcPr>
            <w:tcW w:w="1120" w:type="dxa"/>
            <w:vAlign w:val="bottom"/>
          </w:tcPr>
          <w:p>
            <w:pPr>
              <w:spacing w:after="0"/>
              <w:rPr>
                <w:sz w:val="20"/>
                <w:szCs w:val="20"/>
                <w:color w:val="auto"/>
              </w:rPr>
            </w:pPr>
          </w:p>
        </w:tc>
        <w:tc>
          <w:tcPr>
            <w:tcW w:w="17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9201 West Broadway Avenue, Suite 650</w:t>
            </w:r>
          </w:p>
        </w:tc>
        <w:tc>
          <w:tcPr>
            <w:tcW w:w="2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8"/>
        </w:trPr>
        <w:tc>
          <w:tcPr>
            <w:tcW w:w="1100" w:type="dxa"/>
            <w:vAlign w:val="bottom"/>
          </w:tcPr>
          <w:p>
            <w:pPr>
              <w:spacing w:after="0"/>
              <w:rPr>
                <w:sz w:val="17"/>
                <w:szCs w:val="17"/>
                <w:color w:val="auto"/>
              </w:rPr>
            </w:pPr>
          </w:p>
        </w:tc>
        <w:tc>
          <w:tcPr>
            <w:tcW w:w="2580" w:type="dxa"/>
            <w:vAlign w:val="bottom"/>
            <w:gridSpan w:val="2"/>
          </w:tcPr>
          <w:p>
            <w:pPr>
              <w:jc w:val="center"/>
              <w:ind w:right="12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Minneapolis, MN</w:t>
            </w:r>
          </w:p>
        </w:tc>
        <w:tc>
          <w:tcPr>
            <w:tcW w:w="2360" w:type="dxa"/>
            <w:vAlign w:val="bottom"/>
          </w:tcPr>
          <w:p>
            <w:pPr>
              <w:spacing w:after="0"/>
              <w:rPr>
                <w:sz w:val="17"/>
                <w:szCs w:val="17"/>
                <w:color w:val="auto"/>
              </w:rPr>
            </w:pPr>
          </w:p>
        </w:tc>
        <w:tc>
          <w:tcPr>
            <w:tcW w:w="2860" w:type="dxa"/>
            <w:vAlign w:val="bottom"/>
            <w:gridSpan w:val="3"/>
          </w:tcPr>
          <w:p>
            <w:pPr>
              <w:jc w:val="right"/>
              <w:ind w:right="1280"/>
              <w:spacing w:after="0" w:line="198" w:lineRule="exact"/>
              <w:rPr>
                <w:sz w:val="20"/>
                <w:szCs w:val="20"/>
                <w:color w:val="auto"/>
              </w:rPr>
            </w:pPr>
            <w:r>
              <w:rPr>
                <w:rFonts w:ascii="Times New Roman" w:cs="Times New Roman" w:eastAsia="Times New Roman" w:hAnsi="Times New Roman"/>
                <w:sz w:val="18"/>
                <w:szCs w:val="18"/>
                <w:b w:val="1"/>
                <w:bCs w:val="1"/>
                <w:color w:val="auto"/>
              </w:rPr>
              <w:t>55445</w:t>
            </w:r>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3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60" w:type="dxa"/>
            <w:vAlign w:val="bottom"/>
          </w:tcPr>
          <w:p>
            <w:pPr>
              <w:spacing w:after="0"/>
              <w:rPr>
                <w:sz w:val="20"/>
                <w:szCs w:val="20"/>
                <w:color w:val="auto"/>
              </w:rPr>
            </w:pPr>
          </w:p>
        </w:tc>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7"/>
              </w:rPr>
              <w:t>(Zip code)</w:t>
            </w:r>
          </w:p>
        </w:tc>
      </w:tr>
    </w:tbl>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Jared Oasheim</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(763) 416-2840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right="479" w:firstLine="8"/>
        <w:spacing w:after="0" w:line="239" w:lineRule="exact"/>
        <w:tabs>
          <w:tab w:leader="none" w:pos="2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1.01 and 1.02 Conflict Minerals Disclosure and Report, Exhibit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As required by Rule 13p-1 (the “Rule”), CVRx, Inc. (the “Company”) identified that certain components of the Company’s Barostim device that entered the stream of commerce in the calendar year ended December 31, 2025 were potentially in the scope of the Rule for the year ended December 31, 2025.</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components were provided to the Company by a number of contract manufacturers and distributors. The Company conducted a reasonable country of origin inquiry (“RCOI”) for the year ended December 31, 2025 but was unable to obtain documentation from some of the relevant suppliers on whether these components contain tin, tungsten, tantalum or gold (the “3TG Minerals”), or if relevant, about the country of origin of any 3TG Minerals incorporated into the products. As a result, the Company cannot rule out the possibility that these products contained 3TG Minerals originating in the Democratic Republic of the Congo or an adjoining country (collectively, the “Covered Countries”).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Generally speaking, the amount of information available globally on the traceability and sourcing of these ores is limited at this time. The Company asked its suppliers to provide answers to the Supply Chain Questionnaire adapted from the Conflict Minerals Reporting Template (“CMRT”) developed by the Responsible Minerals Initiative reflecting the Company’s position on the supply chain. The Company reviewed the questionnaires received for completeness and consistency of answers and asked for corrections and clarifications where needed. As such, the Company believes the RCOI process that it followed was performed in good faith and reasonably designed to determine whether any of the 3TG metals originated in any Covered Country or are from recycled or scrap sources. However, there are inherent limitations in the information provided by third parties including, but not limited to, potential inaccuracies, incompleteness or falsified information despite the Company’s efforts to validate and confirm the information.</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in this Form SD is publicly available on the Company’s website at </w:t>
      </w:r>
      <w:r>
        <w:rPr>
          <w:rFonts w:ascii="Times New Roman" w:cs="Times New Roman" w:eastAsia="Times New Roman" w:hAnsi="Times New Roman"/>
          <w:sz w:val="18"/>
          <w:szCs w:val="18"/>
          <w:u w:val="single" w:color="auto"/>
          <w:color w:val="auto"/>
        </w:rPr>
        <w:t>https://ir.cvrx.com/financial-information/sec-filings</w:t>
      </w:r>
      <w:r>
        <w:rPr>
          <w:rFonts w:ascii="Times New Roman" w:cs="Times New Roman" w:eastAsia="Times New Roman" w:hAnsi="Times New Roman"/>
          <w:sz w:val="18"/>
          <w:szCs w:val="18"/>
          <w:color w:val="auto"/>
        </w:rPr>
        <w:t>; however, the information on the Company’s website is not incorporated by reference into this Form SD and does not constitute a part of this Form SD.</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Pursuant to the Public Statement issued by the SEC’s Division of Corporate Finance on April 7, 2017, the Company has provided only the disclosure required under the provisions of paragraphs (a) and (b) of Item 1.01 of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CVRX,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Jared Oasheim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40"/>
      </w:cols>
      <w:pgMar w:left="320" w:top="90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2026-05-28T19:04:04Z</dcterms:created>
  <dcterms:modified xsi:type="dcterms:W3CDTF">2026-05-28T19:04:04Z</dcterms:modified>
</cp:coreProperties>
</file>