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vrx-20240630x10q.htm"/>
        <w:bookmarkStart w:id="1" w:name="kscvrx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18"/>
        </w:rPr>
      </w:pPr>
      <w:bookmarkStart w:id="2" w:name="_d53742b5_9227_47f1_9538_d244f95162ba"/>
      <w:bookmarkEnd w:id="2"/>
      <w:r>
        <w:rPr>
          <w:rFonts w:ascii="Arial;Helvetica;sans-serif" w:hAnsi="Arial;Helvetica;sans-serif"/>
          <w:b/>
          <w:sz w:val="18"/>
        </w:rPr>
        <w:t>UNITED STATES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SECURITIES AND EXCHANGE COMMISSION</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Washington, D.C. 20549</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FORM 10-Q</w:t>
      </w:r>
    </w:p>
    <w:p>
      <w:pPr>
        <w:pStyle w:val="TextBody"/>
        <w:bidi w:val="0"/>
        <w:spacing w:before="0" w:after="0"/>
        <w:ind w:left="720" w:right="0" w:hanging="0"/>
        <w:jc w:val="left"/>
        <w:rPr>
          <w:rFonts w:ascii="Arial;Helvetica;sans-serif" w:hAnsi="Arial;Helvetica;sans-serif"/>
          <w:b/>
          <w:sz w:val="18"/>
        </w:rPr>
      </w:pPr>
      <w:r>
        <w:rPr>
          <w:rFonts w:ascii="Arial;Helvetica;sans-serif" w:hAnsi="Arial;Helvetica;sans-serif"/>
          <w:b/>
          <w:sz w:val="18"/>
        </w:rPr>
        <w:t>(Mark One)</w:t>
      </w:r>
    </w:p>
    <w:tbl>
      <w:tblPr>
        <w:tblW w:w="9816" w:type="dxa"/>
        <w:jc w:val="left"/>
        <w:tblInd w:w="0" w:type="dxa"/>
        <w:tblLayout w:type="fixed"/>
        <w:tblCellMar>
          <w:top w:w="0" w:type="dxa"/>
          <w:left w:w="0" w:type="dxa"/>
          <w:bottom w:w="0" w:type="dxa"/>
          <w:right w:w="0" w:type="dxa"/>
        </w:tblCellMar>
      </w:tblPr>
      <w:tblGrid>
        <w:gridCol w:w="124"/>
        <w:gridCol w:w="31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376" w:type="dxa"/>
            <w:tcBorders/>
            <w:vAlign w:val="center"/>
          </w:tcPr>
          <w:p>
            <w:pPr>
              <w:pStyle w:val="TableContents"/>
              <w:bidi w:val="0"/>
              <w:spacing w:before="0" w:after="0"/>
              <w:jc w:val="left"/>
              <w:rPr>
                <w:rFonts w:ascii="Arial;Helvetica;sans-serif" w:hAnsi="Arial;Helvetica;sans-serif"/>
                <w:b/>
                <w:sz w:val="18"/>
              </w:rPr>
            </w:pPr>
            <w:r>
              <w:rPr>
                <w:rFonts w:ascii="Arial;Helvetica;sans-serif" w:hAnsi="Arial;Helvetica;sans-serif"/>
                <w:b/>
                <w:sz w:val="18"/>
              </w:rPr>
              <w:t>QUARTERLY REPORT PURSUANT TO SECTION 13 OR 15(d) OF THE SECURITIES EXCHANGE ACT OF 1934</w:t>
            </w:r>
          </w:p>
        </w:tc>
      </w:tr>
    </w:tbl>
    <w:p>
      <w:pPr>
        <w:pStyle w:val="TextBody"/>
        <w:bidi w:val="0"/>
        <w:spacing w:before="0" w:after="60"/>
        <w:ind w:left="0" w:right="0" w:hanging="0"/>
        <w:jc w:val="center"/>
        <w:rPr>
          <w:rFonts w:ascii="Arial;Helvetica;sans-serif" w:hAnsi="Arial;Helvetica;sans-serif"/>
          <w:sz w:val="20"/>
        </w:rPr>
      </w:pPr>
      <w:r>
        <w:rPr>
          <w:rFonts w:ascii="Arial;Helvetica;sans-serif" w:hAnsi="Arial;Helvetica;sans-serif"/>
          <w:b/>
          <w:sz w:val="16"/>
        </w:rPr>
        <w:t>For the quarterly period ended June 30, 2024</w:t>
      </w:r>
      <w:r>
        <w:rPr>
          <w:rFonts w:ascii="Arial;Helvetica;sans-serif" w:hAnsi="Arial;Helvetica;sans-serif"/>
          <w:sz w:val="20"/>
        </w:rPr>
        <w:t xml:space="preserve"> </w:t>
      </w:r>
    </w:p>
    <w:p>
      <w:pPr>
        <w:pStyle w:val="TextBody"/>
        <w:bidi w:val="0"/>
        <w:spacing w:before="0" w:after="60"/>
        <w:ind w:left="0" w:right="0" w:hanging="0"/>
        <w:jc w:val="center"/>
        <w:rPr>
          <w:rFonts w:ascii="Arial;Helvetica;sans-serif" w:hAnsi="Arial;Helvetica;sans-serif"/>
          <w:b/>
          <w:sz w:val="16"/>
        </w:rPr>
      </w:pPr>
      <w:r>
        <w:rPr>
          <w:rFonts w:ascii="Arial;Helvetica;sans-serif" w:hAnsi="Arial;Helvetica;sans-serif"/>
          <w:b/>
          <w:sz w:val="16"/>
        </w:rPr>
        <w:t>or</w:t>
      </w:r>
    </w:p>
    <w:tbl>
      <w:tblPr>
        <w:tblW w:w="9786" w:type="dxa"/>
        <w:jc w:val="left"/>
        <w:tblInd w:w="0" w:type="dxa"/>
        <w:tblLayout w:type="fixed"/>
        <w:tblCellMar>
          <w:top w:w="0" w:type="dxa"/>
          <w:left w:w="0" w:type="dxa"/>
          <w:bottom w:w="0" w:type="dxa"/>
          <w:right w:w="0" w:type="dxa"/>
        </w:tblCellMar>
      </w:tblPr>
      <w:tblGrid>
        <w:gridCol w:w="124"/>
        <w:gridCol w:w="31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346" w:type="dxa"/>
            <w:tcBorders/>
            <w:vAlign w:val="center"/>
          </w:tcPr>
          <w:p>
            <w:pPr>
              <w:pStyle w:val="TableContents"/>
              <w:bidi w:val="0"/>
              <w:spacing w:before="0" w:after="0"/>
              <w:jc w:val="left"/>
              <w:rPr>
                <w:rFonts w:ascii="Arial;Helvetica;sans-serif" w:hAnsi="Arial;Helvetica;sans-serif"/>
                <w:b/>
                <w:sz w:val="18"/>
              </w:rPr>
            </w:pPr>
            <w:r>
              <w:rPr>
                <w:rFonts w:ascii="Arial;Helvetica;sans-serif" w:hAnsi="Arial;Helvetica;sans-serif"/>
                <w:b/>
                <w:sz w:val="18"/>
              </w:rPr>
              <w:t>TRANSITION REPORT PURSUANT TO SECTION 13 OR 15(d) OF THE SECURITIES EXCHANGE ACT OF 1934</w:t>
            </w:r>
          </w:p>
        </w:tc>
      </w:tr>
    </w:tbl>
    <w:p>
      <w:pPr>
        <w:pStyle w:val="TextBody"/>
        <w:bidi w:val="0"/>
        <w:spacing w:before="0" w:after="120"/>
        <w:ind w:left="0" w:right="0" w:hanging="0"/>
        <w:jc w:val="center"/>
        <w:rPr>
          <w:rFonts w:ascii="Arial;Helvetica;sans-serif" w:hAnsi="Arial;Helvetica;sans-serif"/>
          <w:sz w:val="16"/>
        </w:rPr>
      </w:pPr>
      <w:r>
        <w:rPr>
          <w:rFonts w:ascii="Arial;Helvetica;sans-serif" w:hAnsi="Arial;Helvetica;sans-serif"/>
          <w:b/>
          <w:sz w:val="16"/>
        </w:rPr>
        <w:t xml:space="preserve">For the transition period from </w:t>
      </w:r>
      <w:r>
        <w:rPr>
          <w:rFonts w:ascii="Arial;Helvetica;sans-serif" w:hAnsi="Arial;Helvetica;sans-serif"/>
          <w:sz w:val="16"/>
        </w:rPr>
        <w:t xml:space="preserve">                     </w:t>
      </w:r>
      <w:r>
        <w:rPr>
          <w:rFonts w:ascii="Arial;Helvetica;sans-serif" w:hAnsi="Arial;Helvetica;sans-serif"/>
          <w:b/>
          <w:sz w:val="16"/>
        </w:rPr>
        <w:t xml:space="preserve">to </w:t>
      </w:r>
      <w:r>
        <w:rPr>
          <w:rFonts w:ascii="Arial;Helvetica;sans-serif" w:hAnsi="Arial;Helvetica;sans-serif"/>
          <w:sz w:val="16"/>
        </w:rPr>
        <w:t>                    </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Commission File Number: 001-40545</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CVRx, Inc.</w:t>
      </w:r>
    </w:p>
    <w:p>
      <w:pPr>
        <w:pStyle w:val="TextBody"/>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IEYpJZQxDk2bg1aZ-x6fDA_2_1"/>
      <w:bookmarkStart w:id="4" w:name="Tc_26n-P3j1XkOwL57lrFmC6Q_2_0"/>
      <w:bookmarkStart w:id="5" w:name="_819b9bde_8cd4_4de4_9076_e2d9865fa0d4"/>
      <w:bookmarkStart w:id="6" w:name="Tc_IEYpJZQxDk2bg1aZ-x6fDA_2_1"/>
      <w:bookmarkStart w:id="7" w:name="Tc_26n-P3j1XkOwL57lrFmC6Q_2_0"/>
      <w:bookmarkStart w:id="8" w:name="_819b9bde_8cd4_4de4_9076_e2d9865fa0d4"/>
      <w:bookmarkEnd w:id="6"/>
      <w:bookmarkEnd w:id="7"/>
      <w:bookmarkEnd w:id="8"/>
    </w:p>
    <w:tbl>
      <w:tblPr>
        <w:tblW w:w="4097" w:type="dxa"/>
        <w:jc w:val="left"/>
        <w:tblInd w:w="0" w:type="dxa"/>
        <w:tblLayout w:type="fixed"/>
        <w:tblCellMar>
          <w:top w:w="0" w:type="dxa"/>
          <w:left w:w="0" w:type="dxa"/>
          <w:bottom w:w="0" w:type="dxa"/>
          <w:right w:w="0" w:type="dxa"/>
        </w:tblCellMar>
      </w:tblPr>
      <w:tblGrid>
        <w:gridCol w:w="2521"/>
        <w:gridCol w:w="1576"/>
      </w:tblGrid>
      <w:tr>
        <w:trPr/>
        <w:tc>
          <w:tcPr>
            <w:tcW w:w="2521" w:type="dxa"/>
            <w:tcBorders/>
            <w:vAlign w:val="center"/>
          </w:tcPr>
          <w:p>
            <w:pPr>
              <w:pStyle w:val="TableContents"/>
              <w:bidi w:val="0"/>
              <w:spacing w:before="0" w:after="240"/>
              <w:ind w:left="0" w:right="0" w:hanging="0"/>
              <w:jc w:val="left"/>
              <w:rPr/>
            </w:pPr>
            <w:r>
              <w:rPr/>
              <w:t>​</w:t>
            </w:r>
          </w:p>
        </w:tc>
        <w:tc>
          <w:tcPr>
            <w:tcW w:w="1576" w:type="dxa"/>
            <w:tcBorders/>
            <w:vAlign w:val="center"/>
          </w:tcPr>
          <w:p>
            <w:pPr>
              <w:pStyle w:val="TableContents"/>
              <w:bidi w:val="0"/>
              <w:spacing w:before="0" w:after="240"/>
              <w:ind w:left="0" w:right="0" w:hanging="0"/>
              <w:jc w:val="left"/>
              <w:rPr/>
            </w:pPr>
            <w:r>
              <w:rPr/>
              <w:t>​</w:t>
            </w:r>
          </w:p>
        </w:tc>
      </w:tr>
      <w:tr>
        <w:trPr/>
        <w:tc>
          <w:tcPr>
            <w:tcW w:w="252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Delaware</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41-1983744</w:t>
            </w:r>
          </w:p>
        </w:tc>
      </w:tr>
      <w:tr>
        <w:trPr/>
        <w:tc>
          <w:tcPr>
            <w:tcW w:w="25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(State or other jurisdiction of</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incorporation or organization)</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(I.R.S. Employer</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Identification No.)</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9201 West Broadway Avenue</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Suite 650</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18"/>
        </w:rPr>
        <w:t>Minneapolis, MN</w:t>
      </w:r>
      <w:r>
        <w:rPr>
          <w:rFonts w:ascii="Arial;Helvetica;sans-serif" w:hAnsi="Arial;Helvetica;sans-serif"/>
          <w:sz w:val="20"/>
        </w:rPr>
        <w:t xml:space="preserve"> </w:t>
      </w:r>
      <w:r>
        <w:rPr>
          <w:rFonts w:ascii="Arial;Helvetica;sans-serif" w:hAnsi="Arial;Helvetica;sans-serif"/>
          <w:b/>
          <w:sz w:val="18"/>
        </w:rPr>
        <w:t>55445</w:t>
      </w:r>
      <w:r>
        <w:rPr>
          <w:rFonts w:ascii="Arial;Helvetica;sans-serif" w:hAnsi="Arial;Helvetica;sans-serif"/>
          <w:sz w:val="20"/>
        </w:rPr>
        <w:t xml:space="preserve"> </w:t>
      </w:r>
    </w:p>
    <w:p>
      <w:pPr>
        <w:pStyle w:val="TextBody"/>
        <w:bidi w:val="0"/>
        <w:spacing w:before="0" w:after="120"/>
        <w:ind w:left="0" w:right="0" w:hanging="0"/>
        <w:jc w:val="center"/>
        <w:rPr>
          <w:rFonts w:ascii="Arial;Helvetica;sans-serif" w:hAnsi="Arial;Helvetica;sans-serif"/>
          <w:b/>
          <w:sz w:val="16"/>
        </w:rPr>
      </w:pPr>
      <w:r>
        <w:rPr>
          <w:rFonts w:ascii="Arial;Helvetica;sans-serif" w:hAnsi="Arial;Helvetica;sans-serif"/>
          <w:b/>
          <w:sz w:val="16"/>
        </w:rPr>
        <w:t>(Address of Principal Executive Offices)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(763) 416-2840</w:t>
      </w:r>
    </w:p>
    <w:p>
      <w:pPr>
        <w:pStyle w:val="TextBody"/>
        <w:bidi w:val="0"/>
        <w:spacing w:before="0" w:after="120"/>
        <w:ind w:left="0" w:right="0" w:hanging="0"/>
        <w:jc w:val="center"/>
        <w:rPr>
          <w:rFonts w:ascii="Arial;Helvetica;sans-serif" w:hAnsi="Arial;Helvetica;sans-serif"/>
          <w:b/>
          <w:sz w:val="16"/>
        </w:rPr>
      </w:pPr>
      <w:r>
        <w:rPr>
          <w:rFonts w:ascii="Arial;Helvetica;sans-serif" w:hAnsi="Arial;Helvetica;sans-serif"/>
          <w:b/>
          <w:sz w:val="16"/>
        </w:rPr>
        <w:t>(Registrant’s telephone number)</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Normal"/>
        <w:bidi w:val="0"/>
        <w:spacing w:before="0" w:after="0"/>
        <w:ind w:left="0" w:right="0" w:hanging="0"/>
        <w:jc w:val="left"/>
        <w:rPr>
          <w:sz w:val="4"/>
          <w:szCs w:val="4"/>
        </w:rPr>
      </w:pPr>
      <w:r>
        <w:rPr>
          <w:sz w:val="4"/>
          <w:szCs w:val="4"/>
        </w:rPr>
      </w:r>
      <w:bookmarkStart w:id="9" w:name="Tc_MbiipzIB2EedNry0RI9kHQ_2_0"/>
      <w:bookmarkStart w:id="10" w:name="Tc_trTTVyYnEUSpz0792F9_wg_1_4"/>
      <w:bookmarkStart w:id="11" w:name="Tc_IKo-Im82VEafI4MM9LQAEg_1_2"/>
      <w:bookmarkStart w:id="12" w:name="Tc_lbDe3WbfxkSdOOBwLkdS1g_1_0"/>
      <w:bookmarkStart w:id="13" w:name="_3cc5f012_3bc5_4340_8a8f_6338e861fa29"/>
      <w:bookmarkStart w:id="14" w:name="Tc_MbiipzIB2EedNry0RI9kHQ_2_0"/>
      <w:bookmarkStart w:id="15" w:name="Tc_trTTVyYnEUSpz0792F9_wg_1_4"/>
      <w:bookmarkStart w:id="16" w:name="Tc_IKo-Im82VEafI4MM9LQAEg_1_2"/>
      <w:bookmarkStart w:id="17" w:name="Tc_lbDe3WbfxkSdOOBwLkdS1g_1_0"/>
      <w:bookmarkStart w:id="18" w:name="_3cc5f012_3bc5_4340_8a8f_6338e861fa29"/>
      <w:bookmarkEnd w:id="14"/>
      <w:bookmarkEnd w:id="15"/>
      <w:bookmarkEnd w:id="16"/>
      <w:bookmarkEnd w:id="17"/>
      <w:bookmarkEnd w:id="18"/>
    </w:p>
    <w:tbl>
      <w:tblPr>
        <w:tblW w:w="7106" w:type="dxa"/>
        <w:jc w:val="left"/>
        <w:tblInd w:w="0" w:type="dxa"/>
        <w:tblLayout w:type="fixed"/>
        <w:tblCellMar>
          <w:top w:w="0" w:type="dxa"/>
          <w:left w:w="0" w:type="dxa"/>
          <w:bottom w:w="0" w:type="dxa"/>
          <w:right w:w="0" w:type="dxa"/>
        </w:tblCellMar>
      </w:tblPr>
      <w:tblGrid>
        <w:gridCol w:w="2296"/>
        <w:gridCol w:w="109"/>
        <w:gridCol w:w="1606"/>
        <w:gridCol w:w="109"/>
        <w:gridCol w:w="298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229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Title of each class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Trading Symbol(s)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Name of each exchange</w:t>
            </w:r>
          </w:p>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on which registered</w:t>
            </w:r>
          </w:p>
        </w:tc>
      </w:tr>
      <w:tr>
        <w:trPr/>
        <w:tc>
          <w:tcPr>
            <w:tcW w:w="229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Common stock,</w:t>
            </w:r>
          </w:p>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par value $0.01 per share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CVRX</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The Nasdaq Global Select Market</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    </w:t>
      </w:r>
      <w:r>
        <w:rPr>
          <w:rFonts w:ascii="Arial;Helvetica;sans-serif" w:hAnsi="Arial;Helvetica;sans-serif"/>
          <w:sz w:val="16"/>
        </w:rPr>
        <w:t>No  </w:t>
      </w:r>
      <w:r>
        <w:rPr>
          <w:rFonts w:ascii="Arial;Helvetica;sans-serif" w:hAnsi="Arial;Helvetica;sans-serif"/>
          <w:sz w:val="20"/>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200"/>
        <w:ind w:left="0" w:right="0" w:hanging="0"/>
        <w:jc w:val="left"/>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9" w:name="Tc_dmxTQ5rrdEaBEuXjKk_FZg_3_5"/>
      <w:bookmarkStart w:id="20" w:name="Tc_kgQgFpeIGEGpGsQLicmJww_3_4"/>
      <w:bookmarkStart w:id="21" w:name="Tc_LaWTAKoE9EK7qlfV5ktjbQ_3_2"/>
      <w:bookmarkStart w:id="22" w:name="Tc_loJH43Kn5U6JsTnaVpIVfQ_3_1"/>
      <w:bookmarkStart w:id="23" w:name="Tc_0-Cb4daQMEOg2I1Rn5vinA_1_3"/>
      <w:bookmarkStart w:id="24" w:name="Tc_u_7e3pJXnkK3IPtJyQ2XtA_1_2"/>
      <w:bookmarkStart w:id="25" w:name="Tc_vESnV80XJU65hgRTesZF-A_1_1"/>
      <w:bookmarkStart w:id="26" w:name="Tc_Q4xos-NJIU2sHFucCUtgDA_1_0"/>
      <w:bookmarkStart w:id="27" w:name="_23356ced_cb12_41e3_af93_822ee7640bf8"/>
      <w:bookmarkStart w:id="28" w:name="Tc_dmxTQ5rrdEaBEuXjKk_FZg_3_5"/>
      <w:bookmarkStart w:id="29" w:name="Tc_kgQgFpeIGEGpGsQLicmJww_3_4"/>
      <w:bookmarkStart w:id="30" w:name="Tc_LaWTAKoE9EK7qlfV5ktjbQ_3_2"/>
      <w:bookmarkStart w:id="31" w:name="Tc_loJH43Kn5U6JsTnaVpIVfQ_3_1"/>
      <w:bookmarkStart w:id="32" w:name="Tc_0-Cb4daQMEOg2I1Rn5vinA_1_3"/>
      <w:bookmarkStart w:id="33" w:name="Tc_u_7e3pJXnkK3IPtJyQ2XtA_1_2"/>
      <w:bookmarkStart w:id="34" w:name="Tc_vESnV80XJU65hgRTesZF-A_1_1"/>
      <w:bookmarkStart w:id="35" w:name="Tc_Q4xos-NJIU2sHFucCUtgDA_1_0"/>
      <w:bookmarkStart w:id="36" w:name="_23356ced_cb12_41e3_af93_822ee7640bf8"/>
      <w:bookmarkEnd w:id="28"/>
      <w:bookmarkEnd w:id="29"/>
      <w:bookmarkEnd w:id="30"/>
      <w:bookmarkEnd w:id="31"/>
      <w:bookmarkEnd w:id="32"/>
      <w:bookmarkEnd w:id="33"/>
      <w:bookmarkEnd w:id="34"/>
      <w:bookmarkEnd w:id="35"/>
      <w:bookmarkEnd w:id="36"/>
    </w:p>
    <w:tbl>
      <w:tblPr>
        <w:tblW w:w="7026" w:type="dxa"/>
        <w:jc w:val="left"/>
        <w:tblInd w:w="0" w:type="dxa"/>
        <w:tblLayout w:type="fixed"/>
        <w:tblCellMar>
          <w:top w:w="0" w:type="dxa"/>
          <w:left w:w="0" w:type="dxa"/>
          <w:bottom w:w="0" w:type="dxa"/>
          <w:right w:w="0" w:type="dxa"/>
        </w:tblCellMar>
      </w:tblPr>
      <w:tblGrid>
        <w:gridCol w:w="1741"/>
        <w:gridCol w:w="436"/>
        <w:gridCol w:w="2056"/>
        <w:gridCol w:w="316"/>
        <w:gridCol w:w="2056"/>
        <w:gridCol w:w="421"/>
      </w:tblGrid>
      <w:tr>
        <w:trPr/>
        <w:tc>
          <w:tcPr>
            <w:tcW w:w="174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421" w:type="dxa"/>
            <w:tcBorders/>
            <w:vAlign w:val="center"/>
          </w:tcPr>
          <w:p>
            <w:pPr>
              <w:pStyle w:val="TableContents"/>
              <w:bidi w:val="0"/>
              <w:spacing w:before="0" w:after="24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Large accelerated filer</w:t>
            </w:r>
          </w:p>
        </w:tc>
        <w:tc>
          <w:tcPr>
            <w:tcW w:w="43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421" w:type="dxa"/>
            <w:tcBorders/>
            <w:vAlign w:val="center"/>
          </w:tcPr>
          <w:p>
            <w:pPr>
              <w:pStyle w:val="TableContents"/>
              <w:bidi w:val="0"/>
              <w:spacing w:before="0" w:after="24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421" w:type="dxa"/>
            <w:tcBorders/>
            <w:vAlign w:val="center"/>
          </w:tcPr>
          <w:p>
            <w:pPr>
              <w:pStyle w:val="TableContents"/>
              <w:bidi w:val="0"/>
              <w:spacing w:before="0" w:after="24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Non-accelerated filer</w:t>
            </w:r>
          </w:p>
        </w:tc>
        <w:tc>
          <w:tcPr>
            <w:tcW w:w="43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Smaller reporting company</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Emerging growth company</w:t>
            </w:r>
          </w:p>
        </w:tc>
        <w:tc>
          <w:tcPr>
            <w:tcW w:w="421" w:type="dxa"/>
            <w:tcBorders/>
            <w:vAlign w:val="center"/>
          </w:tcPr>
          <w:p>
            <w:pPr>
              <w:pStyle w:val="TableContents"/>
              <w:bidi w:val="0"/>
              <w:spacing w:before="0" w:after="0"/>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is a shell company (as defined in Rule 12b-2 of the Exchange Act).   Yes  </w:t>
      </w:r>
      <w:r>
        <w:rPr>
          <w:rFonts w:ascii="Arial;Helvetica;sans-serif" w:hAnsi="Arial;Helvetica;sans-serif"/>
          <w:sz w:val="20"/>
        </w:rPr>
        <w:t>☐    </w:t>
      </w:r>
      <w:r>
        <w:rPr>
          <w:rFonts w:ascii="Arial;Helvetica;sans-serif" w:hAnsi="Arial;Helvetica;sans-serif"/>
          <w:sz w:val="16"/>
        </w:rPr>
        <w:t>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As of July 26, 2024, there were 21,785,714 shares of the registrant’s common stock, par value $0.01 per share outstanding.</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24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7" w:name="TOC"/>
      <w:bookmarkStart w:id="38" w:name="_60d37cd6_e4c4_4bb9_8f61_75fd3169fcfe"/>
      <w:bookmarkEnd w:id="37"/>
      <w:bookmarkEnd w:id="38"/>
      <w:r>
        <w:rPr>
          <w:rFonts w:ascii="Arial;Helvetica;sans-serif" w:hAnsi="Arial;Helvetica;san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71"/>
        <w:gridCol w:w="326"/>
        <w:gridCol w:w="7995"/>
        <w:gridCol w:w="326"/>
        <w:gridCol w:w="496"/>
        <w:gridCol w:w="191"/>
      </w:tblGrid>
      <w:tr>
        <w:trPr/>
        <w:tc>
          <w:tcPr>
            <w:tcW w:w="87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6225" cy="175260"/>
                      <wp:effectExtent l="0" t="0" r="0" b="0"/>
                      <wp:wrapNone/>
                      <wp:docPr id="1" name="Frame1"/>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03505" cy="175260"/>
                      <wp:effectExtent l="0" t="0" r="0" b="0"/>
                      <wp:wrapNone/>
                      <wp:docPr id="2" name="Frame2"/>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799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538095" cy="175260"/>
                      <wp:effectExtent l="0" t="0" r="0" b="0"/>
                      <wp:wrapNone/>
                      <wp:docPr id="3" name="Frame3"/>
                      <a:graphic xmlns:a="http://schemas.openxmlformats.org/drawingml/2006/main">
                        <a:graphicData uri="http://schemas.microsoft.com/office/word/2010/wordprocessingShape">
                          <wps:wsp>
                            <wps:cNvSpPr txBox="1"/>
                            <wps:spPr>
                              <a:xfrm>
                                <a:off x="0" y="0"/>
                                <a:ext cx="253809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3505" cy="175260"/>
                      <wp:effectExtent l="0" t="0" r="0" b="0"/>
                      <wp:wrapNone/>
                      <wp:docPr id="4" name="Frame4"/>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57480" cy="175260"/>
                      <wp:effectExtent l="0" t="0" r="0" b="0"/>
                      <wp:wrapNone/>
                      <wp:docPr id="5" name="Frame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9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0325" cy="175260"/>
                      <wp:effectExtent l="0" t="0" r="0" b="0"/>
                      <wp:wrapNone/>
                      <wp:docPr id="6" name="Frame6"/>
                      <a:graphic xmlns:a="http://schemas.openxmlformats.org/drawingml/2006/main">
                        <a:graphicData uri="http://schemas.microsoft.com/office/word/2010/wordprocessingShape">
                          <wps:wsp>
                            <wps:cNvSpPr txBox="1"/>
                            <wps:spPr>
                              <a:xfrm>
                                <a:off x="0" y="0"/>
                                <a:ext cx="603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71" w:type="dxa"/>
            <w:tcBorders/>
            <w:vAlign w:val="center"/>
          </w:tcPr>
          <w:p>
            <w:pPr>
              <w:pStyle w:val="TableHeading"/>
              <w:bidi w:val="0"/>
              <w:spacing w:before="0" w:after="0"/>
              <w:ind w:left="0" w:right="0" w:hanging="0"/>
              <w:jc w:val="left"/>
              <w:rPr>
                <w:rFonts w:ascii="Arial;Helvetica;sans-serif" w:hAnsi="Arial;Helvetica;sans-serif"/>
                <w:b w:val="false"/>
                <w:sz w:val="2"/>
              </w:rPr>
            </w:pPr>
            <w:r>
              <w:rPr>
                <w:rFonts w:ascii="Arial;Helvetica;sans-serif" w:hAnsi="Arial;Helvetica;sans-serif"/>
                <w:b w:val="false"/>
                <w:sz w:val="2"/>
              </w:rPr>
              <w:t>`</w:t>
            </w:r>
          </w:p>
        </w:tc>
        <w:tc>
          <w:tcPr>
            <w:tcW w:w="326" w:type="dxa"/>
            <w:tcBorders/>
            <w:vAlign w:val="center"/>
          </w:tcPr>
          <w:p>
            <w:pPr>
              <w:pStyle w:val="TableHeading"/>
              <w:bidi w:val="0"/>
              <w:spacing w:before="0" w:after="0"/>
              <w:ind w:left="0" w:right="0" w:hanging="0"/>
              <w:jc w:val="left"/>
              <w:rPr/>
            </w:pPr>
            <w:r>
              <w:rPr/>
              <w:t>    </w:t>
            </w:r>
          </w:p>
        </w:tc>
        <w:tc>
          <w:tcPr>
            <w:tcW w:w="7995"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    </w:t>
            </w:r>
          </w:p>
        </w:tc>
        <w:tc>
          <w:tcPr>
            <w:tcW w:w="496" w:type="dxa"/>
            <w:tcBorders/>
            <w:vAlign w:val="center"/>
          </w:tcPr>
          <w:p>
            <w:pPr>
              <w:pStyle w:val="TableHeading"/>
              <w:bidi w:val="0"/>
              <w:spacing w:before="0" w:after="0"/>
              <w:ind w:left="0" w:right="0" w:hanging="0"/>
              <w:jc w:val="left"/>
              <w:rPr/>
            </w:pPr>
            <w:r>
              <w:rPr/>
              <w:t>    </w:t>
            </w:r>
          </w:p>
        </w:tc>
        <w:tc>
          <w:tcPr>
            <w:tcW w:w="191" w:type="dxa"/>
            <w:tcBorders/>
            <w:vAlign w:val="center"/>
          </w:tcPr>
          <w:p>
            <w:pPr>
              <w:pStyle w:val="TableHeading"/>
              <w:bidi w:val="0"/>
              <w:spacing w:before="0" w:after="0"/>
              <w:ind w:left="0" w:right="0" w:hanging="0"/>
              <w:jc w:val="left"/>
              <w:rPr/>
            </w:pPr>
            <w:r>
              <w:rPr/>
              <w:t> </w:t>
            </w:r>
          </w:p>
        </w:tc>
      </w:tr>
      <w:tr>
        <w:trPr/>
        <w:tc>
          <w:tcPr>
            <w:tcW w:w="871" w:type="dxa"/>
            <w:tcBorders/>
            <w:vAlign w:val="center"/>
          </w:tcPr>
          <w:p>
            <w:pPr>
              <w:pStyle w:val="TableHeading"/>
              <w:pBdr/>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    </w:t>
            </w:r>
          </w:p>
        </w:tc>
        <w:tc>
          <w:tcPr>
            <w:tcW w:w="7995"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    </w:t>
            </w:r>
          </w:p>
        </w:tc>
        <w:tc>
          <w:tcPr>
            <w:tcW w:w="496" w:type="dxa"/>
            <w:tcBorders>
              <w:bottom w:val="single" w:sz="8"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Page</w:t>
            </w:r>
          </w:p>
        </w:tc>
        <w:tc>
          <w:tcPr>
            <w:tcW w:w="191" w:type="dxa"/>
            <w:tcBorders>
              <w:bottom w:val="single" w:sz="8" w:space="0" w:color="000000"/>
            </w:tcBorders>
            <w:tcMar>
              <w:bottom w:w="28" w:type="dxa"/>
            </w:tcMar>
            <w:vAlign w:val="center"/>
          </w:tcPr>
          <w:p>
            <w:pPr>
              <w:pStyle w:val="TableHeading"/>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PARTIFINANCIALINFORMATION_851848">
              <w:r>
                <w:rPr>
                  <w:rStyle w:val="InternetLink"/>
                  <w:rFonts w:ascii="Arial;Helvetica;sans-serif" w:hAnsi="Arial;Helvetica;sans-serif"/>
                  <w:b/>
                  <w:i w:val="false"/>
                  <w:caps w:val="false"/>
                  <w:smallCaps w:val="false"/>
                  <w:sz w:val="20"/>
                </w:rPr>
                <w:t>Part</w:t>
              </w:r>
            </w:hyperlink>
            <w:hyperlink w:anchor="PARTIFINANCIALINFORMATION_851848">
              <w:r>
                <w:rPr>
                  <w:rStyle w:val="InternetLink"/>
                  <w:rFonts w:ascii="Arial;Helvetica;sans-serif" w:hAnsi="Arial;Helvetica;sans-serif"/>
                  <w:caps w:val="false"/>
                  <w:smallCaps w:val="false"/>
                  <w:sz w:val="20"/>
                </w:rPr>
                <w:t> </w:t>
              </w:r>
            </w:hyperlink>
            <w:hyperlink w:anchor="PARTIFINANCIALINFORMATION_851848">
              <w:r>
                <w:rPr>
                  <w:rStyle w:val="InternetLink"/>
                  <w:rFonts w:ascii="Arial;Helvetica;sans-serif" w:hAnsi="Arial;Helvetica;sans-serif"/>
                  <w:b/>
                  <w:i w:val="false"/>
                  <w:caps w:val="false"/>
                  <w:smallCaps w:val="false"/>
                  <w:sz w:val="20"/>
                </w:rPr>
                <w:t>I</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PARTIFINANCIALINFORMATION_851848">
              <w:r>
                <w:rPr>
                  <w:rStyle w:val="InternetLink"/>
                  <w:rFonts w:ascii="Arial;Helvetica;sans-serif" w:hAnsi="Arial;Helvetica;sans-serif"/>
                  <w:b/>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1FinancialStatements_407004">
              <w:r>
                <w:rPr>
                  <w:rStyle w:val="InternetLink"/>
                  <w:rFonts w:ascii="Arial;Helvetica;sans-serif" w:hAnsi="Arial;Helvetica;sans-serif"/>
                  <w:b w:val="false"/>
                  <w:i w:val="false"/>
                  <w:caps w:val="false"/>
                  <w:smallCaps w:val="false"/>
                  <w:sz w:val="20"/>
                </w:rPr>
                <w:t>Item</w:t>
              </w:r>
            </w:hyperlink>
            <w:hyperlink w:anchor="Item1FinancialStatements_407004">
              <w:r>
                <w:rPr>
                  <w:rStyle w:val="InternetLink"/>
                  <w:rFonts w:ascii="Arial;Helvetica;sans-serif" w:hAnsi="Arial;Helvetica;sans-serif"/>
                  <w:caps w:val="false"/>
                  <w:smallCaps w:val="false"/>
                  <w:sz w:val="20"/>
                </w:rPr>
                <w:t> </w:t>
              </w:r>
            </w:hyperlink>
            <w:hyperlink w:anchor="Item1FinancialStatements_407004">
              <w:r>
                <w:rPr>
                  <w:rStyle w:val="InternetLink"/>
                  <w:rFonts w:ascii="Arial;Helvetica;sans-serif" w:hAnsi="Arial;Helvetica;sans-serif"/>
                  <w:b w:val="false"/>
                  <w:i w:val="false"/>
                  <w:caps w:val="false"/>
                  <w:smallCaps w:val="false"/>
                  <w:sz w:val="20"/>
                </w:rPr>
                <w:t>1.</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1FinancialStatements_407004">
              <w:r>
                <w:rPr>
                  <w:rStyle w:val="InternetLink"/>
                  <w:rFonts w:ascii="Arial;Helvetica;sans-serif" w:hAnsi="Arial;Helvetica;sans-serif"/>
                  <w:b w:val="false"/>
                  <w:i w:val="false"/>
                  <w:caps w:val="false"/>
                  <w:smallCaps w:val="false"/>
                  <w:sz w:val="20"/>
                </w:rPr>
                <w:t>Financial Statements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BalanceSheets_40430">
              <w:r>
                <w:rPr>
                  <w:rStyle w:val="InternetLink"/>
                  <w:rFonts w:ascii="Arial;Helvetica;sans-serif" w:hAnsi="Arial;Helvetica;sans-serif"/>
                  <w:b w:val="false"/>
                  <w:i w:val="false"/>
                  <w:caps w:val="false"/>
                  <w:smallCaps w:val="false"/>
                  <w:sz w:val="20"/>
                </w:rPr>
                <w:t>Condensed Consolidated Balance Sheets as of June 30, 2024 and December 31, 2023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Statements of Operations and Comprehensive Loss for the three and six months ended June 30, 2024 and 2023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StatementsofConvert">
              <w:r>
                <w:rPr>
                  <w:rStyle w:val="InternetLink"/>
                  <w:rFonts w:ascii="Arial;Helvetica;sans-serif" w:hAnsi="Arial;Helvetica;sans-serif"/>
                  <w:b w:val="false"/>
                  <w:i w:val="false"/>
                  <w:caps w:val="false"/>
                  <w:smallCaps w:val="false"/>
                  <w:sz w:val="20"/>
                </w:rPr>
                <w:t>Condensed Consolidated Statements of Stockholders</w:t>
              </w:r>
            </w:hyperlink>
            <w:hyperlink w:anchor="CondensedConsolidatedStatementsofConvert">
              <w:r>
                <w:rPr>
                  <w:rStyle w:val="InternetLink"/>
                  <w:rFonts w:ascii="Arial;Helvetica;sans-serif" w:hAnsi="Arial;Helvetica;sans-serif"/>
                  <w:caps w:val="false"/>
                  <w:smallCaps w:val="false"/>
                  <w:sz w:val="20"/>
                </w:rPr>
                <w:t xml:space="preserve">’ </w:t>
              </w:r>
            </w:hyperlink>
            <w:hyperlink w:anchor="CondensedConsolidatedStatementsofConvert">
              <w:r>
                <w:rPr>
                  <w:rStyle w:val="InternetLink"/>
                  <w:rFonts w:ascii="Arial;Helvetica;sans-serif" w:hAnsi="Arial;Helvetica;sans-serif"/>
                  <w:b w:val="false"/>
                  <w:i w:val="false"/>
                  <w:caps w:val="false"/>
                  <w:smallCaps w:val="false"/>
                  <w:sz w:val="20"/>
                </w:rPr>
                <w:t>Equity for the three and six months ended June 30, 2024 and 2023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Arial;Helvetica;sans-serif" w:hAnsi="Arial;Helvetica;sans-serif"/>
                  <w:b w:val="false"/>
                  <w:i w:val="false"/>
                  <w:caps w:val="false"/>
                  <w:smallCaps w:val="false"/>
                  <w:sz w:val="20"/>
                </w:rPr>
                <w:t>Condensed Consolidated Statements of Cash Flows for the six months ended June 30, 2024 and 2023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NotestoCondensedConsolidatedFinancialSta">
              <w:r>
                <w:rPr>
                  <w:rStyle w:val="InternetLink"/>
                  <w:rFonts w:ascii="Arial;Helvetica;sans-serif" w:hAnsi="Arial;Helvetica;sans-serif"/>
                  <w:b w:val="false"/>
                  <w:i w:val="false"/>
                  <w:caps w:val="false"/>
                  <w:smallCaps w:val="false"/>
                  <w:sz w:val="20"/>
                </w:rPr>
                <w:t>Notes</w:t>
              </w:r>
            </w:hyperlink>
            <w:hyperlink w:anchor="NotestoCondensedConsolidatedFinancialSta">
              <w:r>
                <w:rPr>
                  <w:rStyle w:val="InternetLink"/>
                  <w:rFonts w:ascii="Arial;Helvetica;sans-serif" w:hAnsi="Arial;Helvetica;sans-serif"/>
                  <w:caps w:val="false"/>
                  <w:smallCaps w:val="false"/>
                  <w:sz w:val="20"/>
                </w:rPr>
                <w:t> </w:t>
              </w:r>
            </w:hyperlink>
            <w:hyperlink w:anchor="NotestoCondensedConsolidatedFinancialSta">
              <w:r>
                <w:rPr>
                  <w:rStyle w:val="InternetLink"/>
                  <w:rFonts w:ascii="Arial;Helvetica;sans-serif" w:hAnsi="Arial;Helvetica;sans-serif"/>
                  <w:b w:val="false"/>
                  <w:i w:val="false"/>
                  <w:caps w:val="false"/>
                  <w:smallCaps w:val="false"/>
                  <w:sz w:val="20"/>
                </w:rPr>
                <w:t>to Condensed Consolidated Financial Statements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w:t>
              </w:r>
            </w:hyperlink>
            <w:hyperlink w:anchor="Item2ManagementsDiscussionandAnalysisofF">
              <w:r>
                <w:rPr>
                  <w:rStyle w:val="InternetLink"/>
                  <w:rFonts w:ascii="Arial;Helvetica;sans-serif" w:hAnsi="Arial;Helvetica;sans-serif"/>
                  <w:caps w:val="false"/>
                  <w:smallCaps w:val="false"/>
                  <w:sz w:val="20"/>
                </w:rPr>
                <w:t> </w:t>
              </w:r>
            </w:hyperlink>
            <w:hyperlink w:anchor="Item2ManagementsDiscussionandAnalysisofF">
              <w:r>
                <w:rPr>
                  <w:rStyle w:val="InternetLink"/>
                  <w:rFonts w:ascii="Arial;Helvetica;sans-serif" w:hAnsi="Arial;Helvetica;sans-serif"/>
                  <w:b w:val="false"/>
                  <w:i w:val="false"/>
                  <w:caps w:val="false"/>
                  <w:smallCaps w:val="false"/>
                  <w:sz w:val="20"/>
                </w:rPr>
                <w:t>2.</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Management</w:t>
              </w:r>
            </w:hyperlink>
            <w:hyperlink w:anchor="Item2ManagementsDiscussionandAnalysisofF">
              <w:r>
                <w:rPr>
                  <w:rStyle w:val="InternetLink"/>
                  <w:rFonts w:ascii="Arial;Helvetica;sans-serif" w:hAnsi="Arial;Helvetica;sans-serif"/>
                  <w:caps w:val="false"/>
                  <w:smallCaps w:val="false"/>
                  <w:sz w:val="20"/>
                </w:rPr>
                <w:t>’</w:t>
              </w:r>
            </w:hyperlink>
            <w:hyperlink w:anchor="Item2ManagementsDiscussionandAnalysisofF">
              <w:r>
                <w:rPr>
                  <w:rStyle w:val="InternetLink"/>
                  <w:rFonts w:ascii="Arial;Helvetica;sans-serif" w:hAnsi="Arial;Helvetica;sans-serif"/>
                  <w:b w:val="false"/>
                  <w:i w:val="false"/>
                  <w:caps w:val="false"/>
                  <w:smallCaps w:val="false"/>
                  <w:sz w:val="20"/>
                </w:rPr>
                <w: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w:t>
              </w:r>
            </w:hyperlink>
            <w:hyperlink w:anchor="Item3QuantitativeandQualitativeDisclosur">
              <w:r>
                <w:rPr>
                  <w:rStyle w:val="InternetLink"/>
                  <w:rFonts w:ascii="Arial;Helvetica;sans-serif" w:hAnsi="Arial;Helvetica;sans-serif"/>
                  <w:caps w:val="false"/>
                  <w:smallCaps w:val="false"/>
                  <w:sz w:val="20"/>
                </w:rPr>
                <w:t> </w:t>
              </w:r>
            </w:hyperlink>
            <w:hyperlink w:anchor="Item3QuantitativeandQualitativeDisclosur">
              <w:r>
                <w:rPr>
                  <w:rStyle w:val="InternetLink"/>
                  <w:rFonts w:ascii="Arial;Helvetica;sans-serif" w:hAnsi="Arial;Helvetica;sans-serif"/>
                  <w:b w:val="false"/>
                  <w:i w:val="false"/>
                  <w:caps w:val="false"/>
                  <w:smallCaps w:val="false"/>
                  <w:sz w:val="20"/>
                </w:rPr>
                <w:t>3.</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4ControlsandProcedures_977453">
              <w:r>
                <w:rPr>
                  <w:rStyle w:val="InternetLink"/>
                  <w:rFonts w:ascii="Arial;Helvetica;sans-serif" w:hAnsi="Arial;Helvetica;sans-serif"/>
                  <w:b w:val="false"/>
                  <w:i w:val="false"/>
                  <w:caps w:val="false"/>
                  <w:smallCaps w:val="false"/>
                  <w:sz w:val="20"/>
                </w:rPr>
                <w:t>Item</w:t>
              </w:r>
            </w:hyperlink>
            <w:hyperlink w:anchor="Item4ControlsandProcedures_977453">
              <w:r>
                <w:rPr>
                  <w:rStyle w:val="InternetLink"/>
                  <w:rFonts w:ascii="Arial;Helvetica;sans-serif" w:hAnsi="Arial;Helvetica;sans-serif"/>
                  <w:caps w:val="false"/>
                  <w:smallCaps w:val="false"/>
                  <w:sz w:val="20"/>
                </w:rPr>
                <w:t> </w:t>
              </w:r>
            </w:hyperlink>
            <w:hyperlink w:anchor="Item4ControlsandProcedures_977453">
              <w:r>
                <w:rPr>
                  <w:rStyle w:val="InternetLink"/>
                  <w:rFonts w:ascii="Arial;Helvetica;sans-serif" w:hAnsi="Arial;Helvetica;sans-serif"/>
                  <w:b w:val="false"/>
                  <w:i w:val="false"/>
                  <w:caps w:val="false"/>
                  <w:smallCaps w:val="false"/>
                  <w:sz w:val="20"/>
                </w:rPr>
                <w:t>4.</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4ControlsandProcedures_977453">
              <w:r>
                <w:rPr>
                  <w:rStyle w:val="InternetLink"/>
                  <w:rFonts w:ascii="Arial;Helvetica;sans-serif" w:hAnsi="Arial;Helvetica;san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PARTIIOTHERINFORMATION">
              <w:r>
                <w:rPr>
                  <w:rStyle w:val="InternetLink"/>
                  <w:rFonts w:ascii="Arial;Helvetica;sans-serif" w:hAnsi="Arial;Helvetica;sans-serif"/>
                  <w:b/>
                  <w:i w:val="false"/>
                  <w:caps w:val="false"/>
                  <w:smallCaps w:val="false"/>
                  <w:sz w:val="20"/>
                </w:rPr>
                <w:t>Part</w:t>
              </w:r>
            </w:hyperlink>
            <w:hyperlink w:anchor="PARTIIOTHERINFORMATION">
              <w:r>
                <w:rPr>
                  <w:rStyle w:val="InternetLink"/>
                  <w:rFonts w:ascii="Arial;Helvetica;sans-serif" w:hAnsi="Arial;Helvetica;sans-serif"/>
                  <w:caps w:val="false"/>
                  <w:smallCaps w:val="false"/>
                  <w:sz w:val="20"/>
                </w:rPr>
                <w:t> </w:t>
              </w:r>
            </w:hyperlink>
            <w:hyperlink w:anchor="PARTIIOTHERINFORMATION">
              <w:r>
                <w:rPr>
                  <w:rStyle w:val="InternetLink"/>
                  <w:rFonts w:ascii="Arial;Helvetica;sans-serif" w:hAnsi="Arial;Helvetica;sans-serif"/>
                  <w:b/>
                  <w:i w:val="false"/>
                  <w:caps w:val="false"/>
                  <w:smallCaps w:val="false"/>
                  <w:sz w:val="20"/>
                </w:rPr>
                <w:t>II</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PARTIIOTHERINFORMATION">
              <w:r>
                <w:rPr>
                  <w:rStyle w:val="InternetLink"/>
                  <w:rFonts w:ascii="Arial;Helvetica;sans-serif" w:hAnsi="Arial;Helvetica;sans-serif"/>
                  <w:b/>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1LegalProceedings_54821">
              <w:r>
                <w:rPr>
                  <w:rStyle w:val="InternetLink"/>
                  <w:rFonts w:ascii="Arial;Helvetica;sans-serif" w:hAnsi="Arial;Helvetica;sans-serif"/>
                  <w:b w:val="false"/>
                  <w:i w:val="false"/>
                  <w:caps w:val="false"/>
                  <w:smallCaps w:val="false"/>
                  <w:sz w:val="20"/>
                </w:rPr>
                <w:t>Item</w:t>
              </w:r>
            </w:hyperlink>
            <w:hyperlink w:anchor="Item1LegalProceedings_54821">
              <w:r>
                <w:rPr>
                  <w:rStyle w:val="InternetLink"/>
                  <w:rFonts w:ascii="Arial;Helvetica;sans-serif" w:hAnsi="Arial;Helvetica;sans-serif"/>
                  <w:caps w:val="false"/>
                  <w:smallCaps w:val="false"/>
                  <w:sz w:val="20"/>
                </w:rPr>
                <w:t> </w:t>
              </w:r>
            </w:hyperlink>
            <w:hyperlink w:anchor="Item1LegalProceedings_54821">
              <w:r>
                <w:rPr>
                  <w:rStyle w:val="InternetLink"/>
                  <w:rFonts w:ascii="Arial;Helvetica;sans-serif" w:hAnsi="Arial;Helvetica;sans-serif"/>
                  <w:b w:val="false"/>
                  <w:i w:val="false"/>
                  <w:caps w:val="false"/>
                  <w:smallCaps w:val="false"/>
                  <w:sz w:val="20"/>
                </w:rPr>
                <w:t>1.</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1LegalProceedings_54821">
              <w:r>
                <w:rPr>
                  <w:rStyle w:val="InternetLink"/>
                  <w:rFonts w:ascii="Arial;Helvetica;sans-serif" w:hAnsi="Arial;Helvetica;san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1ARiskFactors_131460">
              <w:r>
                <w:rPr>
                  <w:rStyle w:val="InternetLink"/>
                  <w:rFonts w:ascii="Arial;Helvetica;sans-serif" w:hAnsi="Arial;Helvetica;sans-serif"/>
                  <w:b w:val="false"/>
                  <w:i w:val="false"/>
                  <w:caps w:val="false"/>
                  <w:smallCaps w:val="false"/>
                  <w:sz w:val="20"/>
                </w:rPr>
                <w:t>Item</w:t>
              </w:r>
            </w:hyperlink>
            <w:hyperlink w:anchor="Item1ARiskFactors_131460">
              <w:r>
                <w:rPr>
                  <w:rStyle w:val="InternetLink"/>
                  <w:rFonts w:ascii="Arial;Helvetica;sans-serif" w:hAnsi="Arial;Helvetica;sans-serif"/>
                  <w:caps w:val="false"/>
                  <w:smallCaps w:val="false"/>
                  <w:sz w:val="20"/>
                </w:rPr>
                <w:t> </w:t>
              </w:r>
            </w:hyperlink>
            <w:hyperlink w:anchor="Item1ARiskFactors_131460">
              <w:r>
                <w:rPr>
                  <w:rStyle w:val="InternetLink"/>
                  <w:rFonts w:ascii="Arial;Helvetica;sans-serif" w:hAnsi="Arial;Helvetica;sans-serif"/>
                  <w:b w:val="false"/>
                  <w:i w:val="false"/>
                  <w:caps w:val="false"/>
                  <w:smallCaps w:val="false"/>
                  <w:sz w:val="20"/>
                </w:rPr>
                <w:t>1A.</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1ARiskFactors_131460">
              <w:r>
                <w:rPr>
                  <w:rStyle w:val="InternetLink"/>
                  <w:rFonts w:ascii="Arial;Helvetica;sans-serif" w:hAnsi="Arial;Helvetica;san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w:t>
              </w:r>
            </w:hyperlink>
            <w:hyperlink w:anchor="Item2UnregisteredSalesofEquitySecurities">
              <w:r>
                <w:rPr>
                  <w:rStyle w:val="InternetLink"/>
                  <w:rFonts w:ascii="Arial;Helvetica;sans-serif" w:hAnsi="Arial;Helvetica;sans-serif"/>
                  <w:caps w:val="false"/>
                  <w:smallCaps w:val="false"/>
                  <w:sz w:val="20"/>
                </w:rPr>
                <w:t> </w:t>
              </w:r>
            </w:hyperlink>
            <w:hyperlink w:anchor="Item2UnregisteredSalesofEquitySecurities">
              <w:r>
                <w:rPr>
                  <w:rStyle w:val="InternetLink"/>
                  <w:rFonts w:ascii="Arial;Helvetica;sans-serif" w:hAnsi="Arial;Helvetica;sans-serif"/>
                  <w:b w:val="false"/>
                  <w:i w:val="false"/>
                  <w:caps w:val="false"/>
                  <w:smallCaps w:val="false"/>
                  <w:sz w:val="20"/>
                </w:rPr>
                <w:t>2.</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3DefaultsUponSeniorSecurities_596530">
              <w:r>
                <w:rPr>
                  <w:rStyle w:val="InternetLink"/>
                  <w:rFonts w:ascii="Arial;Helvetica;sans-serif" w:hAnsi="Arial;Helvetica;sans-serif"/>
                  <w:b w:val="false"/>
                  <w:i w:val="false"/>
                  <w:caps w:val="false"/>
                  <w:smallCaps w:val="false"/>
                  <w:sz w:val="20"/>
                </w:rPr>
                <w:t>Item</w:t>
              </w:r>
            </w:hyperlink>
            <w:hyperlink w:anchor="Item3DefaultsUponSeniorSecurities_596530">
              <w:r>
                <w:rPr>
                  <w:rStyle w:val="InternetLink"/>
                  <w:rFonts w:ascii="Arial;Helvetica;sans-serif" w:hAnsi="Arial;Helvetica;sans-serif"/>
                  <w:caps w:val="false"/>
                  <w:smallCaps w:val="false"/>
                  <w:sz w:val="20"/>
                </w:rPr>
                <w:t> </w:t>
              </w:r>
            </w:hyperlink>
            <w:hyperlink w:anchor="Item3DefaultsUponSeniorSecurities_596530">
              <w:r>
                <w:rPr>
                  <w:rStyle w:val="InternetLink"/>
                  <w:rFonts w:ascii="Arial;Helvetica;sans-serif" w:hAnsi="Arial;Helvetica;sans-serif"/>
                  <w:b w:val="false"/>
                  <w:i w:val="false"/>
                  <w:caps w:val="false"/>
                  <w:smallCaps w:val="false"/>
                  <w:sz w:val="20"/>
                </w:rPr>
                <w:t>3.</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3DefaultsUponSeniorSecurities_596530">
              <w:r>
                <w:rPr>
                  <w:rStyle w:val="InternetLink"/>
                  <w:rFonts w:ascii="Arial;Helvetica;sans-serif" w:hAnsi="Arial;Helvetica;san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4MineSafetyDisclosures_347489">
              <w:r>
                <w:rPr>
                  <w:rStyle w:val="InternetLink"/>
                  <w:rFonts w:ascii="Arial;Helvetica;sans-serif" w:hAnsi="Arial;Helvetica;sans-serif"/>
                  <w:b w:val="false"/>
                  <w:i w:val="false"/>
                  <w:caps w:val="false"/>
                  <w:smallCaps w:val="false"/>
                  <w:sz w:val="20"/>
                </w:rPr>
                <w:t>Item</w:t>
              </w:r>
            </w:hyperlink>
            <w:hyperlink w:anchor="Item4MineSafetyDisclosures_347489">
              <w:r>
                <w:rPr>
                  <w:rStyle w:val="InternetLink"/>
                  <w:rFonts w:ascii="Arial;Helvetica;sans-serif" w:hAnsi="Arial;Helvetica;sans-serif"/>
                  <w:caps w:val="false"/>
                  <w:smallCaps w:val="false"/>
                  <w:sz w:val="20"/>
                </w:rPr>
                <w:t> </w:t>
              </w:r>
            </w:hyperlink>
            <w:hyperlink w:anchor="Item4MineSafetyDisclosures_347489">
              <w:r>
                <w:rPr>
                  <w:rStyle w:val="InternetLink"/>
                  <w:rFonts w:ascii="Arial;Helvetica;sans-serif" w:hAnsi="Arial;Helvetica;sans-serif"/>
                  <w:b w:val="false"/>
                  <w:i w:val="false"/>
                  <w:caps w:val="false"/>
                  <w:smallCaps w:val="false"/>
                  <w:sz w:val="20"/>
                </w:rPr>
                <w:t>4.</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4MineSafetyDisclosures_347489">
              <w:r>
                <w:rPr>
                  <w:rStyle w:val="InternetLink"/>
                  <w:rFonts w:ascii="Arial;Helvetica;sans-serif" w:hAnsi="Arial;Helvetica;san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5OtherInformation_696802">
              <w:r>
                <w:rPr>
                  <w:rStyle w:val="InternetLink"/>
                  <w:rFonts w:ascii="Arial;Helvetica;sans-serif" w:hAnsi="Arial;Helvetica;sans-serif"/>
                  <w:b w:val="false"/>
                  <w:i w:val="false"/>
                  <w:caps w:val="false"/>
                  <w:smallCaps w:val="false"/>
                  <w:sz w:val="20"/>
                </w:rPr>
                <w:t>Item</w:t>
              </w:r>
            </w:hyperlink>
            <w:hyperlink w:anchor="Item5OtherInformation_696802">
              <w:r>
                <w:rPr>
                  <w:rStyle w:val="InternetLink"/>
                  <w:rFonts w:ascii="Arial;Helvetica;sans-serif" w:hAnsi="Arial;Helvetica;sans-serif"/>
                  <w:caps w:val="false"/>
                  <w:smallCaps w:val="false"/>
                  <w:sz w:val="20"/>
                </w:rPr>
                <w:t> </w:t>
              </w:r>
            </w:hyperlink>
            <w:hyperlink w:anchor="Item5OtherInformation_696802">
              <w:r>
                <w:rPr>
                  <w:rStyle w:val="InternetLink"/>
                  <w:rFonts w:ascii="Arial;Helvetica;sans-serif" w:hAnsi="Arial;Helvetica;sans-serif"/>
                  <w:b w:val="false"/>
                  <w:i w:val="false"/>
                  <w:caps w:val="false"/>
                  <w:smallCaps w:val="false"/>
                  <w:sz w:val="20"/>
                </w:rPr>
                <w:t>5.</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5OtherInformation_696802">
              <w:r>
                <w:rPr>
                  <w:rStyle w:val="InternetLink"/>
                  <w:rFonts w:ascii="Arial;Helvetica;sans-serif" w:hAnsi="Arial;Helvetica;san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6Exhibits_742478">
              <w:r>
                <w:rPr>
                  <w:rStyle w:val="InternetLink"/>
                  <w:rFonts w:ascii="Arial;Helvetica;sans-serif" w:hAnsi="Arial;Helvetica;sans-serif"/>
                  <w:b w:val="false"/>
                  <w:i w:val="false"/>
                  <w:caps w:val="false"/>
                  <w:smallCaps w:val="false"/>
                  <w:sz w:val="20"/>
                </w:rPr>
                <w:t>Item</w:t>
              </w:r>
            </w:hyperlink>
            <w:hyperlink w:anchor="Item6Exhibits_742478">
              <w:r>
                <w:rPr>
                  <w:rStyle w:val="InternetLink"/>
                  <w:rFonts w:ascii="Arial;Helvetica;sans-serif" w:hAnsi="Arial;Helvetica;sans-serif"/>
                  <w:caps w:val="false"/>
                  <w:smallCaps w:val="false"/>
                  <w:sz w:val="20"/>
                </w:rPr>
                <w:t> </w:t>
              </w:r>
            </w:hyperlink>
            <w:hyperlink w:anchor="Item6Exhibits_742478">
              <w:r>
                <w:rPr>
                  <w:rStyle w:val="InternetLink"/>
                  <w:rFonts w:ascii="Arial;Helvetica;sans-serif" w:hAnsi="Arial;Helvetica;sans-serif"/>
                  <w:b w:val="false"/>
                  <w:i w:val="false"/>
                  <w:caps w:val="false"/>
                  <w:smallCaps w:val="false"/>
                  <w:sz w:val="20"/>
                </w:rPr>
                <w:t>6.</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6Exhibits_742478">
              <w:r>
                <w:rPr>
                  <w:rStyle w:val="InternetLink"/>
                  <w:rFonts w:ascii="Arial;Helvetica;sans-serif" w:hAnsi="Arial;Helvetica;san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192" w:type="dxa"/>
            <w:gridSpan w:val="3"/>
            <w:tcBorders/>
            <w:vAlign w:val="center"/>
          </w:tcPr>
          <w:p>
            <w:pPr>
              <w:pStyle w:val="TableContents"/>
              <w:bidi w:val="0"/>
              <w:spacing w:before="0" w:after="0"/>
              <w:ind w:left="0" w:right="0" w:hanging="0"/>
              <w:jc w:val="left"/>
              <w:rPr/>
            </w:pPr>
            <w:hyperlink w:anchor="Item6Exhibits_742478">
              <w:r>
                <w:rPr>
                  <w:rStyle w:val="InternetLink"/>
                  <w:rFonts w:ascii="Arial;Helvetica;sans-serif" w:hAnsi="Arial;Helvetica;sans-serif"/>
                  <w:b w:val="false"/>
                  <w:i w:val="false"/>
                  <w:caps w:val="false"/>
                  <w:smallCaps w:val="false"/>
                  <w:sz w:val="20"/>
                </w:rPr>
                <w:t>Exhibit</w:t>
              </w:r>
            </w:hyperlink>
            <w:hyperlink w:anchor="Item6Exhibits_742478">
              <w:r>
                <w:rPr>
                  <w:rStyle w:val="InternetLink"/>
                  <w:rFonts w:ascii="Arial;Helvetica;sans-serif" w:hAnsi="Arial;Helvetica;sans-serif"/>
                  <w:caps w:val="false"/>
                  <w:smallCaps w:val="false"/>
                  <w:sz w:val="20"/>
                </w:rPr>
                <w:t> </w:t>
              </w:r>
            </w:hyperlink>
            <w:hyperlink w:anchor="Item6Exhibits_742478">
              <w:r>
                <w:rPr>
                  <w:rStyle w:val="InternetLink"/>
                  <w:rFonts w:ascii="Arial;Helvetica;sans-serif" w:hAnsi="Arial;Helvetica;sans-serif"/>
                  <w:b w:val="false"/>
                  <w:i w:val="false"/>
                  <w:caps w:val="false"/>
                  <w:smallCaps w:val="false"/>
                  <w:sz w:val="20"/>
                </w:rPr>
                <w:t>Index</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192" w:type="dxa"/>
            <w:gridSpan w:val="3"/>
            <w:tcBorders/>
            <w:vAlign w:val="center"/>
          </w:tcPr>
          <w:p>
            <w:pPr>
              <w:pStyle w:val="TableContents"/>
              <w:bidi w:val="0"/>
              <w:spacing w:before="0" w:after="0"/>
              <w:ind w:left="0" w:right="0" w:hanging="0"/>
              <w:jc w:val="left"/>
              <w:rPr/>
            </w:pPr>
            <w:hyperlink w:anchor="SIGNATURES_221192">
              <w:r>
                <w:rPr>
                  <w:rStyle w:val="InternetLink"/>
                  <w:rFonts w:ascii="Arial;Helvetica;sans-serif" w:hAnsi="Arial;Helvetica;san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9" w:name="_f1346795_aae9_4741_bfd6_1675e560d6b6"/>
      <w:bookmarkEnd w:id="39"/>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Quarterly Report on Form 10-Q</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For the quarterly period ended June 30, 2024</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Cautionary Note on Forward-Looking Statements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clinical trial results, prospective products, product approvals, research and development costs, timing and likelihood of success, and the plans and objectives of management for future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2023, which are summarized below, as updated in Part II, Item 1A. “Risk Factors” in this Quarterly Report on Form 10-Q. Moreover, we operate in an evolving environment. New risk factors and uncertainties may emerge from time to time, and it is not possible for management to predict all risk factors and uncertainties.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Summary Risk Factors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business is subject to numerous risks and uncertainties, including those described in Part I, Item 1A. “Risk Factors” in our Annual Report on Form 10-K for the year ended December 31, 2023, as updated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history of significant losses, which we expect to continue, and we may not be able to achieve or sustain profitability;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principal stockholders, management, and directors (two of whom are affiliated with our principal stockholders) own a significant percentage of our stock and will be able to exert significant control over matters subject to stockholder approval;</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limited history operating as a commercial company and are highly dependent on a single product, Barostim, and the failure to increase market acceptance in the U.S. for Barostim would negatively impact our business, liquidity and results of operations;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limited commercial sales experience marketing and selling Barostim, and if we are unable to continue to maintain and grow sales and marketing capabilities, we will be unable to generate sustained and increasing product revenue;</w:t>
            </w:r>
          </w:p>
        </w:tc>
        <w:tc>
          <w:tcPr>
            <w:tcW w:w="154" w:type="dxa"/>
            <w:tcBorders/>
            <w:vAlign w:val="center"/>
          </w:tcPr>
          <w:p>
            <w:pPr>
              <w:pStyle w:val="TableContents"/>
              <w:bidi w:val="0"/>
              <w:spacing w:before="0" w:after="283"/>
              <w:jc w:val="left"/>
              <w:rPr>
                <w:sz w:val="4"/>
                <w:szCs w:val="4"/>
              </w:rPr>
            </w:pPr>
            <w:r>
              <w:rPr>
                <w:sz w:val="4"/>
                <w:szCs w:val="4"/>
              </w:rPr>
            </w:r>
          </w:p>
        </w:tc>
      </w:tr>
    </w:tbl>
    <w:tbl>
      <w:tblPr>
        <w:tblW w:w="7930" w:type="dxa"/>
        <w:jc w:val="left"/>
        <w:tblInd w:w="0" w:type="dxa"/>
        <w:tblLayout w:type="fixed"/>
        <w:tblCellMar>
          <w:top w:w="28" w:type="dxa"/>
          <w:left w:w="28" w:type="dxa"/>
          <w:bottom w:w="28" w:type="dxa"/>
          <w:right w:w="28" w:type="dxa"/>
        </w:tblCellMar>
      </w:tblPr>
      <w:tblGrid>
        <w:gridCol w:w="124"/>
        <w:gridCol w:w="256"/>
        <w:gridCol w:w="739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must continue to demonstrate to physicians and patients the merits of Barostim;</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third-party payers do not provide adequate coverage and reimbursement for the use of Barostim, our revenue will be negatively impacted;</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tc>
        <w:tc>
          <w:tcPr>
            <w:tcW w:w="154" w:type="dxa"/>
            <w:tcBorders/>
            <w:vAlign w:val="center"/>
          </w:tcPr>
          <w:p>
            <w:pPr>
              <w:pStyle w:val="TableContents"/>
              <w:bidi w:val="0"/>
              <w:spacing w:before="0" w:after="283"/>
              <w:jc w:val="left"/>
              <w:rPr>
                <w:sz w:val="4"/>
                <w:szCs w:val="4"/>
              </w:rPr>
            </w:pPr>
            <w:r>
              <w:rPr>
                <w:sz w:val="4"/>
                <w:szCs w:val="4"/>
              </w:rPr>
            </w:r>
          </w:p>
        </w:tc>
      </w:tr>
    </w:tbl>
    <w:tbl>
      <w:tblPr>
        <w:tblW w:w="6295" w:type="dxa"/>
        <w:jc w:val="left"/>
        <w:tblInd w:w="0" w:type="dxa"/>
        <w:tblLayout w:type="fixed"/>
        <w:tblCellMar>
          <w:top w:w="28" w:type="dxa"/>
          <w:left w:w="28" w:type="dxa"/>
          <w:bottom w:w="28" w:type="dxa"/>
          <w:right w:w="28" w:type="dxa"/>
        </w:tblCellMar>
      </w:tblPr>
      <w:tblGrid>
        <w:gridCol w:w="124"/>
        <w:gridCol w:w="256"/>
        <w:gridCol w:w="576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fail to receive access to hospitals, our sales may decrease;</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manufacturing risks may adversely affect our ability to manufacture our product and could reduce our gross margin and profitability;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pandemic, epidemic or outbreak of an infectious disease in the U.S. or worldwide could adversely affect our business;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face product liability claims that could be costly, divert management’s attention and harm our reputation;</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fail to retain our key executives or recruit and hire new employees, our operations and financial results may be adversely affected while we attract other highly qualified personnel;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continue to obtain long-term clinical data regarding the safety and effectiveness of our products, which could impact future adoption and regulatory approvals.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40" w:name="PARTIFINANCIALINFORMATION_851848"/>
      <w:bookmarkStart w:id="41" w:name="_8b7c6db4_62fa_4953_9b44_fb230e0af476"/>
      <w:bookmarkStart w:id="42" w:name="_Hlk164123795"/>
      <w:bookmarkEnd w:id="40"/>
      <w:bookmarkEnd w:id="41"/>
      <w:bookmarkEnd w:id="42"/>
      <w:r>
        <w:rPr>
          <w:rFonts w:ascii="Arial;Helvetica;sans-serif" w:hAnsi="Arial;Helvetica;sans-serif"/>
          <w:b/>
          <w:sz w:val="20"/>
        </w:rPr>
        <w:t>PART I —FINANCIAL INFORMATION</w:t>
      </w:r>
    </w:p>
    <w:p>
      <w:pPr>
        <w:pStyle w:val="TextBody"/>
        <w:pBdr/>
        <w:bidi w:val="0"/>
        <w:spacing w:before="0" w:after="240"/>
        <w:ind w:left="0" w:right="0" w:hanging="360"/>
        <w:jc w:val="left"/>
        <w:rPr>
          <w:rFonts w:ascii="Arial;Helvetica;sans-serif" w:hAnsi="Arial;Helvetica;sans-serif"/>
          <w:b/>
          <w:sz w:val="20"/>
        </w:rPr>
      </w:pPr>
      <w:bookmarkStart w:id="43" w:name="Item1FinancialStatements_407004"/>
      <w:bookmarkEnd w:id="43"/>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44" w:name="CondensedConsolidatedBalanceSheets_40430"/>
      <w:bookmarkEnd w:id="44"/>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45" w:name="Tc_leHzn8eBOU2DWiQz0kLLpw_30_5"/>
      <w:bookmarkStart w:id="46" w:name="Tc_qpdjJHI8yESZwCcIdgaFvg_30_2"/>
      <w:bookmarkStart w:id="47" w:name="Tc_w41B_8g3X0aDph0RyDL6aw_30_0"/>
      <w:bookmarkStart w:id="48" w:name="Tc_8Y4kMaUCuEelFmL5bBm3yQ_29_0"/>
      <w:bookmarkStart w:id="49" w:name="Tc_CArSgLjs9UqSYqpibEU8Mw_28_0"/>
      <w:bookmarkStart w:id="50" w:name="Tc_-XQ29uKQJ02ZNfBcSgPIRA_27_0"/>
      <w:bookmarkStart w:id="51" w:name="Tc_duMP5RUnwUm28yJT2L9HHw_26_0"/>
      <w:bookmarkStart w:id="52" w:name="Tc_QB6jdIGII0KqTdnXOewkOA_25_0"/>
      <w:bookmarkStart w:id="53" w:name="Tc_iO3_lWubT0Si3Qcoe4Y7Lg_24_0"/>
      <w:bookmarkStart w:id="54" w:name="Tc_UYFhIIfaG0yZ_oZoEO1YYw_23_0"/>
      <w:bookmarkStart w:id="55" w:name="Tc_FSmyUm64PECEhberDHsxXw_22_0"/>
      <w:bookmarkStart w:id="56" w:name="Tc_H4M_DwPMFUyWneKsGTm5iw_21_0"/>
      <w:bookmarkStart w:id="57" w:name="Tc_bE-qgH9JZ0Op16tiOq-sdw_20_0"/>
      <w:bookmarkStart w:id="58" w:name="Tc_GPlZOasrUEe4p2acTqmIGA_19_0"/>
      <w:bookmarkStart w:id="59" w:name="Tc_YHJ0g2izUkeJOlpzTjxDkg_18_0"/>
      <w:bookmarkStart w:id="60" w:name="Tc_OprYIe9IWU2yWHec9UDfrQ_17_0"/>
      <w:bookmarkStart w:id="61" w:name="Tc_w9YQPcLmV06BnDNBeB7O-w_16_5"/>
      <w:bookmarkStart w:id="62" w:name="Tc_LKam5Iwil02YPAG6VfO8gw_16_2"/>
      <w:bookmarkStart w:id="63" w:name="Tc_Fxs2GqZtLUCUP48vF6M6Hw_16_0"/>
      <w:bookmarkStart w:id="64" w:name="Tc_U1S88qhqE0qp7xkIYQMoKA_15_0"/>
      <w:bookmarkStart w:id="65" w:name="Tc_kXylAvOCk0qF76I2OrNs7Q_14_0"/>
      <w:bookmarkStart w:id="66" w:name="Tc_kN7yDXBO7EeRCdxSdipkTQ_13_5"/>
      <w:bookmarkStart w:id="67" w:name="Tc_xdRHBai7OUmOXg6Qdq41Iw_13_2"/>
      <w:bookmarkStart w:id="68" w:name="Tc_xvIZ7JvX2k6WtruiUlytgQ_13_0"/>
      <w:bookmarkStart w:id="69" w:name="Tc__qBqqyhP8U6Lwdpe2RRaOg_12_0"/>
      <w:bookmarkStart w:id="70" w:name="Tc_DCIfL1IoaE28tlMHla-yHg_11_0"/>
      <w:bookmarkStart w:id="71" w:name="Tc_HckvNdUG1k-c3wrjMct_Kw_10_0"/>
      <w:bookmarkStart w:id="72" w:name="Tc_pugFUVx_M06-kgNptEjkmg_9_0"/>
      <w:bookmarkStart w:id="73" w:name="Tc_7jdX6PT5Wk-zfjsUxSj3pQ_8_0"/>
      <w:bookmarkStart w:id="74" w:name="Tc_dINZ3RgwmU63RJfU-30cpA_7_0"/>
      <w:bookmarkStart w:id="75" w:name="Tc_VxGhdrtf8Ue3EDdeI9R5XQ_6_0"/>
      <w:bookmarkStart w:id="76" w:name="Tc_2faHrE6tsUiEAWhSQ6Oy6w_5_5"/>
      <w:bookmarkStart w:id="77" w:name="Tc_vm_5zwQPo0upnJvcHoVYIQ_5_2"/>
      <w:bookmarkStart w:id="78" w:name="Tc_xoyzgnMnykG9AjCgob8yEQ_5_0"/>
      <w:bookmarkStart w:id="79" w:name="Tc_VeskBDDK7EarhUQ5oy7yYQ_4_0"/>
      <w:bookmarkStart w:id="80" w:name="Tc_E_JooRSTA0OSZHoaTnF7LA_3_0"/>
      <w:bookmarkStart w:id="81" w:name="Tc_HcMdQs4Zx0C9t-RXzkxgWA_2_5"/>
      <w:bookmarkStart w:id="82" w:name="Tc_kadOdVeeSUawi-TcQxBywA_2_2"/>
      <w:bookmarkStart w:id="83" w:name="Tc_5so6Q8WGeU2LQHHiU0m6qA_1_5"/>
      <w:bookmarkStart w:id="84" w:name="Tc_RnFHSmol3EyQX-2ad9BMjg_1_2"/>
      <w:bookmarkStart w:id="85" w:name="_a954118e_803a_45fd_8f19_da53077d6187"/>
      <w:bookmarkStart w:id="86" w:name="Tc_leHzn8eBOU2DWiQz0kLLpw_30_5"/>
      <w:bookmarkStart w:id="87" w:name="Tc_qpdjJHI8yESZwCcIdgaFvg_30_2"/>
      <w:bookmarkStart w:id="88" w:name="Tc_w41B_8g3X0aDph0RyDL6aw_30_0"/>
      <w:bookmarkStart w:id="89" w:name="Tc_8Y4kMaUCuEelFmL5bBm3yQ_29_0"/>
      <w:bookmarkStart w:id="90" w:name="Tc_CArSgLjs9UqSYqpibEU8Mw_28_0"/>
      <w:bookmarkStart w:id="91" w:name="Tc_-XQ29uKQJ02ZNfBcSgPIRA_27_0"/>
      <w:bookmarkStart w:id="92" w:name="Tc_duMP5RUnwUm28yJT2L9HHw_26_0"/>
      <w:bookmarkStart w:id="93" w:name="Tc_QB6jdIGII0KqTdnXOewkOA_25_0"/>
      <w:bookmarkStart w:id="94" w:name="Tc_iO3_lWubT0Si3Qcoe4Y7Lg_24_0"/>
      <w:bookmarkStart w:id="95" w:name="Tc_UYFhIIfaG0yZ_oZoEO1YYw_23_0"/>
      <w:bookmarkStart w:id="96" w:name="Tc_FSmyUm64PECEhberDHsxXw_22_0"/>
      <w:bookmarkStart w:id="97" w:name="Tc_H4M_DwPMFUyWneKsGTm5iw_21_0"/>
      <w:bookmarkStart w:id="98" w:name="Tc_bE-qgH9JZ0Op16tiOq-sdw_20_0"/>
      <w:bookmarkStart w:id="99" w:name="Tc_GPlZOasrUEe4p2acTqmIGA_19_0"/>
      <w:bookmarkStart w:id="100" w:name="Tc_YHJ0g2izUkeJOlpzTjxDkg_18_0"/>
      <w:bookmarkStart w:id="101" w:name="Tc_OprYIe9IWU2yWHec9UDfrQ_17_0"/>
      <w:bookmarkStart w:id="102" w:name="Tc_w9YQPcLmV06BnDNBeB7O-w_16_5"/>
      <w:bookmarkStart w:id="103" w:name="Tc_LKam5Iwil02YPAG6VfO8gw_16_2"/>
      <w:bookmarkStart w:id="104" w:name="Tc_Fxs2GqZtLUCUP48vF6M6Hw_16_0"/>
      <w:bookmarkStart w:id="105" w:name="Tc_U1S88qhqE0qp7xkIYQMoKA_15_0"/>
      <w:bookmarkStart w:id="106" w:name="Tc_kXylAvOCk0qF76I2OrNs7Q_14_0"/>
      <w:bookmarkStart w:id="107" w:name="Tc_kN7yDXBO7EeRCdxSdipkTQ_13_5"/>
      <w:bookmarkStart w:id="108" w:name="Tc_xdRHBai7OUmOXg6Qdq41Iw_13_2"/>
      <w:bookmarkStart w:id="109" w:name="Tc_xvIZ7JvX2k6WtruiUlytgQ_13_0"/>
      <w:bookmarkStart w:id="110" w:name="Tc__qBqqyhP8U6Lwdpe2RRaOg_12_0"/>
      <w:bookmarkStart w:id="111" w:name="Tc_DCIfL1IoaE28tlMHla-yHg_11_0"/>
      <w:bookmarkStart w:id="112" w:name="Tc_HckvNdUG1k-c3wrjMct_Kw_10_0"/>
      <w:bookmarkStart w:id="113" w:name="Tc_pugFUVx_M06-kgNptEjkmg_9_0"/>
      <w:bookmarkStart w:id="114" w:name="Tc_7jdX6PT5Wk-zfjsUxSj3pQ_8_0"/>
      <w:bookmarkStart w:id="115" w:name="Tc_dINZ3RgwmU63RJfU-30cpA_7_0"/>
      <w:bookmarkStart w:id="116" w:name="Tc_VxGhdrtf8Ue3EDdeI9R5XQ_6_0"/>
      <w:bookmarkStart w:id="117" w:name="Tc_2faHrE6tsUiEAWhSQ6Oy6w_5_5"/>
      <w:bookmarkStart w:id="118" w:name="Tc_vm_5zwQPo0upnJvcHoVYIQ_5_2"/>
      <w:bookmarkStart w:id="119" w:name="Tc_xoyzgnMnykG9AjCgob8yEQ_5_0"/>
      <w:bookmarkStart w:id="120" w:name="Tc_VeskBDDK7EarhUQ5oy7yYQ_4_0"/>
      <w:bookmarkStart w:id="121" w:name="Tc_E_JooRSTA0OSZHoaTnF7LA_3_0"/>
      <w:bookmarkStart w:id="122" w:name="Tc_HcMdQs4Zx0C9t-RXzkxgWA_2_5"/>
      <w:bookmarkStart w:id="123" w:name="Tc_kadOdVeeSUawi-TcQxBywA_2_2"/>
      <w:bookmarkStart w:id="124" w:name="Tc_5so6Q8WGeU2LQHHiU0m6qA_1_5"/>
      <w:bookmarkStart w:id="125" w:name="Tc_RnFHSmol3EyQX-2ad9BMjg_1_2"/>
      <w:bookmarkStart w:id="126" w:name="_a954118e_803a_45fd_8f19_da53077d6187"/>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tbl>
      <w:tblPr>
        <w:tblW w:w="10205" w:type="dxa"/>
        <w:jc w:val="left"/>
        <w:tblInd w:w="0" w:type="dxa"/>
        <w:tblLayout w:type="fixed"/>
        <w:tblCellMar>
          <w:top w:w="0" w:type="dxa"/>
          <w:left w:w="0" w:type="dxa"/>
          <w:bottom w:w="0" w:type="dxa"/>
          <w:right w:w="0" w:type="dxa"/>
        </w:tblCellMar>
      </w:tblPr>
      <w:tblGrid>
        <w:gridCol w:w="7268"/>
        <w:gridCol w:w="326"/>
        <w:gridCol w:w="211"/>
        <w:gridCol w:w="874"/>
        <w:gridCol w:w="326"/>
        <w:gridCol w:w="215"/>
        <w:gridCol w:w="985"/>
      </w:tblGrid>
      <w:tr>
        <w:trPr/>
        <w:tc>
          <w:tcPr>
            <w:tcW w:w="72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54990" cy="175260"/>
                      <wp:effectExtent l="0" t="0" r="0" b="0"/>
                      <wp:wrapNone/>
                      <wp:docPr id="9" name="Frame9"/>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6525" cy="175260"/>
                      <wp:effectExtent l="0" t="0" r="0" b="0"/>
                      <wp:wrapNone/>
                      <wp:docPr id="11" name="Frame1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25475" cy="175260"/>
                      <wp:effectExtent l="0" t="0" r="0" b="0"/>
                      <wp:wrapNone/>
                      <wp:docPr id="12" name="Frame12"/>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8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center"/>
              <w:rPr/>
            </w:pPr>
            <w:r>
              <w:rPr/>
              <w:t>    </w:t>
            </w:r>
          </w:p>
        </w:tc>
        <w:tc>
          <w:tcPr>
            <w:tcW w:w="12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2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center"/>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  </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  </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70,400</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90,569</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 net of allowances of $656 and $508,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8,606</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7,551</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11,224</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10,983</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1,762</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2,987</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91,992</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112,090</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2,763</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1,763</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right-of-use asset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1,200</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1,349</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non-current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95,981</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115,229</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  </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pPr>
            <w:r>
              <w:rPr/>
              <w:t>  </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3,516</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1,884</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5,610</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5,980</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9,126</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7,864</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29,319</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29,222</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non-current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1,023</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1,160</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1,265</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1,036</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40,733</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39,282</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Commitments and contingencies (Note 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pPr>
            <w:r>
              <w:rPr/>
              <w:t>  </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 xml:space="preserve">   </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Common stock, $0.01 par value, 200,000,000 authorized as of June 30, 2024 and December 31, 2023; 21,712,357 and 20,879,199 shares </w:t>
            </w:r>
            <w:r>
              <w:rPr>
                <w:rFonts w:ascii="Arial;Helvetica;sans-serif" w:hAnsi="Arial;Helvetica;sans-serif"/>
                <w:b w:val="false"/>
                <w:i w:val="false"/>
                <w:caps w:val="false"/>
                <w:smallCaps w:val="false"/>
                <w:sz w:val="20"/>
              </w:rPr>
              <w:t>issued</w:t>
            </w:r>
            <w:r>
              <w:rPr>
                <w:rFonts w:ascii="Arial;Helvetica;sans-serif" w:hAnsi="Arial;Helvetica;sans-serif"/>
                <w:sz w:val="20"/>
              </w:rPr>
              <w:t xml:space="preserve"> and </w:t>
            </w:r>
            <w:r>
              <w:rPr>
                <w:rFonts w:ascii="Arial;Helvetica;sans-serif" w:hAnsi="Arial;Helvetica;sans-serif"/>
                <w:b w:val="false"/>
                <w:i w:val="false"/>
                <w:caps w:val="false"/>
                <w:smallCaps w:val="false"/>
                <w:sz w:val="20"/>
              </w:rPr>
              <w:t>outstanding</w:t>
            </w:r>
            <w:r>
              <w:rPr>
                <w:rFonts w:ascii="Arial;Helvetica;sans-serif" w:hAnsi="Arial;Helvetica;sans-serif"/>
                <w:sz w:val="20"/>
              </w:rPr>
              <w:t xml:space="preserve"> as of June 30, 2024 and December 31,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568,837</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553,326</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(513,596)</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(477,381)</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w:t>
            </w:r>
          </w:p>
        </w:tc>
      </w:tr>
      <w:tr>
        <w:trPr/>
        <w:tc>
          <w:tcPr>
            <w:tcW w:w="7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55,248</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75,947</w:t>
            </w:r>
          </w:p>
        </w:tc>
      </w:tr>
      <w:tr>
        <w:trPr/>
        <w:tc>
          <w:tcPr>
            <w:tcW w:w="7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95,981</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115,229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27" w:name="_1055d0ad_87a1_4dab_8c5f_3a4eb3160ca2"/>
      <w:bookmarkEnd w:id="127"/>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sz w:val="20"/>
        </w:rPr>
      </w:pPr>
      <w:bookmarkStart w:id="128" w:name="CondensedConsolidatedStatementsofOperati"/>
      <w:bookmarkEnd w:id="128"/>
      <w:r>
        <w:rPr>
          <w:rFonts w:ascii="Arial;Helvetica;sans-serif" w:hAnsi="Arial;Helvetica;sans-serif"/>
          <w:b/>
          <w:sz w:val="20"/>
        </w:rPr>
        <w:t>Condensed Consolidated Statements of Operations</w:t>
      </w:r>
      <w:r>
        <w:rPr>
          <w:rFonts w:ascii="Arial;Helvetica;sans-serif" w:hAnsi="Arial;Helvetica;sans-serif"/>
          <w:sz w:val="20"/>
        </w:rPr>
        <w:t xml:space="preserve"> </w:t>
      </w:r>
      <w:r>
        <w:rPr>
          <w:rFonts w:ascii="Arial;Helvetica;sans-serif" w:hAnsi="Arial;Helvetica;sans-serif"/>
          <w:b/>
          <w:sz w:val="20"/>
        </w:rPr>
        <w:t>and Comprehensive Loss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129" w:name="Tc_AEs6EI_wtU6TawFAZ1QiiQ_20_0"/>
      <w:bookmarkStart w:id="130" w:name="Tc_hxHv7Kkk5EOEPmCjGMc5bw_19_0"/>
      <w:bookmarkStart w:id="131" w:name="Tc_sKWaubmsSUO00tcVoi8xWA_18_11"/>
      <w:bookmarkStart w:id="132" w:name="Tc_sKhdOi4BlkWGDg6wSRVXTw_18_8"/>
      <w:bookmarkStart w:id="133" w:name="Tc_2Gz6lWuQp0WZwga5OthU3A_18_5"/>
      <w:bookmarkStart w:id="134" w:name="Tc_D4-ahvnXlUi9PkxTwt1GZg_18_2"/>
      <w:bookmarkStart w:id="135" w:name="Tc_9qqBZiPY2ECmHfFfX2x2bQ_18_0"/>
      <w:bookmarkStart w:id="136" w:name="Tc_VqMNUZ4K9EG9z6MRLHBN9g_17_3"/>
      <w:bookmarkStart w:id="137" w:name="Tc_Y9mfQ6yUsUySWOkdEAvCKw_17_0"/>
      <w:bookmarkStart w:id="138" w:name="Tc_n0JbhPSYJUqPP0w8CNjKqg_16_0"/>
      <w:bookmarkStart w:id="139" w:name="Tc_LDdKKJ2wgEyWGG3dG72VPQ_15_0"/>
      <w:bookmarkStart w:id="140" w:name="Tc_cTTskQgZ00KcMBWSrsIo5A_14_0"/>
      <w:bookmarkStart w:id="141" w:name="Tc_cz3uIZ8pBEy2mT-ddof09g_13_0"/>
      <w:bookmarkStart w:id="142" w:name="Tc_h0ua9E1__UqSIOT-b8y8bQ_12_0"/>
      <w:bookmarkStart w:id="143" w:name="Tc_366fYukPGkCkkCPN24U4zg_11_0"/>
      <w:bookmarkStart w:id="144" w:name="Tc_NHJSGc3_9U2Nu6eK6Gf4RQ_10_0"/>
      <w:bookmarkStart w:id="145" w:name="Tc_11oJJ8vk0kW0vYoDQdHcKg_9_0"/>
      <w:bookmarkStart w:id="146" w:name="Tc_rLj_tbtzc0q6fQ2-qQD4pg_8_0"/>
      <w:bookmarkStart w:id="147" w:name="Tc_9IAqp0TUE0e7qk-Jy_CgXQ_7_0"/>
      <w:bookmarkStart w:id="148" w:name="Tc_PuWDXxu_9E62CK7sUuv1Vw_6_0"/>
      <w:bookmarkStart w:id="149" w:name="Tc_Hreh5kfsx0KuRDDyTkhpAQ_5_0"/>
      <w:bookmarkStart w:id="150" w:name="Tc_ob1pCE2_5Umnrm6tb0nlGg_4_11"/>
      <w:bookmarkStart w:id="151" w:name="Tc_IKtBg8lHQ06unBtiEyyvCg_4_8"/>
      <w:bookmarkStart w:id="152" w:name="Tc_anpcEueUZkK0c-ShG09EPw_4_5"/>
      <w:bookmarkStart w:id="153" w:name="Tc_vdWnOUqqLEmqlhVeW1gcHA_4_2"/>
      <w:bookmarkStart w:id="154" w:name="Tc_RXnF6AJgDEWZNZBYVHJZjw_4_0"/>
      <w:bookmarkStart w:id="155" w:name="Tc_HS6nDn16PkaNNeWGOV70lA_3_11"/>
      <w:bookmarkStart w:id="156" w:name="Tc_tiwZN2n9Z02uZdEjpNETkw_3_8"/>
      <w:bookmarkStart w:id="157" w:name="Tc_SkONA-_WH0uWj1kY3LGRbA_3_5"/>
      <w:bookmarkStart w:id="158" w:name="Tc__UIcPv5d3ke0PpsFNy__dA_3_2"/>
      <w:bookmarkStart w:id="159" w:name="Tc_TdoX3U8DF0WyhTdepwJxnA_2_8"/>
      <w:bookmarkStart w:id="160" w:name="Tc_xGQaS6bA1EG9mDR8wzD28g_2_2"/>
      <w:bookmarkStart w:id="161" w:name="Tc_d5O5EDL2R0m-myYqtrSSPw_1_8"/>
      <w:bookmarkStart w:id="162" w:name="Tc_wzn4P-XSJkmWhgVP_XsgGA_1_2"/>
      <w:bookmarkStart w:id="163" w:name="_579d41a3_9f33_4f4c_acf4_58e7bb942d61"/>
      <w:bookmarkStart w:id="164" w:name="_3797c457_2506_40c3_b886_0321edd624f6"/>
      <w:bookmarkStart w:id="165" w:name="Tc_AEs6EI_wtU6TawFAZ1QiiQ_20_0"/>
      <w:bookmarkStart w:id="166" w:name="Tc_hxHv7Kkk5EOEPmCjGMc5bw_19_0"/>
      <w:bookmarkStart w:id="167" w:name="Tc_sKWaubmsSUO00tcVoi8xWA_18_11"/>
      <w:bookmarkStart w:id="168" w:name="Tc_sKhdOi4BlkWGDg6wSRVXTw_18_8"/>
      <w:bookmarkStart w:id="169" w:name="Tc_2Gz6lWuQp0WZwga5OthU3A_18_5"/>
      <w:bookmarkStart w:id="170" w:name="Tc_D4-ahvnXlUi9PkxTwt1GZg_18_2"/>
      <w:bookmarkStart w:id="171" w:name="Tc_9qqBZiPY2ECmHfFfX2x2bQ_18_0"/>
      <w:bookmarkStart w:id="172" w:name="Tc_VqMNUZ4K9EG9z6MRLHBN9g_17_3"/>
      <w:bookmarkStart w:id="173" w:name="Tc_Y9mfQ6yUsUySWOkdEAvCKw_17_0"/>
      <w:bookmarkStart w:id="174" w:name="Tc_n0JbhPSYJUqPP0w8CNjKqg_16_0"/>
      <w:bookmarkStart w:id="175" w:name="Tc_LDdKKJ2wgEyWGG3dG72VPQ_15_0"/>
      <w:bookmarkStart w:id="176" w:name="Tc_cTTskQgZ00KcMBWSrsIo5A_14_0"/>
      <w:bookmarkStart w:id="177" w:name="Tc_cz3uIZ8pBEy2mT-ddof09g_13_0"/>
      <w:bookmarkStart w:id="178" w:name="Tc_h0ua9E1__UqSIOT-b8y8bQ_12_0"/>
      <w:bookmarkStart w:id="179" w:name="Tc_366fYukPGkCkkCPN24U4zg_11_0"/>
      <w:bookmarkStart w:id="180" w:name="Tc_NHJSGc3_9U2Nu6eK6Gf4RQ_10_0"/>
      <w:bookmarkStart w:id="181" w:name="Tc_11oJJ8vk0kW0vYoDQdHcKg_9_0"/>
      <w:bookmarkStart w:id="182" w:name="Tc_rLj_tbtzc0q6fQ2-qQD4pg_8_0"/>
      <w:bookmarkStart w:id="183" w:name="Tc_9IAqp0TUE0e7qk-Jy_CgXQ_7_0"/>
      <w:bookmarkStart w:id="184" w:name="Tc_PuWDXxu_9E62CK7sUuv1Vw_6_0"/>
      <w:bookmarkStart w:id="185" w:name="Tc_Hreh5kfsx0KuRDDyTkhpAQ_5_0"/>
      <w:bookmarkStart w:id="186" w:name="Tc_ob1pCE2_5Umnrm6tb0nlGg_4_11"/>
      <w:bookmarkStart w:id="187" w:name="Tc_IKtBg8lHQ06unBtiEyyvCg_4_8"/>
      <w:bookmarkStart w:id="188" w:name="Tc_anpcEueUZkK0c-ShG09EPw_4_5"/>
      <w:bookmarkStart w:id="189" w:name="Tc_vdWnOUqqLEmqlhVeW1gcHA_4_2"/>
      <w:bookmarkStart w:id="190" w:name="Tc_RXnF6AJgDEWZNZBYVHJZjw_4_0"/>
      <w:bookmarkStart w:id="191" w:name="Tc_HS6nDn16PkaNNeWGOV70lA_3_11"/>
      <w:bookmarkStart w:id="192" w:name="Tc_tiwZN2n9Z02uZdEjpNETkw_3_8"/>
      <w:bookmarkStart w:id="193" w:name="Tc_SkONA-_WH0uWj1kY3LGRbA_3_5"/>
      <w:bookmarkStart w:id="194" w:name="Tc__UIcPv5d3ke0PpsFNy__dA_3_2"/>
      <w:bookmarkStart w:id="195" w:name="Tc_TdoX3U8DF0WyhTdepwJxnA_2_8"/>
      <w:bookmarkStart w:id="196" w:name="Tc_xGQaS6bA1EG9mDR8wzD28g_2_2"/>
      <w:bookmarkStart w:id="197" w:name="Tc_d5O5EDL2R0m-myYqtrSSPw_1_8"/>
      <w:bookmarkStart w:id="198" w:name="Tc_wzn4P-XSJkmWhgVP_XsgGA_1_2"/>
      <w:bookmarkStart w:id="199" w:name="_579d41a3_9f33_4f4c_acf4_58e7bb942d61"/>
      <w:bookmarkStart w:id="200" w:name="_3797c457_2506_40c3_b886_0321edd624f6"/>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tbl>
      <w:tblPr>
        <w:tblW w:w="10205" w:type="dxa"/>
        <w:jc w:val="left"/>
        <w:tblInd w:w="0" w:type="dxa"/>
        <w:tblLayout w:type="fixed"/>
        <w:tblCellMar>
          <w:top w:w="0" w:type="dxa"/>
          <w:left w:w="0" w:type="dxa"/>
          <w:bottom w:w="0" w:type="dxa"/>
          <w:right w:w="0" w:type="dxa"/>
        </w:tblCellMar>
      </w:tblPr>
      <w:tblGrid>
        <w:gridCol w:w="3676"/>
        <w:gridCol w:w="326"/>
        <w:gridCol w:w="211"/>
        <w:gridCol w:w="1066"/>
        <w:gridCol w:w="326"/>
        <w:gridCol w:w="211"/>
        <w:gridCol w:w="1066"/>
        <w:gridCol w:w="326"/>
        <w:gridCol w:w="211"/>
        <w:gridCol w:w="1066"/>
        <w:gridCol w:w="326"/>
        <w:gridCol w:w="211"/>
        <w:gridCol w:w="1183"/>
      </w:tblGrid>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76910" cy="175260"/>
                      <wp:effectExtent l="0" t="0" r="0" b="0"/>
                      <wp:wrapNone/>
                      <wp:docPr id="15" name="Frame1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76910" cy="175260"/>
                      <wp:effectExtent l="0" t="0" r="0" b="0"/>
                      <wp:wrapNone/>
                      <wp:docPr id="18" name="Frame1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76910" cy="175260"/>
                      <wp:effectExtent l="0" t="0" r="0" b="0"/>
                      <wp:wrapNone/>
                      <wp:docPr id="21" name="Frame2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51205" cy="175260"/>
                      <wp:effectExtent l="0" t="0" r="0" b="0"/>
                      <wp:wrapNone/>
                      <wp:docPr id="24" name="Frame24"/>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8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997"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29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3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17,479</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2,845</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14,634</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pPr>
            <w:r>
              <w:rPr/>
              <w:t>  </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6,696</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21,115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49,445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31,852</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55,267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38,548</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(23,914)</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(721)</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1,678</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(36,136)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(22,957)</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(23,025)</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Cumulative translation adjustment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(23,005)</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per share,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w:t>
            </w:r>
          </w:p>
        </w:tc>
      </w:tr>
      <w:tr>
        <w:trPr/>
        <w:tc>
          <w:tcPr>
            <w:tcW w:w="36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common shares used to compute net loss per share,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21,628,542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20,711,850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21,430,276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20,702,589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201" w:name="_2bb53fb3_04a2_49f0_b028_f156787316dd"/>
      <w:bookmarkEnd w:id="201"/>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202" w:name="CondensedConsolidatedStatementsofConvert"/>
      <w:bookmarkEnd w:id="202"/>
      <w:r>
        <w:rPr>
          <w:rFonts w:ascii="Arial;Helvetica;sans-serif" w:hAnsi="Arial;Helvetica;sans-serif"/>
          <w:b/>
          <w:sz w:val="20"/>
        </w:rPr>
        <w:t>Condensed Consolidated Statements of Stockholders’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data)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203" w:name="Tc_hIgqB4BgrEuEifYkP-YjkQ_19_16"/>
      <w:bookmarkStart w:id="204" w:name="Tc_EvtPRkd_lUyyta8nZA_gcg_19_13"/>
      <w:bookmarkStart w:id="205" w:name="Tc_F9AHmakOR0S2SOpnQkQOfg_19_10"/>
      <w:bookmarkStart w:id="206" w:name="Tc_No-wxKwNnkKSiDjLSlxpIQ_19_7"/>
      <w:bookmarkStart w:id="207" w:name="Tc_EMWGmGuGi0K5_kACzteM7w_19_4"/>
      <w:bookmarkStart w:id="208" w:name="Tc_9BxuFlAuAk6LI2j2zBHEbQ_19_0"/>
      <w:bookmarkStart w:id="209" w:name="Tc_OYagOXHutUibnLGJQArrdw_18_11"/>
      <w:bookmarkStart w:id="210" w:name="Tc_Tb3LB3UX8kqXfHNIzlqkwg_18_8"/>
      <w:bookmarkStart w:id="211" w:name="Tc_T2V9gC7dvUaLrS4vx2tqfA_18_5"/>
      <w:bookmarkStart w:id="212" w:name="Tc_tr8rksHfH0mAGDa10fx9vQ_18_2"/>
      <w:bookmarkStart w:id="213" w:name="Tc__ueN0MI7Tk6o1USAaSwlEQ_18_0"/>
      <w:bookmarkStart w:id="214" w:name="Tc_ybGp1TRJsE6vSbyeiPQ17w_17_14"/>
      <w:bookmarkStart w:id="215" w:name="Tc_VD1LgmMObkaoMFTbDbDcJg_17_8"/>
      <w:bookmarkStart w:id="216" w:name="Tc_umZxvGcTP0u6yDliYB6gsg_17_5"/>
      <w:bookmarkStart w:id="217" w:name="Tc__T_wXozPQ0aoHbsvoRYDIQ_17_2"/>
      <w:bookmarkStart w:id="218" w:name="Tc_WZzzdmFDH0K-T-CIrsTWjQ_17_0"/>
      <w:bookmarkStart w:id="219" w:name="Tc_maYtrlL9qUS9zyxpGUdkTg_16_14"/>
      <w:bookmarkStart w:id="220" w:name="Tc_nPlgLzh0NUGXM4eGPDTjwg_16_11"/>
      <w:bookmarkStart w:id="221" w:name="Tc_oN9BALeFMkSyjeS0iehgHA_16_5"/>
      <w:bookmarkStart w:id="222" w:name="Tc_CB8rkBdGm0mGPrWoAnKUJA_16_2"/>
      <w:bookmarkStart w:id="223" w:name="Tc_Fo5vzljLD0iwH9exOrI05Q_16_0"/>
      <w:bookmarkStart w:id="224" w:name="Tc_N1ZMhrE5202OZrBA2kCKHg_15_11"/>
      <w:bookmarkStart w:id="225" w:name="Tc_7l6E-58N4EWygr6_XMC-lw_15_5"/>
      <w:bookmarkStart w:id="226" w:name="Tc_M7cj-mP2fUaIcdnyUWTJhA_15_0"/>
      <w:bookmarkStart w:id="227" w:name="Tc_eFoveqkum02Jsv5k-gWLGw_14_14"/>
      <w:bookmarkStart w:id="228" w:name="Tc_4XG5GhLnBkG_cROas3AUjg_14_11"/>
      <w:bookmarkStart w:id="229" w:name="Tc_u5xLLp5CTEqfaagavAqmsw_14_0"/>
      <w:bookmarkStart w:id="230" w:name="Tc_4xhaAjYKH0mkT2C9PZsC0w_13_16"/>
      <w:bookmarkStart w:id="231" w:name="Tc_Yxr0FzrA20Whf5EZ6wWjVA_13_13"/>
      <w:bookmarkStart w:id="232" w:name="Tc_Z-UsR6iVrEaLYzySh3jF2A_13_10"/>
      <w:bookmarkStart w:id="233" w:name="Tc_5BlXEIfYfE2i0_1889hY3A_13_7"/>
      <w:bookmarkStart w:id="234" w:name="Tc_6mNvduOz702-oD-JtXOJMg_13_4"/>
      <w:bookmarkStart w:id="235" w:name="Tc_gcuhqWhHpEW-ZfMl6Su7hw_13_0"/>
      <w:bookmarkStart w:id="236" w:name="Tc_LXHkKNn42E6Wg7DoU8AdxA_11_16"/>
      <w:bookmarkStart w:id="237" w:name="Tc_AbYKAkRo8ES-MYjO3RFdfQ_11_13"/>
      <w:bookmarkStart w:id="238" w:name="Tc_zKvYFo1xx0mAV8ERZXJ1Iw_11_10"/>
      <w:bookmarkStart w:id="239" w:name="Tc_THgd1nvVb0CDeLaUrqRDFQ_11_7"/>
      <w:bookmarkStart w:id="240" w:name="Tc_vtbzERA6Rka4gmIgKaYyHQ_11_4"/>
      <w:bookmarkStart w:id="241" w:name="Tc_4RJmbZOKMUiyL3v6kBhnEA_11_0"/>
      <w:bookmarkStart w:id="242" w:name="Tc_uf2MdX_b3keCSW8Gk37QJg_10_14"/>
      <w:bookmarkStart w:id="243" w:name="Tc_Ozz3lma0dkiO2cCiW5u1jA_10_8"/>
      <w:bookmarkStart w:id="244" w:name="Tc_zS3Yx3AnBEuivEBi1DAd3Q_10_5"/>
      <w:bookmarkStart w:id="245" w:name="Tc_U6ejFyRNt0yN0JB-8mkwdw_10_2"/>
      <w:bookmarkStart w:id="246" w:name="Tc_ydULF2wrykGOTP8rkgeX0w_10_0"/>
      <w:bookmarkStart w:id="247" w:name="Tc_3VWADTnsbUWmFY9zuX69MA_9_14"/>
      <w:bookmarkStart w:id="248" w:name="Tc_u5eguWOZlUqq_ksWNm0raQ_9_11"/>
      <w:bookmarkStart w:id="249" w:name="Tc_eR5eCaFBR0G27xYi32CJBQ_9_5"/>
      <w:bookmarkStart w:id="250" w:name="Tc_nwLcUuRgUE6qK5g4xNfecg_9_2"/>
      <w:bookmarkStart w:id="251" w:name="Tc_Zo1S6XJqLkqx0bo6EYwJgQ_9_0"/>
      <w:bookmarkStart w:id="252" w:name="Tc_LAw-A8EJ2Eq8ZzNbGW5vJQ_8_14"/>
      <w:bookmarkStart w:id="253" w:name="Tc_9glfh3-ZlEK3-2K8IIVl8Q_8_11"/>
      <w:bookmarkStart w:id="254" w:name="Tc_zpQi_lfxTkGvcKsuzEglvA_8_5"/>
      <w:bookmarkStart w:id="255" w:name="Tc_KW_WXVW_i0WYswUnKGBulA_8_2"/>
      <w:bookmarkStart w:id="256" w:name="Tc_7GKHieZjB0eJd3H-gR0gTA_8_0"/>
      <w:bookmarkStart w:id="257" w:name="Tc_fMUagttw40idBgbSMV6Tqg_7_14"/>
      <w:bookmarkStart w:id="258" w:name="Tc_GccNnkY3rkufvJBK_zvcvQ_7_11"/>
      <w:bookmarkStart w:id="259" w:name="Tc_6SS0mVN8b0-frkEN4AdBWw_7_5"/>
      <w:bookmarkStart w:id="260" w:name="Tc_u2KzalyTakK0SX2rrZt1PQ_7_0"/>
      <w:bookmarkStart w:id="261" w:name="Tc_ZHDSaDoyxkaJdEJ31WsJGg_6_14"/>
      <w:bookmarkStart w:id="262" w:name="Tc_7Q8HwOqKxk20iQyO5j9H1Q_6_11"/>
      <w:bookmarkStart w:id="263" w:name="Tc_SsQc0ldgh0OJWtjKzMBDFg_6_0"/>
      <w:bookmarkStart w:id="264" w:name="Tc_GO0Uig_51UuPYIe8z6uFhA_5_16"/>
      <w:bookmarkStart w:id="265" w:name="Tc_bMZJkNBgr0OfDPAu1O8aNQ_5_13"/>
      <w:bookmarkStart w:id="266" w:name="Tc_DrSLu2RYPkuW64SEl4hASQ_5_10"/>
      <w:bookmarkStart w:id="267" w:name="Tc_gGCDWaQltkqzq05Wcu4z_w_5_7"/>
      <w:bookmarkStart w:id="268" w:name="Tc_3ICW5Z2ThE2PxBGAyHgYqg_5_4"/>
      <w:bookmarkStart w:id="269" w:name="Tc_3mMXUeNwc0OVQjDzZzxZyg_5_0"/>
      <w:bookmarkStart w:id="270" w:name="Tc_kqoG__0ffEyI8h6pb7tgtA_4_16"/>
      <w:bookmarkStart w:id="271" w:name="Tc_WvyzSiC0DES3OnG2YXN9xQ_4_13"/>
      <w:bookmarkStart w:id="272" w:name="Tc_nY-wLxgwvU-1wfSt_JyY0A_4_10"/>
      <w:bookmarkStart w:id="273" w:name="Tc_rGlUVeY420qlbAEkU5XHsA_4_7"/>
      <w:bookmarkStart w:id="274" w:name="Tc_XgYOJIOAzkS84CYr6cgW5w_4_5"/>
      <w:bookmarkStart w:id="275" w:name="Tc_epib-yLEVkmKXqbNXLsZKA_4_2"/>
      <w:bookmarkStart w:id="276" w:name="Tc_ZLv86z6YMkaLIUGTGiZY2g_3_16"/>
      <w:bookmarkStart w:id="277" w:name="Tc_HGRFLmAUBkGeYEt15GyWnA_3_13"/>
      <w:bookmarkStart w:id="278" w:name="Tc_rNjWYwt0dk-dTSnypnN4tA_3_10"/>
      <w:bookmarkStart w:id="279" w:name="Tc_596GREoIeU6nFO4-cKn-5A_3_7"/>
      <w:bookmarkStart w:id="280" w:name="Tc_V6bcqT77BECjPdDbNqV_CA_3_2"/>
      <w:bookmarkStart w:id="281" w:name="Tc_U3n_vX3Qc0CDBya4VZtL3A_2_16"/>
      <w:bookmarkStart w:id="282" w:name="Tc_zPG7at7ERU2Z0ptFOJ1ODQ_2_13"/>
      <w:bookmarkStart w:id="283" w:name="Tc_qANB_m1i1U6ZuIcFIjrQCQ_2_7"/>
      <w:bookmarkStart w:id="284" w:name="Tc_7TFQ_Tl1Ik2_31hArYCZ4Q_1_13"/>
      <w:bookmarkStart w:id="285" w:name="_c09a0fcd_8f61_4e1f_994d_86002c2a0260"/>
      <w:bookmarkStart w:id="286" w:name="Tc_hIgqB4BgrEuEifYkP-YjkQ_19_16"/>
      <w:bookmarkStart w:id="287" w:name="Tc_EvtPRkd_lUyyta8nZA_gcg_19_13"/>
      <w:bookmarkStart w:id="288" w:name="Tc_F9AHmakOR0S2SOpnQkQOfg_19_10"/>
      <w:bookmarkStart w:id="289" w:name="Tc_No-wxKwNnkKSiDjLSlxpIQ_19_7"/>
      <w:bookmarkStart w:id="290" w:name="Tc_EMWGmGuGi0K5_kACzteM7w_19_4"/>
      <w:bookmarkStart w:id="291" w:name="Tc_9BxuFlAuAk6LI2j2zBHEbQ_19_0"/>
      <w:bookmarkStart w:id="292" w:name="Tc_OYagOXHutUibnLGJQArrdw_18_11"/>
      <w:bookmarkStart w:id="293" w:name="Tc_Tb3LB3UX8kqXfHNIzlqkwg_18_8"/>
      <w:bookmarkStart w:id="294" w:name="Tc_T2V9gC7dvUaLrS4vx2tqfA_18_5"/>
      <w:bookmarkStart w:id="295" w:name="Tc_tr8rksHfH0mAGDa10fx9vQ_18_2"/>
      <w:bookmarkStart w:id="296" w:name="Tc__ueN0MI7Tk6o1USAaSwlEQ_18_0"/>
      <w:bookmarkStart w:id="297" w:name="Tc_ybGp1TRJsE6vSbyeiPQ17w_17_14"/>
      <w:bookmarkStart w:id="298" w:name="Tc_VD1LgmMObkaoMFTbDbDcJg_17_8"/>
      <w:bookmarkStart w:id="299" w:name="Tc_umZxvGcTP0u6yDliYB6gsg_17_5"/>
      <w:bookmarkStart w:id="300" w:name="Tc__T_wXozPQ0aoHbsvoRYDIQ_17_2"/>
      <w:bookmarkStart w:id="301" w:name="Tc_WZzzdmFDH0K-T-CIrsTWjQ_17_0"/>
      <w:bookmarkStart w:id="302" w:name="Tc_maYtrlL9qUS9zyxpGUdkTg_16_14"/>
      <w:bookmarkStart w:id="303" w:name="Tc_nPlgLzh0NUGXM4eGPDTjwg_16_11"/>
      <w:bookmarkStart w:id="304" w:name="Tc_oN9BALeFMkSyjeS0iehgHA_16_5"/>
      <w:bookmarkStart w:id="305" w:name="Tc_CB8rkBdGm0mGPrWoAnKUJA_16_2"/>
      <w:bookmarkStart w:id="306" w:name="Tc_Fo5vzljLD0iwH9exOrI05Q_16_0"/>
      <w:bookmarkStart w:id="307" w:name="Tc_N1ZMhrE5202OZrBA2kCKHg_15_11"/>
      <w:bookmarkStart w:id="308" w:name="Tc_7l6E-58N4EWygr6_XMC-lw_15_5"/>
      <w:bookmarkStart w:id="309" w:name="Tc_M7cj-mP2fUaIcdnyUWTJhA_15_0"/>
      <w:bookmarkStart w:id="310" w:name="Tc_eFoveqkum02Jsv5k-gWLGw_14_14"/>
      <w:bookmarkStart w:id="311" w:name="Tc_4XG5GhLnBkG_cROas3AUjg_14_11"/>
      <w:bookmarkStart w:id="312" w:name="Tc_u5xLLp5CTEqfaagavAqmsw_14_0"/>
      <w:bookmarkStart w:id="313" w:name="Tc_4xhaAjYKH0mkT2C9PZsC0w_13_16"/>
      <w:bookmarkStart w:id="314" w:name="Tc_Yxr0FzrA20Whf5EZ6wWjVA_13_13"/>
      <w:bookmarkStart w:id="315" w:name="Tc_Z-UsR6iVrEaLYzySh3jF2A_13_10"/>
      <w:bookmarkStart w:id="316" w:name="Tc_5BlXEIfYfE2i0_1889hY3A_13_7"/>
      <w:bookmarkStart w:id="317" w:name="Tc_6mNvduOz702-oD-JtXOJMg_13_4"/>
      <w:bookmarkStart w:id="318" w:name="Tc_gcuhqWhHpEW-ZfMl6Su7hw_13_0"/>
      <w:bookmarkStart w:id="319" w:name="Tc_LXHkKNn42E6Wg7DoU8AdxA_11_16"/>
      <w:bookmarkStart w:id="320" w:name="Tc_AbYKAkRo8ES-MYjO3RFdfQ_11_13"/>
      <w:bookmarkStart w:id="321" w:name="Tc_zKvYFo1xx0mAV8ERZXJ1Iw_11_10"/>
      <w:bookmarkStart w:id="322" w:name="Tc_THgd1nvVb0CDeLaUrqRDFQ_11_7"/>
      <w:bookmarkStart w:id="323" w:name="Tc_vtbzERA6Rka4gmIgKaYyHQ_11_4"/>
      <w:bookmarkStart w:id="324" w:name="Tc_4RJmbZOKMUiyL3v6kBhnEA_11_0"/>
      <w:bookmarkStart w:id="325" w:name="Tc_uf2MdX_b3keCSW8Gk37QJg_10_14"/>
      <w:bookmarkStart w:id="326" w:name="Tc_Ozz3lma0dkiO2cCiW5u1jA_10_8"/>
      <w:bookmarkStart w:id="327" w:name="Tc_zS3Yx3AnBEuivEBi1DAd3Q_10_5"/>
      <w:bookmarkStart w:id="328" w:name="Tc_U6ejFyRNt0yN0JB-8mkwdw_10_2"/>
      <w:bookmarkStart w:id="329" w:name="Tc_ydULF2wrykGOTP8rkgeX0w_10_0"/>
      <w:bookmarkStart w:id="330" w:name="Tc_3VWADTnsbUWmFY9zuX69MA_9_14"/>
      <w:bookmarkStart w:id="331" w:name="Tc_u5eguWOZlUqq_ksWNm0raQ_9_11"/>
      <w:bookmarkStart w:id="332" w:name="Tc_eR5eCaFBR0G27xYi32CJBQ_9_5"/>
      <w:bookmarkStart w:id="333" w:name="Tc_nwLcUuRgUE6qK5g4xNfecg_9_2"/>
      <w:bookmarkStart w:id="334" w:name="Tc_Zo1S6XJqLkqx0bo6EYwJgQ_9_0"/>
      <w:bookmarkStart w:id="335" w:name="Tc_LAw-A8EJ2Eq8ZzNbGW5vJQ_8_14"/>
      <w:bookmarkStart w:id="336" w:name="Tc_9glfh3-ZlEK3-2K8IIVl8Q_8_11"/>
      <w:bookmarkStart w:id="337" w:name="Tc_zpQi_lfxTkGvcKsuzEglvA_8_5"/>
      <w:bookmarkStart w:id="338" w:name="Tc_KW_WXVW_i0WYswUnKGBulA_8_2"/>
      <w:bookmarkStart w:id="339" w:name="Tc_7GKHieZjB0eJd3H-gR0gTA_8_0"/>
      <w:bookmarkStart w:id="340" w:name="Tc_fMUagttw40idBgbSMV6Tqg_7_14"/>
      <w:bookmarkStart w:id="341" w:name="Tc_GccNnkY3rkufvJBK_zvcvQ_7_11"/>
      <w:bookmarkStart w:id="342" w:name="Tc_6SS0mVN8b0-frkEN4AdBWw_7_5"/>
      <w:bookmarkStart w:id="343" w:name="Tc_u2KzalyTakK0SX2rrZt1PQ_7_0"/>
      <w:bookmarkStart w:id="344" w:name="Tc_ZHDSaDoyxkaJdEJ31WsJGg_6_14"/>
      <w:bookmarkStart w:id="345" w:name="Tc_7Q8HwOqKxk20iQyO5j9H1Q_6_11"/>
      <w:bookmarkStart w:id="346" w:name="Tc_SsQc0ldgh0OJWtjKzMBDFg_6_0"/>
      <w:bookmarkStart w:id="347" w:name="Tc_GO0Uig_51UuPYIe8z6uFhA_5_16"/>
      <w:bookmarkStart w:id="348" w:name="Tc_bMZJkNBgr0OfDPAu1O8aNQ_5_13"/>
      <w:bookmarkStart w:id="349" w:name="Tc_DrSLu2RYPkuW64SEl4hASQ_5_10"/>
      <w:bookmarkStart w:id="350" w:name="Tc_gGCDWaQltkqzq05Wcu4z_w_5_7"/>
      <w:bookmarkStart w:id="351" w:name="Tc_3ICW5Z2ThE2PxBGAyHgYqg_5_4"/>
      <w:bookmarkStart w:id="352" w:name="Tc_3mMXUeNwc0OVQjDzZzxZyg_5_0"/>
      <w:bookmarkStart w:id="353" w:name="Tc_kqoG__0ffEyI8h6pb7tgtA_4_16"/>
      <w:bookmarkStart w:id="354" w:name="Tc_WvyzSiC0DES3OnG2YXN9xQ_4_13"/>
      <w:bookmarkStart w:id="355" w:name="Tc_nY-wLxgwvU-1wfSt_JyY0A_4_10"/>
      <w:bookmarkStart w:id="356" w:name="Tc_rGlUVeY420qlbAEkU5XHsA_4_7"/>
      <w:bookmarkStart w:id="357" w:name="Tc_XgYOJIOAzkS84CYr6cgW5w_4_5"/>
      <w:bookmarkStart w:id="358" w:name="Tc_epib-yLEVkmKXqbNXLsZKA_4_2"/>
      <w:bookmarkStart w:id="359" w:name="Tc_ZLv86z6YMkaLIUGTGiZY2g_3_16"/>
      <w:bookmarkStart w:id="360" w:name="Tc_HGRFLmAUBkGeYEt15GyWnA_3_13"/>
      <w:bookmarkStart w:id="361" w:name="Tc_rNjWYwt0dk-dTSnypnN4tA_3_10"/>
      <w:bookmarkStart w:id="362" w:name="Tc_596GREoIeU6nFO4-cKn-5A_3_7"/>
      <w:bookmarkStart w:id="363" w:name="Tc_V6bcqT77BECjPdDbNqV_CA_3_2"/>
      <w:bookmarkStart w:id="364" w:name="Tc_U3n_vX3Qc0CDBya4VZtL3A_2_16"/>
      <w:bookmarkStart w:id="365" w:name="Tc_zPG7at7ERU2Z0ptFOJ1ODQ_2_13"/>
      <w:bookmarkStart w:id="366" w:name="Tc_qANB_m1i1U6ZuIcFIjrQCQ_2_7"/>
      <w:bookmarkStart w:id="367" w:name="Tc_7TFQ_Tl1Ik2_31hArYCZ4Q_1_13"/>
      <w:bookmarkStart w:id="368" w:name="_c09a0fcd_8f61_4e1f_994d_86002c2a0260"/>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tbl>
      <w:tblPr>
        <w:tblW w:w="10205" w:type="dxa"/>
        <w:jc w:val="left"/>
        <w:tblInd w:w="0" w:type="dxa"/>
        <w:tblLayout w:type="fixed"/>
        <w:tblCellMar>
          <w:top w:w="0" w:type="dxa"/>
          <w:left w:w="0" w:type="dxa"/>
          <w:bottom w:w="0" w:type="dxa"/>
          <w:right w:w="0" w:type="dxa"/>
        </w:tblCellMar>
      </w:tblPr>
      <w:tblGrid>
        <w:gridCol w:w="2879"/>
        <w:gridCol w:w="326"/>
        <w:gridCol w:w="796"/>
        <w:gridCol w:w="326"/>
        <w:gridCol w:w="181"/>
        <w:gridCol w:w="586"/>
        <w:gridCol w:w="326"/>
        <w:gridCol w:w="181"/>
        <w:gridCol w:w="601"/>
        <w:gridCol w:w="326"/>
        <w:gridCol w:w="203"/>
        <w:gridCol w:w="728"/>
        <w:gridCol w:w="326"/>
        <w:gridCol w:w="350"/>
        <w:gridCol w:w="731"/>
        <w:gridCol w:w="326"/>
        <w:gridCol w:w="229"/>
        <w:gridCol w:w="784"/>
      </w:tblGrid>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05460" cy="175260"/>
                      <wp:effectExtent l="0" t="0" r="0" b="0"/>
                      <wp:wrapNone/>
                      <wp:docPr id="26" name="Frame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14935" cy="175260"/>
                      <wp:effectExtent l="0" t="0" r="0" b="0"/>
                      <wp:wrapNone/>
                      <wp:docPr id="28" name="Frame2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72110" cy="175260"/>
                      <wp:effectExtent l="0" t="0" r="0" b="0"/>
                      <wp:wrapNone/>
                      <wp:docPr id="29" name="Frame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14935" cy="175260"/>
                      <wp:effectExtent l="0" t="0" r="0" b="0"/>
                      <wp:wrapNone/>
                      <wp:docPr id="31" name="Frame3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81635" cy="175260"/>
                      <wp:effectExtent l="0" t="0" r="0" b="0"/>
                      <wp:wrapNone/>
                      <wp:docPr id="32" name="Frame3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8905" cy="175260"/>
                      <wp:effectExtent l="0" t="0" r="0" b="0"/>
                      <wp:wrapNone/>
                      <wp:docPr id="34" name="Frame34"/>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62280" cy="175260"/>
                      <wp:effectExtent l="0" t="0" r="0" b="0"/>
                      <wp:wrapNone/>
                      <wp:docPr id="35" name="Frame35"/>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2250" cy="175260"/>
                      <wp:effectExtent l="0" t="0" r="0" b="0"/>
                      <wp:wrapNone/>
                      <wp:docPr id="37" name="Frame3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64185" cy="175260"/>
                      <wp:effectExtent l="0" t="0" r="0" b="0"/>
                      <wp:wrapNone/>
                      <wp:docPr id="38" name="Frame38"/>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5415" cy="175260"/>
                      <wp:effectExtent l="0" t="0" r="0" b="0"/>
                      <wp:wrapNone/>
                      <wp:docPr id="40" name="Frame4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97840" cy="175260"/>
                      <wp:effectExtent l="0" t="0" r="0" b="0"/>
                      <wp:wrapNone/>
                      <wp:docPr id="41" name="Frame41"/>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13" w:type="dxa"/>
            <w:gridSpan w:val="2"/>
            <w:tcBorders/>
            <w:vAlign w:val="center"/>
          </w:tcPr>
          <w:p>
            <w:pPr>
              <w:pStyle w:val="TableContents"/>
              <w:bidi w:val="0"/>
              <w:spacing w:before="0" w:after="1"/>
              <w:ind w:left="0" w:right="0" w:hanging="0"/>
              <w:jc w:val="center"/>
              <w:rPr/>
            </w:pPr>
            <w:r>
              <w:rPr/>
              <w:t>​</w:t>
            </w:r>
          </w:p>
        </w:tc>
      </w:tr>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13"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326" w:type="dxa"/>
            <w:tcBorders/>
            <w:vAlign w:val="center"/>
          </w:tcPr>
          <w:p>
            <w:pPr>
              <w:pStyle w:val="TableContents"/>
              <w:bidi w:val="0"/>
              <w:spacing w:before="0" w:after="1"/>
              <w:ind w:left="0" w:right="0" w:hanging="0"/>
              <w:jc w:val="center"/>
              <w:rPr/>
            </w:pPr>
            <w:r>
              <w:rPr/>
              <w:t>​</w:t>
            </w:r>
          </w:p>
        </w:tc>
        <w:tc>
          <w:tcPr>
            <w:tcW w:w="1013"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capital</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deficit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loss</w:t>
            </w:r>
          </w:p>
        </w:tc>
        <w:tc>
          <w:tcPr>
            <w:tcW w:w="326" w:type="dxa"/>
            <w:tcBorders/>
            <w:vAlign w:val="center"/>
          </w:tcPr>
          <w:p>
            <w:pPr>
              <w:pStyle w:val="TableContents"/>
              <w:bidi w:val="0"/>
              <w:spacing w:before="0" w:after="1"/>
              <w:ind w:left="0" w:right="0" w:hanging="0"/>
              <w:jc w:val="center"/>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equity</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as of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21,593,173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565,822</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(499,567)</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3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(210)</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66,261</w:t>
            </w:r>
          </w:p>
        </w:tc>
      </w:tr>
      <w:tr>
        <w:trPr/>
        <w:tc>
          <w:tcPr>
            <w:tcW w:w="287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79,377</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66</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67</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Proceeds from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39,807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406</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406</w:t>
            </w:r>
          </w:p>
        </w:tc>
      </w:tr>
      <w:tr>
        <w:trPr/>
        <w:tc>
          <w:tcPr>
            <w:tcW w:w="287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2,544</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2,544</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w:t>
            </w:r>
          </w:p>
        </w:tc>
      </w:tr>
      <w:tr>
        <w:trPr/>
        <w:tc>
          <w:tcPr>
            <w:tcW w:w="287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 for the three months ended June 30, 2024</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(14,029)</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(14,029)</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Balances as of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21,712,357</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217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568,837</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(513,596)</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(210)</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55,248</w:t>
            </w:r>
          </w:p>
        </w:tc>
      </w:tr>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center"/>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50" w:type="dxa"/>
            <w:tcBorders/>
            <w:vAlign w:val="center"/>
          </w:tcPr>
          <w:p>
            <w:pPr>
              <w:pStyle w:val="TableContents"/>
              <w:bidi w:val="0"/>
              <w:spacing w:before="0" w:after="1"/>
              <w:ind w:left="0" w:right="0" w:hanging="0"/>
              <w:jc w:val="center"/>
              <w:rPr/>
            </w:pPr>
            <w:r>
              <w:rPr/>
              <w:t>​</w:t>
            </w:r>
          </w:p>
        </w:tc>
        <w:tc>
          <w:tcPr>
            <w:tcW w:w="7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9" w:type="dxa"/>
            <w:tcBorders/>
            <w:vAlign w:val="center"/>
          </w:tcPr>
          <w:p>
            <w:pPr>
              <w:pStyle w:val="TableContents"/>
              <w:bidi w:val="0"/>
              <w:spacing w:before="0" w:after="1"/>
              <w:ind w:left="0" w:right="0" w:hanging="0"/>
              <w:jc w:val="center"/>
              <w:rPr/>
            </w:pPr>
            <w:r>
              <w:rPr/>
              <w:t>​</w:t>
            </w:r>
          </w:p>
        </w:tc>
        <w:tc>
          <w:tcPr>
            <w:tcW w:w="784" w:type="dxa"/>
            <w:tcBorders/>
            <w:vAlign w:val="center"/>
          </w:tcPr>
          <w:p>
            <w:pPr>
              <w:pStyle w:val="TableContents"/>
              <w:bidi w:val="0"/>
              <w:spacing w:before="0" w:after="1"/>
              <w:ind w:left="0" w:right="0" w:hanging="0"/>
              <w:jc w:val="center"/>
              <w:rPr/>
            </w:pPr>
            <w:r>
              <w:rPr/>
              <w:t>​</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as of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20,708,940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547,195</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(447,556)</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3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(204)</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99,642</w:t>
            </w:r>
          </w:p>
        </w:tc>
      </w:tr>
      <w:tr>
        <w:trPr/>
        <w:tc>
          <w:tcPr>
            <w:tcW w:w="287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7,549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27</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28</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Proceeds from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34,421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w:t>
            </w:r>
          </w:p>
        </w:tc>
      </w:tr>
      <w:tr>
        <w:trPr/>
        <w:tc>
          <w:tcPr>
            <w:tcW w:w="287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1,476</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1,476</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 for the three months ended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(11,651)</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(11,651)</w:t>
            </w:r>
          </w:p>
        </w:tc>
      </w:tr>
      <w:tr>
        <w:trPr/>
        <w:tc>
          <w:tcPr>
            <w:tcW w:w="287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Cumulative translation adjustment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w:t>
            </w:r>
          </w:p>
        </w:tc>
      </w:tr>
      <w:tr>
        <w:trPr/>
        <w:tc>
          <w:tcPr>
            <w:tcW w:w="2879"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Balances as of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20,750,910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549,150</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(459,207)</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(187)</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89,964</w:t>
            </w:r>
          </w:p>
        </w:tc>
      </w:tr>
      <w:tr>
        <w:trPr/>
        <w:tc>
          <w:tcPr>
            <w:tcW w:w="28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69" w:name="Tc_AHXHOR6J60e1EtAM13d44w_21_16"/>
      <w:bookmarkStart w:id="370" w:name="Tc_ydW_oWR4sEee0W6dzpOBng_21_13"/>
      <w:bookmarkStart w:id="371" w:name="Tc_NNYLB6U09Uu8rVDGiCLikQ_21_10"/>
      <w:bookmarkStart w:id="372" w:name="Tc_IV_I6IybP0ayRUmpvA3_rQ_21_7"/>
      <w:bookmarkStart w:id="373" w:name="Tc_U89p7-cqNkecM2quKDgdgQ_21_4"/>
      <w:bookmarkStart w:id="374" w:name="Tc_VprvvJj1mUiAP2NJX-H-8w_21_0"/>
      <w:bookmarkStart w:id="375" w:name="Tc_mjPW0F5YSEWFkFTQVaDuCA_20_11"/>
      <w:bookmarkStart w:id="376" w:name="Tc_5isRxtiQZEuoTaZRbOXhgg_20_8"/>
      <w:bookmarkStart w:id="377" w:name="Tc_mbzYhfuXT0uWOx7jUjH5pg_20_5"/>
      <w:bookmarkStart w:id="378" w:name="Tc_KahOuuX3Q0OuZNHdGn0FYA_20_2"/>
      <w:bookmarkStart w:id="379" w:name="Tc_nH5HQ0oPzUaTNYf44Io1TA_20_0"/>
      <w:bookmarkStart w:id="380" w:name="Tc_RjfrU-4b5EeFK3J0_NLvrg_19_14"/>
      <w:bookmarkStart w:id="381" w:name="Tc_ZvQ-rxdFFU-McUrJZXzgvg_19_8"/>
      <w:bookmarkStart w:id="382" w:name="Tc_RSYxYVp86UeoVZcYUgc12g_19_5"/>
      <w:bookmarkStart w:id="383" w:name="Tc_zMFUN4sYekiocdJtagkJ8A_19_2"/>
      <w:bookmarkStart w:id="384" w:name="Tc_f6umIXtdv0KoUu4B_Tfydg_19_0"/>
      <w:bookmarkStart w:id="385" w:name="Tc_J8Dn0xPWLECaztEjzANKdA_18_14"/>
      <w:bookmarkStart w:id="386" w:name="Tc_NsvfbOdfZUu8EPaM0KeCZg_18_11"/>
      <w:bookmarkStart w:id="387" w:name="Tc_L5HN7ahek0aW6lHC5kVx_A_18_5"/>
      <w:bookmarkStart w:id="388" w:name="Tc_LseIHdLa9EKFSl3dXMTglg_18_2"/>
      <w:bookmarkStart w:id="389" w:name="Tc_TFctTWcuFUS5_9gFihBfWw_18_0"/>
      <w:bookmarkStart w:id="390" w:name="Tc_tOLDisSh6EeJAWe15R9StQ_17_14"/>
      <w:bookmarkStart w:id="391" w:name="Tc_BZwOXT5DYUSTTme2WjoWgQ_17_11"/>
      <w:bookmarkStart w:id="392" w:name="Tc_AdwXwIs5SEub267GBqNvsQ_17_5"/>
      <w:bookmarkStart w:id="393" w:name="Tc_q5avQH7bgUOhHN5jDbY02Q_17_0"/>
      <w:bookmarkStart w:id="394" w:name="Tc_3sa-54XTR0i0MyLIPJ1ZqA_16_14"/>
      <w:bookmarkStart w:id="395" w:name="Tc_Q1iqw36gDEKn3JjZOKTZOA_16_11"/>
      <w:bookmarkStart w:id="396" w:name="Tc_ZDZE7-m9yEub3OemgzFuPg_16_0"/>
      <w:bookmarkStart w:id="397" w:name="Tc_yf7XxuOu8UOUcgIDZ0CkGQ_15_16"/>
      <w:bookmarkStart w:id="398" w:name="Tc_Ll3UEmO5X0SCG4vCE3ZvOg_15_13"/>
      <w:bookmarkStart w:id="399" w:name="Tc_Pxvh0O-Cd0uDRIAA0KZuxA_15_10"/>
      <w:bookmarkStart w:id="400" w:name="Tc_a_pAYLKBBUawg75Hv-sYJg_15_7"/>
      <w:bookmarkStart w:id="401" w:name="Tc_by_6tZ3HV0et6tiCQArNPg_15_4"/>
      <w:bookmarkStart w:id="402" w:name="Tc_LJ1SRplY5kKutxhabUXEwg_15_0"/>
      <w:bookmarkStart w:id="403" w:name="Tc_sCEbMZgSZE-24eD4L9yzxQ_13_16"/>
      <w:bookmarkStart w:id="404" w:name="Tc_C6OvJADToE-UFL3kVPF0wA_13_13"/>
      <w:bookmarkStart w:id="405" w:name="Tc_Y50f9eHCV0-gItdZHWq-XQ_13_10"/>
      <w:bookmarkStart w:id="406" w:name="Tc_fZaXRHK8JEKredf371SSOA_13_7"/>
      <w:bookmarkStart w:id="407" w:name="Tc_MqEtfggUWEWuS6HcDfv_Kw_13_4"/>
      <w:bookmarkStart w:id="408" w:name="Tc_JW2GydJ0kUajbYkCsCFWfQ_13_0"/>
      <w:bookmarkStart w:id="409" w:name="Tc_yfUGdj9RE02tu-Z_z2wyVg_12_11"/>
      <w:bookmarkStart w:id="410" w:name="Tc_OLN8mMG3HUSkBWYwAoI_iA_12_8"/>
      <w:bookmarkStart w:id="411" w:name="Tc_-HM0CDErVEiGgXX82rVvHQ_12_5"/>
      <w:bookmarkStart w:id="412" w:name="Tc_j3qC9oC7wEm6Cpn8lc9daw_12_2"/>
      <w:bookmarkStart w:id="413" w:name="Tc_CBmQgcFVCESibaRFoLe2nA_12_0"/>
      <w:bookmarkStart w:id="414" w:name="Tc_00WEJJMSi0Gqs1eEDlmB8A_11_14"/>
      <w:bookmarkStart w:id="415" w:name="Tc_PD7r7ZaPd0CkY4lQfgVXEQ_11_8"/>
      <w:bookmarkStart w:id="416" w:name="Tc_MyONRe0D40eIe_DwAKrPXg_11_5"/>
      <w:bookmarkStart w:id="417" w:name="Tc_-_qZiG2a3kKxGjK2lL52xw_11_2"/>
      <w:bookmarkStart w:id="418" w:name="Tc_nULQb9lZoEemlt67j5mtqg_11_0"/>
      <w:bookmarkStart w:id="419" w:name="Tc_Gl5cHQJj5Ea8jMeuAbsLDw_10_17"/>
      <w:bookmarkStart w:id="420" w:name="Tc_zq8GPoTAYUu-M8bq-DqLAg_10_14"/>
      <w:bookmarkStart w:id="421" w:name="Tc__IQRbTn7tkqzaxecv09tdQ_10_11"/>
      <w:bookmarkStart w:id="422" w:name="Tc_HKjhap_yi0K8euZWnOKcvA_10_0"/>
      <w:bookmarkStart w:id="423" w:name="Tc_HUOJfoAZvECBKfPdOwGwvA_9_14"/>
      <w:bookmarkStart w:id="424" w:name="Tc_V4gcu-rd80GxTsc1nF4XFA_9_11"/>
      <w:bookmarkStart w:id="425" w:name="Tc_7jA8U2yXjUCdz3dLrWezzw_9_5"/>
      <w:bookmarkStart w:id="426" w:name="Tc_lc7mFrrrb0KRwD-b5oHWOQ_9_0"/>
      <w:bookmarkStart w:id="427" w:name="Tc_kcHuEVEsLk-dOaG_wih3ow_8_14"/>
      <w:bookmarkStart w:id="428" w:name="Tc_FPcOPJsIlEy-A-FxLBtKnw_8_11"/>
      <w:bookmarkStart w:id="429" w:name="Tc_U4AAgng2nkmcgm4kiTgYNw_8_5"/>
      <w:bookmarkStart w:id="430" w:name="Tc_Ue9oT3qFx0iZbxvXMTir4A_8_2"/>
      <w:bookmarkStart w:id="431" w:name="Tc_pKBMSsKgkEeooSnozTzYAw_8_0"/>
      <w:bookmarkStart w:id="432" w:name="Tc_K5RQ2235Z0eOdGJ8JATCCg_7_14"/>
      <w:bookmarkStart w:id="433" w:name="Tc_CdwDGYrL7E6kuSYe9FuxHQ_7_11"/>
      <w:bookmarkStart w:id="434" w:name="Tc_4vYZI0YLGESVmS9m1LEfng_7_5"/>
      <w:bookmarkStart w:id="435" w:name="Tc_vHC2V7iADEKlew9CtzHsSQ_7_0"/>
      <w:bookmarkStart w:id="436" w:name="Tc_96wI1lyq3E-QT-3Lzgu2lg_6_14"/>
      <w:bookmarkStart w:id="437" w:name="Tc_JV5g1fvd_kqmzld4wDex-w_6_11"/>
      <w:bookmarkStart w:id="438" w:name="Tc_BVG63L4eikGKuQYS3wOVhw_6_0"/>
      <w:bookmarkStart w:id="439" w:name="Tc_CzxnIM0HSE2kXt3RMb1fKg_5_16"/>
      <w:bookmarkStart w:id="440" w:name="Tc_g4z7aassb0CdJGzPuXVMRw_5_13"/>
      <w:bookmarkStart w:id="441" w:name="Tc_Gaib-kZu-0e0B78CmTFuPQ_5_10"/>
      <w:bookmarkStart w:id="442" w:name="Tc_Lif3vuM_SE2hf6Y5rwJs8Q_5_7"/>
      <w:bookmarkStart w:id="443" w:name="Tc_iIy-q49TtkGd6G942kzqfg_5_4"/>
      <w:bookmarkStart w:id="444" w:name="Tc__TX0nZujAUiJgWkqtF-6YQ_5_0"/>
      <w:bookmarkStart w:id="445" w:name="Tc_9n0k5Zs8nkqy_sLFBvQq-w_4_16"/>
      <w:bookmarkStart w:id="446" w:name="Tc_rJZmqa4nKkKFinzPfgzz4A_4_13"/>
      <w:bookmarkStart w:id="447" w:name="Tc_F7fvKPzEKEqoQFC_KiXjDg_4_10"/>
      <w:bookmarkStart w:id="448" w:name="Tc_HgpoOALIs0ap09UESHbogw_4_7"/>
      <w:bookmarkStart w:id="449" w:name="Tc_Xb1JLx1AfUud4sLAfT-iYA_4_5"/>
      <w:bookmarkStart w:id="450" w:name="Tc_RIuvz7ItaUquWI5ho7XyOA_4_2"/>
      <w:bookmarkStart w:id="451" w:name="Tc_P5m0d2mCykCJsAkU-WR4Lg_3_16"/>
      <w:bookmarkStart w:id="452" w:name="Tc_NuLSFQG9MUqgJHQjNpcrbg_3_13"/>
      <w:bookmarkStart w:id="453" w:name="Tc_zOIdjeG1JUyqYScM834H_g_3_10"/>
      <w:bookmarkStart w:id="454" w:name="Tc_hocva5OaWEuHOE5jLbX2hA_3_7"/>
      <w:bookmarkStart w:id="455" w:name="Tc_HXwViQ8e20qx9seS1oL0kA_3_2"/>
      <w:bookmarkStart w:id="456" w:name="Tc_VVqVO56uIUSHrD3zFLdWjQ_2_16"/>
      <w:bookmarkStart w:id="457" w:name="Tc_jz0O0vAFp0yu8BMt76xHVA_2_13"/>
      <w:bookmarkStart w:id="458" w:name="Tc_09js-vpndkuJgXQ9P2jBxw_2_7"/>
      <w:bookmarkStart w:id="459" w:name="Tc_FlCX1DkFI0ahbNcAdXVQnw_1_13"/>
      <w:bookmarkStart w:id="460" w:name="_7a71628a_c135_4c76_ae29_9d4fd10853e6"/>
      <w:bookmarkStart w:id="461" w:name="Tc_AHXHOR6J60e1EtAM13d44w_21_16"/>
      <w:bookmarkStart w:id="462" w:name="Tc_ydW_oWR4sEee0W6dzpOBng_21_13"/>
      <w:bookmarkStart w:id="463" w:name="Tc_NNYLB6U09Uu8rVDGiCLikQ_21_10"/>
      <w:bookmarkStart w:id="464" w:name="Tc_IV_I6IybP0ayRUmpvA3_rQ_21_7"/>
      <w:bookmarkStart w:id="465" w:name="Tc_U89p7-cqNkecM2quKDgdgQ_21_4"/>
      <w:bookmarkStart w:id="466" w:name="Tc_VprvvJj1mUiAP2NJX-H-8w_21_0"/>
      <w:bookmarkStart w:id="467" w:name="Tc_mjPW0F5YSEWFkFTQVaDuCA_20_11"/>
      <w:bookmarkStart w:id="468" w:name="Tc_5isRxtiQZEuoTaZRbOXhgg_20_8"/>
      <w:bookmarkStart w:id="469" w:name="Tc_mbzYhfuXT0uWOx7jUjH5pg_20_5"/>
      <w:bookmarkStart w:id="470" w:name="Tc_KahOuuX3Q0OuZNHdGn0FYA_20_2"/>
      <w:bookmarkStart w:id="471" w:name="Tc_nH5HQ0oPzUaTNYf44Io1TA_20_0"/>
      <w:bookmarkStart w:id="472" w:name="Tc_RjfrU-4b5EeFK3J0_NLvrg_19_14"/>
      <w:bookmarkStart w:id="473" w:name="Tc_ZvQ-rxdFFU-McUrJZXzgvg_19_8"/>
      <w:bookmarkStart w:id="474" w:name="Tc_RSYxYVp86UeoVZcYUgc12g_19_5"/>
      <w:bookmarkStart w:id="475" w:name="Tc_zMFUN4sYekiocdJtagkJ8A_19_2"/>
      <w:bookmarkStart w:id="476" w:name="Tc_f6umIXtdv0KoUu4B_Tfydg_19_0"/>
      <w:bookmarkStart w:id="477" w:name="Tc_J8Dn0xPWLECaztEjzANKdA_18_14"/>
      <w:bookmarkStart w:id="478" w:name="Tc_NsvfbOdfZUu8EPaM0KeCZg_18_11"/>
      <w:bookmarkStart w:id="479" w:name="Tc_L5HN7ahek0aW6lHC5kVx_A_18_5"/>
      <w:bookmarkStart w:id="480" w:name="Tc_LseIHdLa9EKFSl3dXMTglg_18_2"/>
      <w:bookmarkStart w:id="481" w:name="Tc_TFctTWcuFUS5_9gFihBfWw_18_0"/>
      <w:bookmarkStart w:id="482" w:name="Tc_tOLDisSh6EeJAWe15R9StQ_17_14"/>
      <w:bookmarkStart w:id="483" w:name="Tc_BZwOXT5DYUSTTme2WjoWgQ_17_11"/>
      <w:bookmarkStart w:id="484" w:name="Tc_AdwXwIs5SEub267GBqNvsQ_17_5"/>
      <w:bookmarkStart w:id="485" w:name="Tc_q5avQH7bgUOhHN5jDbY02Q_17_0"/>
      <w:bookmarkStart w:id="486" w:name="Tc_3sa-54XTR0i0MyLIPJ1ZqA_16_14"/>
      <w:bookmarkStart w:id="487" w:name="Tc_Q1iqw36gDEKn3JjZOKTZOA_16_11"/>
      <w:bookmarkStart w:id="488" w:name="Tc_ZDZE7-m9yEub3OemgzFuPg_16_0"/>
      <w:bookmarkStart w:id="489" w:name="Tc_yf7XxuOu8UOUcgIDZ0CkGQ_15_16"/>
      <w:bookmarkStart w:id="490" w:name="Tc_Ll3UEmO5X0SCG4vCE3ZvOg_15_13"/>
      <w:bookmarkStart w:id="491" w:name="Tc_Pxvh0O-Cd0uDRIAA0KZuxA_15_10"/>
      <w:bookmarkStart w:id="492" w:name="Tc_a_pAYLKBBUawg75Hv-sYJg_15_7"/>
      <w:bookmarkStart w:id="493" w:name="Tc_by_6tZ3HV0et6tiCQArNPg_15_4"/>
      <w:bookmarkStart w:id="494" w:name="Tc_LJ1SRplY5kKutxhabUXEwg_15_0"/>
      <w:bookmarkStart w:id="495" w:name="Tc_sCEbMZgSZE-24eD4L9yzxQ_13_16"/>
      <w:bookmarkStart w:id="496" w:name="Tc_C6OvJADToE-UFL3kVPF0wA_13_13"/>
      <w:bookmarkStart w:id="497" w:name="Tc_Y50f9eHCV0-gItdZHWq-XQ_13_10"/>
      <w:bookmarkStart w:id="498" w:name="Tc_fZaXRHK8JEKredf371SSOA_13_7"/>
      <w:bookmarkStart w:id="499" w:name="Tc_MqEtfggUWEWuS6HcDfv_Kw_13_4"/>
      <w:bookmarkStart w:id="500" w:name="Tc_JW2GydJ0kUajbYkCsCFWfQ_13_0"/>
      <w:bookmarkStart w:id="501" w:name="Tc_yfUGdj9RE02tu-Z_z2wyVg_12_11"/>
      <w:bookmarkStart w:id="502" w:name="Tc_OLN8mMG3HUSkBWYwAoI_iA_12_8"/>
      <w:bookmarkStart w:id="503" w:name="Tc_-HM0CDErVEiGgXX82rVvHQ_12_5"/>
      <w:bookmarkStart w:id="504" w:name="Tc_j3qC9oC7wEm6Cpn8lc9daw_12_2"/>
      <w:bookmarkStart w:id="505" w:name="Tc_CBmQgcFVCESibaRFoLe2nA_12_0"/>
      <w:bookmarkStart w:id="506" w:name="Tc_00WEJJMSi0Gqs1eEDlmB8A_11_14"/>
      <w:bookmarkStart w:id="507" w:name="Tc_PD7r7ZaPd0CkY4lQfgVXEQ_11_8"/>
      <w:bookmarkStart w:id="508" w:name="Tc_MyONRe0D40eIe_DwAKrPXg_11_5"/>
      <w:bookmarkStart w:id="509" w:name="Tc_-_qZiG2a3kKxGjK2lL52xw_11_2"/>
      <w:bookmarkStart w:id="510" w:name="Tc_nULQb9lZoEemlt67j5mtqg_11_0"/>
      <w:bookmarkStart w:id="511" w:name="Tc_Gl5cHQJj5Ea8jMeuAbsLDw_10_17"/>
      <w:bookmarkStart w:id="512" w:name="Tc_zq8GPoTAYUu-M8bq-DqLAg_10_14"/>
      <w:bookmarkStart w:id="513" w:name="Tc__IQRbTn7tkqzaxecv09tdQ_10_11"/>
      <w:bookmarkStart w:id="514" w:name="Tc_HKjhap_yi0K8euZWnOKcvA_10_0"/>
      <w:bookmarkStart w:id="515" w:name="Tc_HUOJfoAZvECBKfPdOwGwvA_9_14"/>
      <w:bookmarkStart w:id="516" w:name="Tc_V4gcu-rd80GxTsc1nF4XFA_9_11"/>
      <w:bookmarkStart w:id="517" w:name="Tc_7jA8U2yXjUCdz3dLrWezzw_9_5"/>
      <w:bookmarkStart w:id="518" w:name="Tc_lc7mFrrrb0KRwD-b5oHWOQ_9_0"/>
      <w:bookmarkStart w:id="519" w:name="Tc_kcHuEVEsLk-dOaG_wih3ow_8_14"/>
      <w:bookmarkStart w:id="520" w:name="Tc_FPcOPJsIlEy-A-FxLBtKnw_8_11"/>
      <w:bookmarkStart w:id="521" w:name="Tc_U4AAgng2nkmcgm4kiTgYNw_8_5"/>
      <w:bookmarkStart w:id="522" w:name="Tc_Ue9oT3qFx0iZbxvXMTir4A_8_2"/>
      <w:bookmarkStart w:id="523" w:name="Tc_pKBMSsKgkEeooSnozTzYAw_8_0"/>
      <w:bookmarkStart w:id="524" w:name="Tc_K5RQ2235Z0eOdGJ8JATCCg_7_14"/>
      <w:bookmarkStart w:id="525" w:name="Tc_CdwDGYrL7E6kuSYe9FuxHQ_7_11"/>
      <w:bookmarkStart w:id="526" w:name="Tc_4vYZI0YLGESVmS9m1LEfng_7_5"/>
      <w:bookmarkStart w:id="527" w:name="Tc_vHC2V7iADEKlew9CtzHsSQ_7_0"/>
      <w:bookmarkStart w:id="528" w:name="Tc_96wI1lyq3E-QT-3Lzgu2lg_6_14"/>
      <w:bookmarkStart w:id="529" w:name="Tc_JV5g1fvd_kqmzld4wDex-w_6_11"/>
      <w:bookmarkStart w:id="530" w:name="Tc_BVG63L4eikGKuQYS3wOVhw_6_0"/>
      <w:bookmarkStart w:id="531" w:name="Tc_CzxnIM0HSE2kXt3RMb1fKg_5_16"/>
      <w:bookmarkStart w:id="532" w:name="Tc_g4z7aassb0CdJGzPuXVMRw_5_13"/>
      <w:bookmarkStart w:id="533" w:name="Tc_Gaib-kZu-0e0B78CmTFuPQ_5_10"/>
      <w:bookmarkStart w:id="534" w:name="Tc_Lif3vuM_SE2hf6Y5rwJs8Q_5_7"/>
      <w:bookmarkStart w:id="535" w:name="Tc_iIy-q49TtkGd6G942kzqfg_5_4"/>
      <w:bookmarkStart w:id="536" w:name="Tc__TX0nZujAUiJgWkqtF-6YQ_5_0"/>
      <w:bookmarkStart w:id="537" w:name="Tc_9n0k5Zs8nkqy_sLFBvQq-w_4_16"/>
      <w:bookmarkStart w:id="538" w:name="Tc_rJZmqa4nKkKFinzPfgzz4A_4_13"/>
      <w:bookmarkStart w:id="539" w:name="Tc_F7fvKPzEKEqoQFC_KiXjDg_4_10"/>
      <w:bookmarkStart w:id="540" w:name="Tc_HgpoOALIs0ap09UESHbogw_4_7"/>
      <w:bookmarkStart w:id="541" w:name="Tc_Xb1JLx1AfUud4sLAfT-iYA_4_5"/>
      <w:bookmarkStart w:id="542" w:name="Tc_RIuvz7ItaUquWI5ho7XyOA_4_2"/>
      <w:bookmarkStart w:id="543" w:name="Tc_P5m0d2mCykCJsAkU-WR4Lg_3_16"/>
      <w:bookmarkStart w:id="544" w:name="Tc_NuLSFQG9MUqgJHQjNpcrbg_3_13"/>
      <w:bookmarkStart w:id="545" w:name="Tc_zOIdjeG1JUyqYScM834H_g_3_10"/>
      <w:bookmarkStart w:id="546" w:name="Tc_hocva5OaWEuHOE5jLbX2hA_3_7"/>
      <w:bookmarkStart w:id="547" w:name="Tc_HXwViQ8e20qx9seS1oL0kA_3_2"/>
      <w:bookmarkStart w:id="548" w:name="Tc_VVqVO56uIUSHrD3zFLdWjQ_2_16"/>
      <w:bookmarkStart w:id="549" w:name="Tc_jz0O0vAFp0yu8BMt76xHVA_2_13"/>
      <w:bookmarkStart w:id="550" w:name="Tc_09js-vpndkuJgXQ9P2jBxw_2_7"/>
      <w:bookmarkStart w:id="551" w:name="Tc_FlCX1DkFI0ahbNcAdXVQnw_1_13"/>
      <w:bookmarkStart w:id="552" w:name="_7a71628a_c135_4c76_ae29_9d4fd10853e6"/>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tbl>
      <w:tblPr>
        <w:tblW w:w="10205" w:type="dxa"/>
        <w:jc w:val="left"/>
        <w:tblInd w:w="0" w:type="dxa"/>
        <w:tblLayout w:type="fixed"/>
        <w:tblCellMar>
          <w:top w:w="0" w:type="dxa"/>
          <w:left w:w="0" w:type="dxa"/>
          <w:bottom w:w="0" w:type="dxa"/>
          <w:right w:w="0" w:type="dxa"/>
        </w:tblCellMar>
      </w:tblPr>
      <w:tblGrid>
        <w:gridCol w:w="2892"/>
        <w:gridCol w:w="326"/>
        <w:gridCol w:w="796"/>
        <w:gridCol w:w="326"/>
        <w:gridCol w:w="181"/>
        <w:gridCol w:w="586"/>
        <w:gridCol w:w="326"/>
        <w:gridCol w:w="181"/>
        <w:gridCol w:w="601"/>
        <w:gridCol w:w="326"/>
        <w:gridCol w:w="203"/>
        <w:gridCol w:w="728"/>
        <w:gridCol w:w="326"/>
        <w:gridCol w:w="350"/>
        <w:gridCol w:w="731"/>
        <w:gridCol w:w="326"/>
        <w:gridCol w:w="217"/>
        <w:gridCol w:w="783"/>
      </w:tblGrid>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05460" cy="175260"/>
                      <wp:effectExtent l="0" t="0" r="0" b="0"/>
                      <wp:wrapNone/>
                      <wp:docPr id="43" name="Frame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14935" cy="175260"/>
                      <wp:effectExtent l="0" t="0" r="0" b="0"/>
                      <wp:wrapNone/>
                      <wp:docPr id="45" name="Frame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72110" cy="175260"/>
                      <wp:effectExtent l="0" t="0" r="0" b="0"/>
                      <wp:wrapNone/>
                      <wp:docPr id="46" name="Frame4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14935" cy="175260"/>
                      <wp:effectExtent l="0" t="0" r="0" b="0"/>
                      <wp:wrapNone/>
                      <wp:docPr id="48" name="Frame4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81635" cy="175260"/>
                      <wp:effectExtent l="0" t="0" r="0" b="0"/>
                      <wp:wrapNone/>
                      <wp:docPr id="49" name="Frame4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8905" cy="175260"/>
                      <wp:effectExtent l="0" t="0" r="0" b="0"/>
                      <wp:wrapNone/>
                      <wp:docPr id="51" name="Frame51"/>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62280" cy="175260"/>
                      <wp:effectExtent l="0" t="0" r="0" b="0"/>
                      <wp:wrapNone/>
                      <wp:docPr id="52" name="Frame52"/>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2250" cy="175260"/>
                      <wp:effectExtent l="0" t="0" r="0" b="0"/>
                      <wp:wrapNone/>
                      <wp:docPr id="54" name="Frame54"/>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64185" cy="175260"/>
                      <wp:effectExtent l="0" t="0" r="0" b="0"/>
                      <wp:wrapNone/>
                      <wp:docPr id="55" name="Frame55"/>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7795" cy="175260"/>
                      <wp:effectExtent l="0" t="0" r="0" b="0"/>
                      <wp:wrapNone/>
                      <wp:docPr id="57" name="Frame5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97205" cy="175260"/>
                      <wp:effectExtent l="0" t="0" r="0" b="0"/>
                      <wp:wrapNone/>
                      <wp:docPr id="58" name="Frame58"/>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00" w:type="dxa"/>
            <w:gridSpan w:val="2"/>
            <w:tcBorders/>
            <w:vAlign w:val="center"/>
          </w:tcPr>
          <w:p>
            <w:pPr>
              <w:pStyle w:val="TableContents"/>
              <w:bidi w:val="0"/>
              <w:spacing w:before="0" w:after="1"/>
              <w:ind w:left="0" w:right="0" w:hanging="0"/>
              <w:jc w:val="center"/>
              <w:rPr/>
            </w:pPr>
            <w:r>
              <w:rPr/>
              <w:t>​</w:t>
            </w:r>
          </w:p>
        </w:tc>
      </w:tr>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00"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326" w:type="dxa"/>
            <w:tcBorders/>
            <w:vAlign w:val="center"/>
          </w:tcPr>
          <w:p>
            <w:pPr>
              <w:pStyle w:val="TableContents"/>
              <w:bidi w:val="0"/>
              <w:spacing w:before="0" w:after="1"/>
              <w:ind w:left="0" w:right="0" w:hanging="0"/>
              <w:jc w:val="center"/>
              <w:rPr/>
            </w:pPr>
            <w:r>
              <w:rPr/>
              <w:t>​</w:t>
            </w:r>
          </w:p>
        </w:tc>
        <w:tc>
          <w:tcPr>
            <w:tcW w:w="1000"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capital</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deficit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loss</w:t>
            </w:r>
          </w:p>
        </w:tc>
        <w:tc>
          <w:tcPr>
            <w:tcW w:w="326" w:type="dxa"/>
            <w:tcBorders/>
            <w:vAlign w:val="center"/>
          </w:tcPr>
          <w:p>
            <w:pPr>
              <w:pStyle w:val="TableContents"/>
              <w:bidi w:val="0"/>
              <w:spacing w:before="0" w:after="1"/>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equity</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as of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20,879,199</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553,326</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(477,381)</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3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75,947</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165,987</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880</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882</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Proceeds from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39,807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406</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406</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13,685</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13,685</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23,364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546</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546</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common stock upon net exercise of common warrants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604,000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 for the six months ended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(36,215)</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(36,215)</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Cumulative translation adjustment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Balances as of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21,712,357</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217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568,837</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(513,596)</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(210)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55,248</w:t>
            </w:r>
          </w:p>
        </w:tc>
      </w:tr>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20,663,736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545,362</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(436,182)</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3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109,180</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52,753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155</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156</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Proceeds from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34,421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3,181</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3,181</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 for the six months ended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(23,025)</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(23,025)</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Cumulative translation adjustment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Balances as of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20,750,910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549,150</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(459,207)</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(187)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89,964</w:t>
            </w:r>
          </w:p>
        </w:tc>
      </w:tr>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553" w:name="_ca2f2f64_58f2_485a_9f33_577277b7addf"/>
      <w:bookmarkEnd w:id="553"/>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554" w:name="CondensedConsolidatedStatementsofCashFlo"/>
      <w:bookmarkEnd w:id="554"/>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555" w:name="Tc_go0lCKbsGk-470epOzWx4w_34_5"/>
      <w:bookmarkStart w:id="556" w:name="Tc_DxLTLbp-GkOevsOEg_LfTw_34_2"/>
      <w:bookmarkStart w:id="557" w:name="Tc_n3OATP3hkEaBvRPcjlCZXg_34_0"/>
      <w:bookmarkStart w:id="558" w:name="Tc_UIkhgCXB0kKBvvsB8Gaxng_33_5"/>
      <w:bookmarkStart w:id="559" w:name="Tc_hXzSGNYzvEOBjOEfcdOarg_33_2"/>
      <w:bookmarkStart w:id="560" w:name="Tc_6JjXjQXHl0unm9Y6WawqWg_33_0"/>
      <w:bookmarkStart w:id="561" w:name="Tc_SQZxJv0GY0miGQ2E8YoWIA_32_0"/>
      <w:bookmarkStart w:id="562" w:name="Tc_TNzKLurDjkK-_kp8j5lN6Q_31_5"/>
      <w:bookmarkStart w:id="563" w:name="Tc_qe3aAwyZrUq6JGIU33EpVw_31_2"/>
      <w:bookmarkStart w:id="564" w:name="Tc_dHApNsvXvEOYcKqVtHSx0w_31_0"/>
      <w:bookmarkStart w:id="565" w:name="Tc_aYlIJL7Vv0KX8DCjG-0QBA_30_0"/>
      <w:bookmarkStart w:id="566" w:name="Tc_wcSKTJAflEGHYddPIE7Saw_29_0"/>
      <w:bookmarkStart w:id="567" w:name="Tc_2W5fBp4D902iWw2wpu8Flg_28_0"/>
      <w:bookmarkStart w:id="568" w:name="Tc_l8V20PSxsE-GLwMAZ6WkgA_27_0"/>
      <w:bookmarkStart w:id="569" w:name="Tc_Mi_W-haQ1E-A7wimn6UfwA_26_0"/>
      <w:bookmarkStart w:id="570" w:name="Tc_mqHVH_LS50W1g_n1fbsFMA_25_0"/>
      <w:bookmarkStart w:id="571" w:name="Tc_DHFhBOSmm0CtrYovbeUZ3A_24_0"/>
      <w:bookmarkStart w:id="572" w:name="Tc_ixn4UUxt90eROvO4jSkW-Q_23_0"/>
      <w:bookmarkStart w:id="573" w:name="Tc_v4KyuCEYoEanCi7Lg7OXGw_22_0"/>
      <w:bookmarkStart w:id="574" w:name="Tc_L3CAXeO5f0OmtLB_c3G3Kw_21_0"/>
      <w:bookmarkStart w:id="575" w:name="Tc_FoSEcPbOnEOEZFVApDAKqQ_20_0"/>
      <w:bookmarkStart w:id="576" w:name="Tc_RUW3eTCsoEyU6U9SoLqPgg_19_0"/>
      <w:bookmarkStart w:id="577" w:name="Tc_u5HHsSglVESjVZUepkqkHg_18_0"/>
      <w:bookmarkStart w:id="578" w:name="Tc_h7Raj8ESF0KtixZGz9BrVg_17_0"/>
      <w:bookmarkStart w:id="579" w:name="Tc_EnTIBMxO_UurcqKL95xVcQ_16_0"/>
      <w:bookmarkStart w:id="580" w:name="Tc_dnFxhQK2YU-aRbFM29hRgA_15_0"/>
      <w:bookmarkStart w:id="581" w:name="Tc_Pwu6Z7l8wEeq3DlMboC9tA_14_0"/>
      <w:bookmarkStart w:id="582" w:name="Tc_gvFVQfArCkyO9dZqbJC-TQ_13_0"/>
      <w:bookmarkStart w:id="583" w:name="Tc_Eid-pK0UOkixY2ZEXkI4Kg_12_0"/>
      <w:bookmarkStart w:id="584" w:name="Tc_VR8mra1-HkCe28YLwuMqBA_11_0"/>
      <w:bookmarkStart w:id="585" w:name="Tc_AOwumwuHkUOG3cfQT5n0Ng_10_0"/>
      <w:bookmarkStart w:id="586" w:name="Tc_9ju4PcJp2UiViYDx3NE0UA_9_0"/>
      <w:bookmarkStart w:id="587" w:name="Tc_KaN5rzwFh0CxkY6OBcPNIg_8_0"/>
      <w:bookmarkStart w:id="588" w:name="Tc_aMmT_70IIE-y8qyK4B6Pzw_7_0"/>
      <w:bookmarkStart w:id="589" w:name="Tc_gA6T1Z6BMkWK9lf4f-4SLg_6_0"/>
      <w:bookmarkStart w:id="590" w:name="Tc_HAqUGb_gM0aSPl_2LmAG4g_5_5"/>
      <w:bookmarkStart w:id="591" w:name="Tc_M15a3U30ZUiDQgAjxwLXZg_5_2"/>
      <w:bookmarkStart w:id="592" w:name="Tc_7I7kgkchy0O1mcWLjc5U2Q_5_0"/>
      <w:bookmarkStart w:id="593" w:name="Tc_5zqc1yHxyU2oBTg6WUu-HA_4_0"/>
      <w:bookmarkStart w:id="594" w:name="Tc_EFrMU0J3VEidpZbKHEbZ0w_3_5"/>
      <w:bookmarkStart w:id="595" w:name="Tc_uc3ylzjhGkGxsVHEqXnWJg_3_2"/>
      <w:bookmarkStart w:id="596" w:name="Tc_EZRsY5Xq1E6L4cXI-z9rzA_2_2"/>
      <w:bookmarkStart w:id="597" w:name="Tc_ITjAp7y43EKzHDUNmmDJMA_1_2"/>
      <w:bookmarkStart w:id="598" w:name="_aec9e398_f1cb_49a4_9d16_6e2ec4dbf0c1"/>
      <w:bookmarkStart w:id="599" w:name="Tc_go0lCKbsGk-470epOzWx4w_34_5"/>
      <w:bookmarkStart w:id="600" w:name="Tc_DxLTLbp-GkOevsOEg_LfTw_34_2"/>
      <w:bookmarkStart w:id="601" w:name="Tc_n3OATP3hkEaBvRPcjlCZXg_34_0"/>
      <w:bookmarkStart w:id="602" w:name="Tc_UIkhgCXB0kKBvvsB8Gaxng_33_5"/>
      <w:bookmarkStart w:id="603" w:name="Tc_hXzSGNYzvEOBjOEfcdOarg_33_2"/>
      <w:bookmarkStart w:id="604" w:name="Tc_6JjXjQXHl0unm9Y6WawqWg_33_0"/>
      <w:bookmarkStart w:id="605" w:name="Tc_SQZxJv0GY0miGQ2E8YoWIA_32_0"/>
      <w:bookmarkStart w:id="606" w:name="Tc_TNzKLurDjkK-_kp8j5lN6Q_31_5"/>
      <w:bookmarkStart w:id="607" w:name="Tc_qe3aAwyZrUq6JGIU33EpVw_31_2"/>
      <w:bookmarkStart w:id="608" w:name="Tc_dHApNsvXvEOYcKqVtHSx0w_31_0"/>
      <w:bookmarkStart w:id="609" w:name="Tc_aYlIJL7Vv0KX8DCjG-0QBA_30_0"/>
      <w:bookmarkStart w:id="610" w:name="Tc_wcSKTJAflEGHYddPIE7Saw_29_0"/>
      <w:bookmarkStart w:id="611" w:name="Tc_2W5fBp4D902iWw2wpu8Flg_28_0"/>
      <w:bookmarkStart w:id="612" w:name="Tc_l8V20PSxsE-GLwMAZ6WkgA_27_0"/>
      <w:bookmarkStart w:id="613" w:name="Tc_Mi_W-haQ1E-A7wimn6UfwA_26_0"/>
      <w:bookmarkStart w:id="614" w:name="Tc_mqHVH_LS50W1g_n1fbsFMA_25_0"/>
      <w:bookmarkStart w:id="615" w:name="Tc_DHFhBOSmm0CtrYovbeUZ3A_24_0"/>
      <w:bookmarkStart w:id="616" w:name="Tc_ixn4UUxt90eROvO4jSkW-Q_23_0"/>
      <w:bookmarkStart w:id="617" w:name="Tc_v4KyuCEYoEanCi7Lg7OXGw_22_0"/>
      <w:bookmarkStart w:id="618" w:name="Tc_L3CAXeO5f0OmtLB_c3G3Kw_21_0"/>
      <w:bookmarkStart w:id="619" w:name="Tc_FoSEcPbOnEOEZFVApDAKqQ_20_0"/>
      <w:bookmarkStart w:id="620" w:name="Tc_RUW3eTCsoEyU6U9SoLqPgg_19_0"/>
      <w:bookmarkStart w:id="621" w:name="Tc_u5HHsSglVESjVZUepkqkHg_18_0"/>
      <w:bookmarkStart w:id="622" w:name="Tc_h7Raj8ESF0KtixZGz9BrVg_17_0"/>
      <w:bookmarkStart w:id="623" w:name="Tc_EnTIBMxO_UurcqKL95xVcQ_16_0"/>
      <w:bookmarkStart w:id="624" w:name="Tc_dnFxhQK2YU-aRbFM29hRgA_15_0"/>
      <w:bookmarkStart w:id="625" w:name="Tc_Pwu6Z7l8wEeq3DlMboC9tA_14_0"/>
      <w:bookmarkStart w:id="626" w:name="Tc_gvFVQfArCkyO9dZqbJC-TQ_13_0"/>
      <w:bookmarkStart w:id="627" w:name="Tc_Eid-pK0UOkixY2ZEXkI4Kg_12_0"/>
      <w:bookmarkStart w:id="628" w:name="Tc_VR8mra1-HkCe28YLwuMqBA_11_0"/>
      <w:bookmarkStart w:id="629" w:name="Tc_AOwumwuHkUOG3cfQT5n0Ng_10_0"/>
      <w:bookmarkStart w:id="630" w:name="Tc_9ju4PcJp2UiViYDx3NE0UA_9_0"/>
      <w:bookmarkStart w:id="631" w:name="Tc_KaN5rzwFh0CxkY6OBcPNIg_8_0"/>
      <w:bookmarkStart w:id="632" w:name="Tc_aMmT_70IIE-y8qyK4B6Pzw_7_0"/>
      <w:bookmarkStart w:id="633" w:name="Tc_gA6T1Z6BMkWK9lf4f-4SLg_6_0"/>
      <w:bookmarkStart w:id="634" w:name="Tc_HAqUGb_gM0aSPl_2LmAG4g_5_5"/>
      <w:bookmarkStart w:id="635" w:name="Tc_M15a3U30ZUiDQgAjxwLXZg_5_2"/>
      <w:bookmarkStart w:id="636" w:name="Tc_7I7kgkchy0O1mcWLjc5U2Q_5_0"/>
      <w:bookmarkStart w:id="637" w:name="Tc_5zqc1yHxyU2oBTg6WUu-HA_4_0"/>
      <w:bookmarkStart w:id="638" w:name="Tc_EFrMU0J3VEidpZbKHEbZ0w_3_5"/>
      <w:bookmarkStart w:id="639" w:name="Tc_uc3ylzjhGkGxsVHEqXnWJg_3_2"/>
      <w:bookmarkStart w:id="640" w:name="Tc_EZRsY5Xq1E6L4cXI-z9rzA_2_2"/>
      <w:bookmarkStart w:id="641" w:name="Tc_ITjAp7y43EKzHDUNmmDJMA_1_2"/>
      <w:bookmarkStart w:id="642" w:name="_aec9e398_f1cb_49a4_9d16_6e2ec4dbf0c1"/>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tbl>
      <w:tblPr>
        <w:tblW w:w="9252" w:type="dxa"/>
        <w:jc w:val="left"/>
        <w:tblInd w:w="0" w:type="dxa"/>
        <w:tblLayout w:type="fixed"/>
        <w:tblCellMar>
          <w:top w:w="0" w:type="dxa"/>
          <w:left w:w="0" w:type="dxa"/>
          <w:bottom w:w="0" w:type="dxa"/>
          <w:right w:w="0" w:type="dxa"/>
        </w:tblCellMar>
      </w:tblPr>
      <w:tblGrid>
        <w:gridCol w:w="6511"/>
        <w:gridCol w:w="326"/>
        <w:gridCol w:w="211"/>
        <w:gridCol w:w="811"/>
        <w:gridCol w:w="326"/>
        <w:gridCol w:w="211"/>
        <w:gridCol w:w="856"/>
      </w:tblGrid>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14985" cy="175260"/>
                      <wp:effectExtent l="0" t="0" r="0" b="0"/>
                      <wp:wrapNone/>
                      <wp:docPr id="61" name="Frame6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43560" cy="175260"/>
                      <wp:effectExtent l="0" t="0" r="0" b="0"/>
                      <wp:wrapNone/>
                      <wp:docPr id="64" name="Frame6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(23,025)</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3,181</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256</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disposal of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Amortization of deferred financing costs and loan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(1,222)</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(3,971)</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689</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1,214</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(256)</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(23,057)</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(383)</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(383)</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the exercise of common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Employee Stock Purchase Plan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452</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the issuance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debt financing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7,500</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Debt financing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8,041</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Effect of currency exchange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change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(15,379)</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90,569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106,194</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70,400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90,815</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Supplemental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interest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563</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643" w:name="NotestoCondensedConsolidatedFinancialSta"/>
      <w:bookmarkEnd w:id="643"/>
      <w:r>
        <w:rPr>
          <w:rFonts w:ascii="Arial;Helvetica;sans-serif" w:hAnsi="Arial;Helvetica;sans-serif"/>
          <w:b/>
          <w:sz w:val="20"/>
        </w:rPr>
        <w:t>Notes to Condensed Consolidated Financial Statements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tbl>
      <w:tblPr>
        <w:tblW w:w="3032" w:type="dxa"/>
        <w:jc w:val="left"/>
        <w:tblInd w:w="0" w:type="dxa"/>
        <w:tblLayout w:type="fixed"/>
        <w:tblCellMar>
          <w:top w:w="0" w:type="dxa"/>
          <w:left w:w="0" w:type="dxa"/>
          <w:bottom w:w="0" w:type="dxa"/>
          <w:right w:w="0" w:type="dxa"/>
        </w:tblCellMar>
      </w:tblPr>
      <w:tblGrid>
        <w:gridCol w:w="316"/>
        <w:gridCol w:w="271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w:t>
            </w:r>
          </w:p>
        </w:tc>
        <w:tc>
          <w:tcPr>
            <w:tcW w:w="27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Business organization</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Management expects that operating losses and negative cash flows from operations could continue in the foreseeable future. There is no assurance that the Company will generate sufficient product sales to produce positive earnings or cash flows.</w:t>
      </w:r>
    </w:p>
    <w:tbl>
      <w:tblPr>
        <w:tblW w:w="5387" w:type="dxa"/>
        <w:jc w:val="left"/>
        <w:tblInd w:w="0" w:type="dxa"/>
        <w:tblLayout w:type="fixed"/>
        <w:tblCellMar>
          <w:top w:w="0" w:type="dxa"/>
          <w:left w:w="0" w:type="dxa"/>
          <w:bottom w:w="0" w:type="dxa"/>
          <w:right w:w="0" w:type="dxa"/>
        </w:tblCellMar>
      </w:tblPr>
      <w:tblGrid>
        <w:gridCol w:w="316"/>
        <w:gridCol w:w="5071"/>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2.</w:t>
            </w:r>
          </w:p>
        </w:tc>
        <w:tc>
          <w:tcPr>
            <w:tcW w:w="507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Summary of significant accounting policies</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Statement presentation and basis of consolidation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condensed consolidated financial statements include the accounts of CVRx, Inc., its wholly owned subsidiary, CVRx Switzerland LLC, and its sales branch in Italy, which was closed during 2023. All intercompany balances and transactions have been eliminated in consolidation.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JOBS Act accounting election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an emerging growth company under the Jumpstart Our Business Startups Act of 2012 (the “JOBS Act”). As a result, we have elected to take advantage of certain exemptions from various reporting requirements that are applicable to other public companies that are not emerging growth companies.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Use of estimates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Cash and cash equivalents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Cash and cash equivalents include highly liquid investments with an original maturity of three months or less. As of June 30, 2024 and December 31, 2023, cash equivalents consisted of money market funds, which are stated at cost and approximate fair value. Additionally, as of June 30, 2024 and December 31, 2023, a majority of our cash and cash equivalents were maintained with two financial institutions in the U.S., and our current deposits are likely in excess of insured limits.</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Accounts Receivable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Trade accounts receivable are recorded at the invoiced amount and do not bear interest. Customer credit terms are established prior to shipment with the standard generally being net 30 days. </w:t>
      </w:r>
      <w:r>
        <w:rPr>
          <w:rFonts w:ascii="Arial;Helvetica;sans-serif" w:hAnsi="Arial;Helvetica;sans-serif"/>
          <w:sz w:val="20"/>
          <w:shd w:fill="FFFFFF" w:val="clear"/>
        </w:rPr>
        <w:t>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Inventory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Inventory is stated at the lower of cost or net realizable value, with cost determined on a first-in, first-out basis. We regularly review inventory quantities in consideration of actual loss experiences, projected future demand and remaining shelf life to record a provision for excess and obsolete inventory when appropriate.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Leases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Revenue recognition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sell our products primarily through a direct sales force and to a lesser extent through a combination of sales agents and independent distributors. Our revenue consists primarily of the sale of our Barostim, which consists of two implantable components: a pulse generator and a stimulation lead.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Under Accounting Standards Codification (“ASC”) Topic 606, Revenue from Contracts with Customers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We recognize net revenue on product sales, adjusted for any applicable estimates of variable consideration, when the customer obtains control of our product, which generally occurs at a point in time upon delivery based on the contractual shipping terms of a contract. Our contracts have a single performance obligation, and our payment terms with customers are generally between 30 and 90 days. Variable consideration related to certain customer rebates is estimated based on the amounts expected to be paid under the agreement with the customer.</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Stock-Based Compensation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recognize equity-based compensation expense for awards of equity instruments to employees and non-employees based on the grant date fair value of those awards in accordance with Financial Accounting Standards Board (“FASB”) Accounting Standards Codification Topic 718, </w:t>
      </w:r>
      <w:r>
        <w:rPr>
          <w:rFonts w:ascii="Arial;Helvetica;sans-serif" w:hAnsi="Arial;Helvetica;sans-serif"/>
          <w:i/>
          <w:sz w:val="20"/>
        </w:rPr>
        <w:t>Compensation—Stock Compensation</w:t>
      </w:r>
      <w:r>
        <w:rPr>
          <w:rFonts w:ascii="Arial;Helvetica;sans-serif" w:hAnsi="Arial;Helvetica;sans-serif"/>
          <w:sz w:val="20"/>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account for forfeitures as they occur. We expense the fair value of our equity-based compensation awards granted to employees on a straight-line basis over the associated service period, which is generally the period in which the related services are received.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November 2023, the FASB issued Accounting Standards Update (“ASU”) 2023-07, </w:t>
      </w:r>
      <w:r>
        <w:rPr>
          <w:rFonts w:ascii="Arial;Helvetica;sans-serif" w:hAnsi="Arial;Helvetica;sans-serif"/>
          <w:i/>
          <w:sz w:val="20"/>
        </w:rPr>
        <w:t>Improvements to Reportable Segment Disclosures</w:t>
      </w:r>
      <w:r>
        <w:rPr>
          <w:rFonts w:ascii="Arial;Helvetica;sans-serif" w:hAnsi="Arial;Helvetica;sans-serif"/>
          <w:sz w:val="20"/>
        </w:rPr>
        <w:t xml:space="preserve"> (“ASU 2023-07”), which requires public companies to disclose for each reportable segment the significant expense categories and amounts for such expenses. ASU 2023-07 is effective for annual periods beginning December 15, 2023, and for interim periods within fiscal years beginning after December 15, 2024. This ASU will be effective for our annual period ended December 31, 2024. We are currently evaluating the effect of this new guidance on our condensed consolidated financial statements and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December 2023, the FASB issued ASU 2023-09, </w:t>
      </w:r>
      <w:r>
        <w:rPr>
          <w:rFonts w:ascii="Arial;Helvetica;sans-serif" w:hAnsi="Arial;Helvetica;sans-serif"/>
          <w:i/>
          <w:sz w:val="20"/>
        </w:rPr>
        <w:t xml:space="preserve">Improvements to Income Tax Disclosures </w:t>
      </w:r>
      <w:r>
        <w:rPr>
          <w:rFonts w:ascii="Arial;Helvetica;sans-serif" w:hAnsi="Arial;Helvetica;sans-serif"/>
          <w:sz w:val="20"/>
        </w:rPr>
        <w:t>(“ASU 2023-09”), which requires public business entities to disclose specific categories in the rate reconciliation and provide additional information for reconciling items that meet a quantitative threshold. ASU 2023-09 is effective for annual periods beginning after December 15, 2023. This ASU will be effective for our annual period ended December 31, 2024. We are evaluating the impact of this new guidance on our income tax disclosures.</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44" w:name="Tc_u9Y1ONN7Jk2ePh3o4WO7dw_10_5"/>
      <w:bookmarkStart w:id="645" w:name="Tc_BE6wvCKljUCEqMbEBXNohw_10_2"/>
      <w:bookmarkStart w:id="646" w:name="Tc_Ootx8trobk2ZtIF7_eDnuw_9_0"/>
      <w:bookmarkStart w:id="647" w:name="Tc_xKVLBWkSnUGpsHewSGePhg_7_0"/>
      <w:bookmarkStart w:id="648" w:name="Tc_-3O7VW02hUalPxTP2WFxIw_6_0"/>
      <w:bookmarkStart w:id="649" w:name="Tc_RmIvbUHM2kaZCqsUf722rA_5_0"/>
      <w:bookmarkStart w:id="650" w:name="Tc_EZt8O5QQkU-GHtZafGy42w_4_0"/>
      <w:bookmarkStart w:id="651" w:name="Tc_WpGnaGJHFUyu7gmGI5jfRA_3_5"/>
      <w:bookmarkStart w:id="652" w:name="Tc_rbFurg29XkK6aIX9BmNzcg_3_2"/>
      <w:bookmarkStart w:id="653" w:name="Tc_9WJe2Z3dxkWTcTuQCmhD7A_3_0"/>
      <w:bookmarkStart w:id="654" w:name="Tc_2U5Gy2-dYEKh_yAoEbJX8A_2_5"/>
      <w:bookmarkStart w:id="655" w:name="Tc_6MzE6GGHLkCdlx3miqM_WQ_2_2"/>
      <w:bookmarkStart w:id="656" w:name="Tc_o7okpLyRr0Ch8zu7e3Omyw_2_0"/>
      <w:bookmarkStart w:id="657" w:name="Tc_OlqetaUy6EyuqKUXP3Bvjg_1_5"/>
      <w:bookmarkStart w:id="658" w:name="Tc_kEedxr8kxE2hm9rNNQr8Bw_1_2"/>
      <w:bookmarkStart w:id="659" w:name="_e1d0bd89_c340_4f30_93c0_b016a1488585"/>
      <w:bookmarkStart w:id="660" w:name="Tc_TF-ZlwiXzkav8HYkY7OjUQ_6_5"/>
      <w:bookmarkStart w:id="661" w:name="Tc_FWVFy1vVVUiT51kp2JaEPQ_6_2"/>
      <w:bookmarkStart w:id="662" w:name="Tc_aMx9EgLYE0CQ8wmJoL2RFg_5_0"/>
      <w:bookmarkStart w:id="663" w:name="Tc_OmENBLKzfU6pF1S3EqtOzA_4_0"/>
      <w:bookmarkStart w:id="664" w:name="Tc_cOPtmahGvUWoXP3W3KNiqw_3_5"/>
      <w:bookmarkStart w:id="665" w:name="Tc_uLk8d4VR902DGT_6nZfjFg_3_2"/>
      <w:bookmarkStart w:id="666" w:name="Tc_o6G7fy0cuUyxrPy4Lk_3NA_3_0"/>
      <w:bookmarkStart w:id="667" w:name="Tc_LwYEjxa-E0GFSXIHUAObHg_2_5"/>
      <w:bookmarkStart w:id="668" w:name="Tc_GJYuKyfDWkG38aLda_2adQ_2_2"/>
      <w:bookmarkStart w:id="669" w:name="Tc_TDlcaHrwAUuIVoKT5wiEXg_2_0"/>
      <w:bookmarkStart w:id="670" w:name="Tc_AwO6vpjolkSBJ36NvwnaYw_1_5"/>
      <w:bookmarkStart w:id="671" w:name="Tc_vDRrSrzytEGrDMYkwxCRzw_1_2"/>
      <w:bookmarkStart w:id="672" w:name="_32f539bb_67c4_4ac3_982a_bd76d3c40eed"/>
      <w:bookmarkStart w:id="673" w:name="Tc_u9Y1ONN7Jk2ePh3o4WO7dw_10_5"/>
      <w:bookmarkStart w:id="674" w:name="Tc_BE6wvCKljUCEqMbEBXNohw_10_2"/>
      <w:bookmarkStart w:id="675" w:name="Tc_Ootx8trobk2ZtIF7_eDnuw_9_0"/>
      <w:bookmarkStart w:id="676" w:name="Tc_xKVLBWkSnUGpsHewSGePhg_7_0"/>
      <w:bookmarkStart w:id="677" w:name="Tc_-3O7VW02hUalPxTP2WFxIw_6_0"/>
      <w:bookmarkStart w:id="678" w:name="Tc_RmIvbUHM2kaZCqsUf722rA_5_0"/>
      <w:bookmarkStart w:id="679" w:name="Tc_EZt8O5QQkU-GHtZafGy42w_4_0"/>
      <w:bookmarkStart w:id="680" w:name="Tc_WpGnaGJHFUyu7gmGI5jfRA_3_5"/>
      <w:bookmarkStart w:id="681" w:name="Tc_rbFurg29XkK6aIX9BmNzcg_3_2"/>
      <w:bookmarkStart w:id="682" w:name="Tc_9WJe2Z3dxkWTcTuQCmhD7A_3_0"/>
      <w:bookmarkStart w:id="683" w:name="Tc_2U5Gy2-dYEKh_yAoEbJX8A_2_5"/>
      <w:bookmarkStart w:id="684" w:name="Tc_6MzE6GGHLkCdlx3miqM_WQ_2_2"/>
      <w:bookmarkStart w:id="685" w:name="Tc_o7okpLyRr0Ch8zu7e3Omyw_2_0"/>
      <w:bookmarkStart w:id="686" w:name="Tc_OlqetaUy6EyuqKUXP3Bvjg_1_5"/>
      <w:bookmarkStart w:id="687" w:name="Tc_kEedxr8kxE2hm9rNNQr8Bw_1_2"/>
      <w:bookmarkStart w:id="688" w:name="_e1d0bd89_c340_4f30_93c0_b016a1488585"/>
      <w:bookmarkStart w:id="689" w:name="Tc_TF-ZlwiXzkav8HYkY7OjUQ_6_5"/>
      <w:bookmarkStart w:id="690" w:name="Tc_FWVFy1vVVUiT51kp2JaEPQ_6_2"/>
      <w:bookmarkStart w:id="691" w:name="Tc_aMx9EgLYE0CQ8wmJoL2RFg_5_0"/>
      <w:bookmarkStart w:id="692" w:name="Tc_OmENBLKzfU6pF1S3EqtOzA_4_0"/>
      <w:bookmarkStart w:id="693" w:name="Tc_cOPtmahGvUWoXP3W3KNiqw_3_5"/>
      <w:bookmarkStart w:id="694" w:name="Tc_uLk8d4VR902DGT_6nZfjFg_3_2"/>
      <w:bookmarkStart w:id="695" w:name="Tc_o6G7fy0cuUyxrPy4Lk_3NA_3_0"/>
      <w:bookmarkStart w:id="696" w:name="Tc_LwYEjxa-E0GFSXIHUAObHg_2_5"/>
      <w:bookmarkStart w:id="697" w:name="Tc_GJYuKyfDWkG38aLda_2adQ_2_2"/>
      <w:bookmarkStart w:id="698" w:name="Tc_TDlcaHrwAUuIVoKT5wiEXg_2_0"/>
      <w:bookmarkStart w:id="699" w:name="Tc_AwO6vpjolkSBJ36NvwnaYw_1_5"/>
      <w:bookmarkStart w:id="700" w:name="Tc_vDRrSrzytEGrDMYkwxCRzw_1_2"/>
      <w:bookmarkStart w:id="701" w:name="_32f539bb_67c4_4ac3_982a_bd76d3c40eed"/>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tbl>
      <w:tblPr>
        <w:tblW w:w="4472" w:type="dxa"/>
        <w:jc w:val="left"/>
        <w:tblInd w:w="0" w:type="dxa"/>
        <w:tblLayout w:type="fixed"/>
        <w:tblCellMar>
          <w:top w:w="0" w:type="dxa"/>
          <w:left w:w="0" w:type="dxa"/>
          <w:bottom w:w="0" w:type="dxa"/>
          <w:right w:w="0" w:type="dxa"/>
        </w:tblCellMar>
      </w:tblPr>
      <w:tblGrid>
        <w:gridCol w:w="316"/>
        <w:gridCol w:w="415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3.</w:t>
            </w:r>
          </w:p>
        </w:tc>
        <w:tc>
          <w:tcPr>
            <w:tcW w:w="415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Selected balance sheet information</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Inventory consists of the following at:</w:t>
      </w:r>
    </w:p>
    <w:p>
      <w:pPr>
        <w:pStyle w:val="TextBody"/>
        <w:bidi w:val="0"/>
        <w:spacing w:before="0" w:after="240"/>
        <w:ind w:left="0" w:right="0" w:hanging="0"/>
        <w:jc w:val="left"/>
        <w:rPr/>
      </w:pPr>
      <w:r>
        <w:rPr/>
        <w:t>​</w:t>
      </w:r>
    </w:p>
    <w:tbl>
      <w:tblPr>
        <w:tblW w:w="4345" w:type="dxa"/>
        <w:jc w:val="left"/>
        <w:tblInd w:w="0" w:type="dxa"/>
        <w:tblLayout w:type="fixed"/>
        <w:tblCellMar>
          <w:top w:w="0" w:type="dxa"/>
          <w:left w:w="0" w:type="dxa"/>
          <w:bottom w:w="0" w:type="dxa"/>
          <w:right w:w="0" w:type="dxa"/>
        </w:tblCellMar>
      </w:tblPr>
      <w:tblGrid>
        <w:gridCol w:w="1531"/>
        <w:gridCol w:w="326"/>
        <w:gridCol w:w="211"/>
        <w:gridCol w:w="691"/>
        <w:gridCol w:w="326"/>
        <w:gridCol w:w="260"/>
        <w:gridCol w:w="1000"/>
      </w:tblGrid>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65100" cy="175260"/>
                      <wp:effectExtent l="0" t="0" r="0" b="0"/>
                      <wp:wrapNone/>
                      <wp:docPr id="69" name="Frame6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35000" cy="175260"/>
                      <wp:effectExtent l="0" t="0" r="0" b="0"/>
                      <wp:wrapNone/>
                      <wp:docPr id="70" name="Frame70"/>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15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Raw material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4,511</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4,714</w:t>
            </w:r>
          </w:p>
        </w:tc>
      </w:tr>
      <w:tr>
        <w:trPr/>
        <w:tc>
          <w:tcPr>
            <w:tcW w:w="15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Work-in-process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1,369</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100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654</w:t>
            </w:r>
          </w:p>
        </w:tc>
      </w:tr>
      <w:tr>
        <w:trPr/>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Finished goods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5,344</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5,615</w: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11,224</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10,983</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 consists of the following at:</w:t>
      </w:r>
    </w:p>
    <w:p>
      <w:pPr>
        <w:pStyle w:val="TextBody"/>
        <w:bidi w:val="0"/>
        <w:spacing w:before="0" w:after="240"/>
        <w:ind w:left="0" w:right="0" w:hanging="0"/>
        <w:jc w:val="left"/>
        <w:rPr/>
      </w:pPr>
      <w:r>
        <w:rPr/>
        <w:t>​</w:t>
      </w:r>
    </w:p>
    <w:tbl>
      <w:tblPr>
        <w:tblW w:w="7133" w:type="dxa"/>
        <w:jc w:val="left"/>
        <w:tblInd w:w="0" w:type="dxa"/>
        <w:tblLayout w:type="fixed"/>
        <w:tblCellMar>
          <w:top w:w="0" w:type="dxa"/>
          <w:left w:w="0" w:type="dxa"/>
          <w:bottom w:w="0" w:type="dxa"/>
          <w:right w:w="0" w:type="dxa"/>
        </w:tblCellMar>
      </w:tblPr>
      <w:tblGrid>
        <w:gridCol w:w="4411"/>
        <w:gridCol w:w="326"/>
        <w:gridCol w:w="214"/>
        <w:gridCol w:w="596"/>
        <w:gridCol w:w="326"/>
        <w:gridCol w:w="290"/>
        <w:gridCol w:w="970"/>
      </w:tblGrid>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5890" cy="175260"/>
                      <wp:effectExtent l="0" t="0" r="0" b="0"/>
                      <wp:wrapNone/>
                      <wp:docPr id="72" name="Frame7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78460" cy="175260"/>
                      <wp:effectExtent l="0" t="0" r="0" b="0"/>
                      <wp:wrapNone/>
                      <wp:docPr id="73" name="Frame73"/>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84150" cy="175260"/>
                      <wp:effectExtent l="0" t="0" r="0" b="0"/>
                      <wp:wrapNone/>
                      <wp:docPr id="75" name="Frame75"/>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15950" cy="175260"/>
                      <wp:effectExtent l="0" t="0" r="0" b="0"/>
                      <wp:wrapNone/>
                      <wp:docPr id="76" name="Frame76"/>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1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4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Office furniture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491</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w:t>
            </w:r>
          </w:p>
        </w:tc>
      </w:tr>
      <w:tr>
        <w:trPr/>
        <w:tc>
          <w:tcPr>
            <w:tcW w:w="44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Lab equipment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2,800</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2,721</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Computer equipment and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955</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776</w:t>
            </w:r>
          </w:p>
        </w:tc>
      </w:tr>
      <w:tr>
        <w:trPr/>
        <w:tc>
          <w:tcPr>
            <w:tcW w:w="44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Leasehold improvements</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543</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Capital equipment in process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1,034</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554</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5,823</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4,551</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3,060</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2,788</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2,763</w:t>
            </w:r>
          </w:p>
        </w:tc>
        <w:tc>
          <w:tcPr>
            <w:tcW w:w="32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1,763</w:t>
            </w:r>
          </w:p>
        </w:tc>
      </w:tr>
    </w:tbl>
    <w:p>
      <w:pPr>
        <w:pStyle w:val="TextBody"/>
        <w:bidi w:val="0"/>
        <w:spacing w:before="0" w:after="24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bookmarkStart w:id="702" w:name="Tc_gcrQbfBZm0W3wlqgbI5uXw_12_5"/>
      <w:bookmarkStart w:id="703" w:name="Tc_lp0DF2VnQkmig2XGOn8faw_12_2"/>
      <w:bookmarkStart w:id="704" w:name="Tc_r67p7Ryqd0WfOMrqfhqkkQ_11_0"/>
      <w:bookmarkStart w:id="705" w:name="Tc_In4INQFlGkCDb1GwEBpuSQ_10_0"/>
      <w:bookmarkStart w:id="706" w:name="Tc_irEOiSrTLEKUAbMH0smq2w_9_0"/>
      <w:bookmarkStart w:id="707" w:name="Tc_0D4oDv2k2kWFcFusewv7fg_7_0"/>
      <w:bookmarkStart w:id="708" w:name="Tc_3xhE8I-1HUu8SMa_mY8H7g_6_0"/>
      <w:bookmarkStart w:id="709" w:name="Tc_B5p7-iBLQEmd-NnRX-4-WQ_5_6"/>
      <w:bookmarkStart w:id="710" w:name="Tc_dUi5k2JHPECKZVTRP41GOg_5_0"/>
      <w:bookmarkStart w:id="711" w:name="Tc_1rJq-VMhEk-HYQFqJcvlKA_4_0"/>
      <w:bookmarkStart w:id="712" w:name="Tc_kcbSWc9ahkaGzpt-MxN8AQ_3_5"/>
      <w:bookmarkStart w:id="713" w:name="Tc_hyiovLgB1kyAz4zWzeuCjQ_3_2"/>
      <w:bookmarkStart w:id="714" w:name="Tc_muLHT92P4kqvlFSjlO66_A_3_0"/>
      <w:bookmarkStart w:id="715" w:name="Tc_eVsS5OcMmUmoxt0CpnL8Tg_2_5"/>
      <w:bookmarkStart w:id="716" w:name="Tc_HP1N4Eu5lkOaFdU6ee6lGg_2_2"/>
      <w:bookmarkStart w:id="717" w:name="Tc_c1CUE_E2F02SAAMWT79XUQ_2_0"/>
      <w:bookmarkStart w:id="718" w:name="Tc_7VrPHxH1tk2dQ2o8rRUxvA_1_5"/>
      <w:bookmarkStart w:id="719" w:name="Tc_tsvvQ7spMkShk7MpK17gfQ_1_2"/>
      <w:bookmarkStart w:id="720" w:name="_fdc13b0f_c9f8_417a_a27c_315374830de9"/>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r>
        <w:rPr>
          <w:rFonts w:ascii="Arial;Helvetica;sans-serif" w:hAnsi="Arial;Helvetica;sans-serif"/>
          <w:sz w:val="20"/>
        </w:rPr>
        <w:t>Depreciation is determined using the straight-line method over the estimated useful lives of the respective assets, generally </w:t>
      </w:r>
      <w:r>
        <w:rPr>
          <w:rFonts w:ascii="Arial;Helvetica;sans-serif" w:hAnsi="Arial;Helvetica;sans-serif"/>
          <w:b w:val="false"/>
          <w:i w:val="false"/>
          <w:caps w:val="false"/>
          <w:smallCaps w:val="false"/>
          <w:sz w:val="20"/>
        </w:rPr>
        <w:t>three</w:t>
      </w:r>
      <w:r>
        <w:rPr>
          <w:rFonts w:ascii="Arial;Helvetica;sans-serif" w:hAnsi="Arial;Helvetica;sans-serif"/>
          <w:sz w:val="20"/>
        </w:rPr>
        <w:t> to five years. Leasehold improvements are amortized on a straight-line basis over the shorter of their estimated useful lives or the term of the lease. Depreciation expense was $141,000 and $127,000 for the three months ended June 30, 2024 and 2023, respectively, and $272,000 and $256,000 for the six months ended June 30, 2024 and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consist of the following at:</w:t>
      </w:r>
    </w:p>
    <w:p>
      <w:pPr>
        <w:pStyle w:val="TextBody"/>
        <w:bidi w:val="0"/>
        <w:spacing w:before="0" w:after="240"/>
        <w:ind w:left="0" w:right="0" w:hanging="0"/>
        <w:jc w:val="left"/>
        <w:rPr/>
      </w:pPr>
      <w:r>
        <w:rPr/>
        <w:t>​</w:t>
      </w:r>
    </w:p>
    <w:tbl>
      <w:tblPr>
        <w:tblW w:w="6263" w:type="dxa"/>
        <w:jc w:val="left"/>
        <w:tblInd w:w="0" w:type="dxa"/>
        <w:tblLayout w:type="fixed"/>
        <w:tblCellMar>
          <w:top w:w="0" w:type="dxa"/>
          <w:left w:w="0" w:type="dxa"/>
          <w:bottom w:w="0" w:type="dxa"/>
          <w:right w:w="0" w:type="dxa"/>
        </w:tblCellMar>
      </w:tblPr>
      <w:tblGrid>
        <w:gridCol w:w="3541"/>
        <w:gridCol w:w="326"/>
        <w:gridCol w:w="214"/>
        <w:gridCol w:w="596"/>
        <w:gridCol w:w="326"/>
        <w:gridCol w:w="290"/>
        <w:gridCol w:w="970"/>
      </w:tblGrid>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5890" cy="175260"/>
                      <wp:effectExtent l="0" t="0" r="0" b="0"/>
                      <wp:wrapNone/>
                      <wp:docPr id="78" name="Frame7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78460" cy="175260"/>
                      <wp:effectExtent l="0" t="0" r="0" b="0"/>
                      <wp:wrapNone/>
                      <wp:docPr id="79" name="Frame79"/>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84150" cy="175260"/>
                      <wp:effectExtent l="0" t="0" r="0" b="0"/>
                      <wp:wrapNone/>
                      <wp:docPr id="81" name="Frame81"/>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15950" cy="175260"/>
                      <wp:effectExtent l="0" t="0" r="0" b="0"/>
                      <wp:wrapNone/>
                      <wp:docPr id="82" name="Frame82"/>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54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Bonuses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1,821</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3,335</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Paid time off</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1,009</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770</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401(k) match</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560</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Customer rebates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411</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interest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lease liability, current portion</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231</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Clinical trial and other professional fees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216</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Taxes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951</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611</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5,610</w:t>
            </w:r>
          </w:p>
        </w:tc>
        <w:tc>
          <w:tcPr>
            <w:tcW w:w="32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5,980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4. Debt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Innovatus Loan Agreement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October 31, 2022, we entered into a Loan and Security Agreement (the “Loan Agreement”) with Innovatus Life Sciences Fund I, LP, as the collateral agent and a lender, under which we may borrow, subject to our achievement of certain milestones, up to a total of $50.0 million in a series of term loans. On the closing date, we borrowed the minimum amount of $7.5 million under the Loan Agreement. On March 10, 2023, we borrowed the $7.5 million remaining under the first tranche of the Loan Agreement. On December 15, 2023, we borrowed an additional $15.0 million under the second tranche of the Loan Agreement. The Loan Agreement initially requires interest only payments through November 2027, followed by three monthly principal and interest payments. A final payment of $1.4 million, equal to 4.5% of the original borrowed principal, is due in January 2028. The term loans advanced pursuant to the Loan Agreement (collectively, the “Term Loans”) bear interest at a floating rate per annum equal to the sum of (a) the greater of (i) the prime rate and (ii) 5.50% plus (b) 2.65%. The Term Loans are secured by substantially all of our personal property. We have the option to draw down up to $20.0 million between September 1, 2024 and December 15, 2024 if we achieve trailing three months revenue of $9.0 million prior to June 30, 2024, which was achieved. A performance covenant takes effect at the earlier of September 30, 2025, or the third tranche funding, requiring that we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 We were in compliance with these covenants as of June 30,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connection with the Loan Agreement, we recorded $1.0 million of debt issuance costs and discounts as a reduction of long-term debt.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bookmarkStart w:id="721" w:name="Tc_gssq5glV30qJCR3oz_wChw_10_2"/>
      <w:bookmarkStart w:id="722" w:name="Tc_FAyuZcffrU6SGFRC5_uIAg_10_0"/>
      <w:bookmarkStart w:id="723" w:name="Tc_JvnA0Byr_kyCbuKc2q79eQ_9_0"/>
      <w:bookmarkStart w:id="724" w:name="Tc_TVfZgUJljkS71yR3CIYVEA_7_0"/>
      <w:bookmarkStart w:id="725" w:name="Tc_icc64diQREGhtgUzbLdMkA_6_0"/>
      <w:bookmarkStart w:id="726" w:name="Tc_W5Pas55D60Wp-Jcj7mVjSw_5_3"/>
      <w:bookmarkStart w:id="727" w:name="Tc_6VKPCN7xok-7B7ec7uHENg_5_0"/>
      <w:bookmarkStart w:id="728" w:name="Tc_YJfaPMwCmUeT-HfHuTiuzQ_4_3"/>
      <w:bookmarkStart w:id="729" w:name="Tc_5M-3nYjfp0WVaMZIvHYrQQ_4_0"/>
      <w:bookmarkStart w:id="730" w:name="Tc_PzvwD4lZCUyqKgHHKqiazQ_3_3"/>
      <w:bookmarkStart w:id="731" w:name="Tc_pHS1hbOEW0qBrYdd3RSlaQ_3_2"/>
      <w:bookmarkStart w:id="732" w:name="Tc_HEnJPsCdsU6cPzgqyWGdmA_3_0"/>
      <w:bookmarkStart w:id="733" w:name="Tc_mfiDGPsMKk-Xg7VTUqZYgA_2_2"/>
      <w:bookmarkStart w:id="734" w:name="Tc_9kOFR5It1UWcgin-6Zr1tw_2_0"/>
      <w:bookmarkStart w:id="735" w:name="Tc_emmKHFN3bEGx3qSak0673Q_1_2"/>
      <w:bookmarkStart w:id="736" w:name="_4a015d8d_f9b2_44ae_8a34_493ad42ac4b8"/>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r>
        <w:rPr>
          <w:rFonts w:ascii="Arial;Helvetica;sans-serif" w:hAnsi="Arial;Helvetica;sans-serif"/>
          <w:sz w:val="20"/>
        </w:rPr>
        <w:t>The annual principal maturities of debt under the Loan Agreement are as follows:</w:t>
      </w:r>
    </w:p>
    <w:p>
      <w:pPr>
        <w:pStyle w:val="TextBody"/>
        <w:bidi w:val="0"/>
        <w:spacing w:before="0" w:after="0"/>
        <w:ind w:left="0" w:right="0" w:hanging="0"/>
        <w:jc w:val="left"/>
        <w:rPr/>
      </w:pPr>
      <w:r>
        <w:rPr/>
        <w:t>​</w:t>
      </w:r>
    </w:p>
    <w:tbl>
      <w:tblPr>
        <w:tblW w:w="5351" w:type="dxa"/>
        <w:jc w:val="left"/>
        <w:tblInd w:w="0" w:type="dxa"/>
        <w:tblLayout w:type="fixed"/>
        <w:tblCellMar>
          <w:top w:w="0" w:type="dxa"/>
          <w:left w:w="0" w:type="dxa"/>
          <w:bottom w:w="0" w:type="dxa"/>
          <w:right w:w="0" w:type="dxa"/>
        </w:tblCellMar>
      </w:tblPr>
      <w:tblGrid>
        <w:gridCol w:w="4006"/>
        <w:gridCol w:w="326"/>
        <w:gridCol w:w="211"/>
        <w:gridCol w:w="808"/>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13080" cy="175260"/>
                      <wp:effectExtent l="0" t="0" r="0" b="0"/>
                      <wp:wrapNone/>
                      <wp:docPr id="85" name="Frame85"/>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9"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20,000</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10,000</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Unamortized debt costs and discounts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(681)</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29,319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bookmarkStart w:id="737" w:name="Tc_3G6EyoRw4kCivFjeid9j9Q_8_5"/>
      <w:bookmarkStart w:id="738" w:name="Tc_aWLEiFa2MUi8fZll1qlUAw_8_2"/>
      <w:bookmarkStart w:id="739" w:name="Tc_gGEVf75lvU6ivsrTuMSQaA_8_0"/>
      <w:bookmarkStart w:id="740" w:name="Tc_-1ic1PE7zkS23rxlZczFKg_7_0"/>
      <w:bookmarkStart w:id="741" w:name="Tc_mZzgqiKMIES14P_D9QLmQg_5_0"/>
      <w:bookmarkStart w:id="742" w:name="Tc_QO21pZQFCEOlU9SVfBQnLw_4_5"/>
      <w:bookmarkStart w:id="743" w:name="Tc_K_2vevAzAUq5_PWE7ryZyQ_4_2"/>
      <w:bookmarkStart w:id="744" w:name="Tc_jqQXgHClIUyXY6ZZv6xAtA_4_0"/>
      <w:bookmarkStart w:id="745" w:name="Tc_LAoBSjGVIUGZuaUD9U57SQ_3_0"/>
      <w:bookmarkStart w:id="746" w:name="Tc_uZjKx1JS-EakZFNtxh52VQ_2_5"/>
      <w:bookmarkStart w:id="747" w:name="Tc_VYZyVk2IN0a4fJb2dyjLWA_2_2"/>
      <w:bookmarkStart w:id="748" w:name="Tc_gTjZCJWLTk2R2fT5OmNeFQ_2_0"/>
      <w:bookmarkStart w:id="749" w:name="Tc_rJe_ooe69ES_pE9Il1R32Q_1_5"/>
      <w:bookmarkStart w:id="750" w:name="Tc_TCZvVN4TP0e2J_MMjyNriw_1_2"/>
      <w:bookmarkStart w:id="751" w:name="_e01050d8_07a6_47ad_828f_b369a5a289f8"/>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rFonts w:ascii="Arial;Helvetica;sans-serif" w:hAnsi="Arial;Helvetica;sans-serif"/>
          <w:b/>
          <w:sz w:val="24"/>
        </w:rPr>
        <w:t>5. Leases</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We lease 31,505 square feet of office space in Minneapolis, Minnesota, which houses our principal executive offices and our manufacturing facility. We lease this space under an operating lease agreement that commenced December 1, 2008, and was scheduled to expire August 31, 2024. On April 21, 2023, we extended the operating lease for our office space in Minneapolis, Minnesota for an additional 49 consecutive months through August 31, 2028. On November 7, 2023, we expanded our existing office space with the addition of 7,615 square feet of property adjacent to our principal executive offices and our manufacturing facility. The term on this expanded property is for 57 consecutive months that will run concurrently with the term on the existing lease. We intend to add new facilities as we grow, and we believe that suitable additional or substitute space will be available as needed to accommodate any such expansion of our operations. Our operating lease agreement includes an option to renew for one additional period of three years. The exercise of the lease renewal option is at our sole discretion and was not included in the lease term for the calculation of the ROU asset and lease liability, as it is not reasonably certain of exercise.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presents the lease balances within the condensed consolidated balance sheets:</w:t>
      </w:r>
    </w:p>
    <w:tbl>
      <w:tblPr>
        <w:tblW w:w="6391" w:type="dxa"/>
        <w:jc w:val="left"/>
        <w:tblInd w:w="0" w:type="dxa"/>
        <w:tblLayout w:type="fixed"/>
        <w:tblCellMar>
          <w:top w:w="0" w:type="dxa"/>
          <w:left w:w="0" w:type="dxa"/>
          <w:bottom w:w="0" w:type="dxa"/>
          <w:right w:w="0" w:type="dxa"/>
        </w:tblCellMar>
      </w:tblPr>
      <w:tblGrid>
        <w:gridCol w:w="3886"/>
        <w:gridCol w:w="326"/>
        <w:gridCol w:w="214"/>
        <w:gridCol w:w="596"/>
        <w:gridCol w:w="109"/>
        <w:gridCol w:w="290"/>
        <w:gridCol w:w="970"/>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467610" cy="175260"/>
                      <wp:effectExtent l="0" t="0" r="0" b="0"/>
                      <wp:wrapNone/>
                      <wp:docPr id="86" name="Frame86"/>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5890" cy="175260"/>
                      <wp:effectExtent l="0" t="0" r="0" b="0"/>
                      <wp:wrapNone/>
                      <wp:docPr id="88" name="Frame8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78460" cy="175260"/>
                      <wp:effectExtent l="0" t="0" r="0" b="0"/>
                      <wp:wrapNone/>
                      <wp:docPr id="89" name="Frame89"/>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4150" cy="175260"/>
                      <wp:effectExtent l="0" t="0" r="0" b="0"/>
                      <wp:wrapNone/>
                      <wp:docPr id="91" name="Frame91"/>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15950" cy="175260"/>
                      <wp:effectExtent l="0" t="0" r="0" b="0"/>
                      <wp:wrapNone/>
                      <wp:docPr id="92" name="Frame92"/>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1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109"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88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1,200</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1,349</w:t>
            </w:r>
          </w:p>
        </w:tc>
      </w:tr>
      <w:tr>
        <w:trPr/>
        <w:tc>
          <w:tcPr>
            <w:tcW w:w="388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247</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w:t>
            </w:r>
          </w:p>
        </w:tc>
      </w:tr>
      <w:tr>
        <w:trPr/>
        <w:tc>
          <w:tcPr>
            <w:tcW w:w="38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liability, non-current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1,023</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1,160</w:t>
            </w:r>
          </w:p>
        </w:tc>
      </w:tr>
      <w:tr>
        <w:trPr/>
        <w:tc>
          <w:tcPr>
            <w:tcW w:w="38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Total operating lease liabilities </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1,270</w:t>
            </w:r>
          </w:p>
        </w:tc>
        <w:tc>
          <w:tcPr>
            <w:tcW w:w="109"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1,391</w:t>
            </w:r>
          </w:p>
        </w:tc>
      </w:tr>
    </w:tbl>
    <w:p>
      <w:pPr>
        <w:pStyle w:val="TextBody"/>
        <w:bidi w:val="0"/>
        <w:spacing w:before="0" w:after="24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bookmarkStart w:id="752" w:name="Tc_B8CHgcoN1E-9xMUVriUK-A_10_2"/>
      <w:bookmarkStart w:id="753" w:name="Tc_grrT_S36tke3mEgQUYkj4A_10_0"/>
      <w:bookmarkStart w:id="754" w:name="Tc_80PORUxevEq52V33vwJO7g_9_0"/>
      <w:bookmarkStart w:id="755" w:name="Tc_aHc5HJi_XE6E12se0bsqiA_8_0"/>
      <w:bookmarkStart w:id="756" w:name="Tc_6W_J4iZlB0aVpb6BpaQh2w_7_0"/>
      <w:bookmarkStart w:id="757" w:name="Tc_hI7NzxuXJEWrmrdJKO9bKQ_6_0"/>
      <w:bookmarkStart w:id="758" w:name="Tc_bNtU3GjB50i8hIp47MDK3w_5_0"/>
      <w:bookmarkStart w:id="759" w:name="Tc_vsCgtfl1C0OThchu9PqnbA_4_0"/>
      <w:bookmarkStart w:id="760" w:name="Tc_hqFVIjZOYk60c1clfncDlw_3_2"/>
      <w:bookmarkStart w:id="761" w:name="Tc_aNqUpmHPdUO1BLJYMAy8Jg_3_0"/>
      <w:bookmarkStart w:id="762" w:name="Tc_P82Msj9_bEiBmfRkTt6qGw_2_2"/>
      <w:bookmarkStart w:id="763" w:name="Tc_ypdlDFRVskyZjPu3hz5vzg_2_0"/>
      <w:bookmarkStart w:id="764" w:name="Tc_Xzk1KWDTFUub6CmqPV1m2Q_1_2"/>
      <w:bookmarkStart w:id="765" w:name="_5ddc4b72_aa48_4535_b7ab_39c5d57f5c2b"/>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r>
        <w:rPr>
          <w:rFonts w:ascii="Arial;Helvetica;sans-serif" w:hAnsi="Arial;Helvetica;sans-serif"/>
          <w:sz w:val="20"/>
        </w:rPr>
        <w:t>Maturities of our lease liability for our operating lease are as follows as of June 30, 2024:</w:t>
      </w:r>
    </w:p>
    <w:p>
      <w:pPr>
        <w:pStyle w:val="TextBody"/>
        <w:bidi w:val="0"/>
        <w:spacing w:before="0" w:after="240"/>
        <w:ind w:left="0" w:right="0" w:hanging="0"/>
        <w:jc w:val="left"/>
        <w:rPr/>
      </w:pPr>
      <w:r>
        <w:rPr/>
        <w:t>​</w:t>
      </w:r>
    </w:p>
    <w:tbl>
      <w:tblPr>
        <w:tblW w:w="4234" w:type="dxa"/>
        <w:jc w:val="left"/>
        <w:tblInd w:w="0" w:type="dxa"/>
        <w:tblLayout w:type="fixed"/>
        <w:tblCellMar>
          <w:top w:w="0" w:type="dxa"/>
          <w:left w:w="0" w:type="dxa"/>
          <w:bottom w:w="0" w:type="dxa"/>
          <w:right w:w="0" w:type="dxa"/>
        </w:tblCellMar>
      </w:tblPr>
      <w:tblGrid>
        <w:gridCol w:w="3211"/>
        <w:gridCol w:w="109"/>
        <w:gridCol w:w="211"/>
        <w:gridCol w:w="703"/>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38985" cy="175260"/>
                      <wp:effectExtent l="0" t="0" r="0" b="0"/>
                      <wp:wrapNone/>
                      <wp:docPr id="93" name="Frame93"/>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46405" cy="175260"/>
                      <wp:effectExtent l="0" t="0" r="0" b="0"/>
                      <wp:wrapNone/>
                      <wp:docPr id="96" name="Frame96"/>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4"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109" w:type="dxa"/>
            <w:tcBorders/>
            <w:vAlign w:val="center"/>
          </w:tcPr>
          <w:p>
            <w:pPr>
              <w:pStyle w:val="TableContents"/>
              <w:bidi w:val="0"/>
              <w:spacing w:before="0" w:after="1"/>
              <w:ind w:left="0" w:right="0" w:hanging="0"/>
              <w:jc w:val="left"/>
              <w:rPr/>
            </w:pPr>
            <w:r>
              <w:rPr/>
              <w:t>​</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350</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362</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374</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223</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undiscounted lease payments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1,460</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Present value of lease liability</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1,270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June 30, 2024, the remaining lease term was 4.2 years and the weighted average discount rate was 6.7%. The operating cash outflows from our operating lease were $0.3 million and $0.2 million for the six months ended June 30, 2024 and 2023, respectively. </w:t>
      </w:r>
    </w:p>
    <w:p>
      <w:pPr>
        <w:pStyle w:val="TextBody"/>
        <w:bidi w:val="0"/>
        <w:spacing w:before="0" w:after="240"/>
        <w:ind w:left="0" w:right="0" w:hanging="0"/>
        <w:jc w:val="left"/>
        <w:rPr/>
      </w:pPr>
      <w:r>
        <w:rPr/>
        <w:t>​</w:t>
      </w:r>
    </w:p>
    <w:tbl>
      <w:tblPr>
        <w:tblW w:w="2822" w:type="dxa"/>
        <w:jc w:val="left"/>
        <w:tblInd w:w="0" w:type="dxa"/>
        <w:tblLayout w:type="fixed"/>
        <w:tblCellMar>
          <w:top w:w="0" w:type="dxa"/>
          <w:left w:w="0" w:type="dxa"/>
          <w:bottom w:w="0" w:type="dxa"/>
          <w:right w:w="0" w:type="dxa"/>
        </w:tblCellMar>
      </w:tblPr>
      <w:tblGrid>
        <w:gridCol w:w="316"/>
        <w:gridCol w:w="250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6.</w:t>
            </w:r>
          </w:p>
        </w:tc>
        <w:tc>
          <w:tcPr>
            <w:tcW w:w="250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Stockholders’ equity</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Common Stock Warrants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common stock warrants exercisable for 108,406 shares of common stock upon conversion at a weighted average exercise price of $14.92 per share outstanding at June 30, 2024. Johnson &amp; Johnson Innovation – JJDC, Inc. had common stock warrants exercisable for 607,725 shares of our common stock with an exercise price of $0.16 per share that were all exercised through a net exercise transaction for 604,000 shares of common stock during the six months ended June 30, 2024.</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At-the-Market (“ATM”) Offering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January 2024, we commenced an ATM offering, which allows us to issue and sell </w:t>
      </w:r>
      <w:r>
        <w:rPr>
          <w:rFonts w:ascii="Arial;Helvetica;sans-serif" w:hAnsi="Arial;Helvetica;sans-serif"/>
          <w:sz w:val="20"/>
          <w:shd w:fill="FFFFFF" w:val="clear"/>
        </w:rPr>
        <w:t>shares of our common stock having an aggregate offering price of up to $50.0 million</w:t>
      </w:r>
      <w:r>
        <w:rPr>
          <w:rFonts w:ascii="Arial;Helvetica;sans-serif" w:hAnsi="Arial;Helvetica;sans-serif"/>
          <w:sz w:val="20"/>
        </w:rPr>
        <w:t>. We issued 23,364 shares of common stock for gross proceeds of $0.6 million under the ATM offering during the six months ended June 30, 2024. We have remaining capacity to issue and sell up to approximately $49.4 million of additional shares of common stock under this ATM offering.</w:t>
      </w:r>
    </w:p>
    <w:tbl>
      <w:tblPr>
        <w:tblW w:w="3602" w:type="dxa"/>
        <w:jc w:val="left"/>
        <w:tblInd w:w="0" w:type="dxa"/>
        <w:tblLayout w:type="fixed"/>
        <w:tblCellMar>
          <w:top w:w="0" w:type="dxa"/>
          <w:left w:w="0" w:type="dxa"/>
          <w:bottom w:w="0" w:type="dxa"/>
          <w:right w:w="0" w:type="dxa"/>
        </w:tblCellMar>
      </w:tblPr>
      <w:tblGrid>
        <w:gridCol w:w="316"/>
        <w:gridCol w:w="328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7.</w:t>
            </w:r>
          </w:p>
        </w:tc>
        <w:tc>
          <w:tcPr>
            <w:tcW w:w="328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Stock-based compensation</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Summary of plans and activity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June 2001, our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2021, our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annual increase resulted in an additional 1,043,959 shares being reserved for issuance under the 2021 Plan as of January 1, 2024. The 2021 Plan provides for the issuance of stock options, stock appreciation rights, restricted stock awards, stock unit awards and other stock-based awards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766" w:name="Tc_74MrEQpT7kapjnUHxVI6Sw_11_7"/>
      <w:bookmarkStart w:id="767" w:name="Tc_PeEEoiXYvUOeLVT_x2cYNg_11_4"/>
      <w:bookmarkStart w:id="768" w:name="Tc_2StNOrJldkGCErz_xTwMoQ_11_0"/>
      <w:bookmarkStart w:id="769" w:name="Tc_FOmifK9MWEqoMQ55daqEZA_10_7"/>
      <w:bookmarkStart w:id="770" w:name="Tc_jw1KGhxyYU-j-tjK9ivp0w_10_4"/>
      <w:bookmarkStart w:id="771" w:name="Tc_5BzgIfvGXkeSdFBO_JD3eA_10_0"/>
      <w:bookmarkStart w:id="772" w:name="Tc_dTjx9tnAj065EsJegOwPZg_9_0"/>
      <w:bookmarkStart w:id="773" w:name="Tc_iy4A3KbztEG--GWm_qIc4w_8_0"/>
      <w:bookmarkStart w:id="774" w:name="Tc_1GRfSPUeKkWPdsGsGRlRAg_7_0"/>
      <w:bookmarkStart w:id="775" w:name="Tc_zzcoaVvL8Uyd6ZtYmZFylA_6_7"/>
      <w:bookmarkStart w:id="776" w:name="Tc_X_D-SkMWmkOkTYzS6nMVuQ_6_4"/>
      <w:bookmarkStart w:id="777" w:name="Tc_QUZ6QYWZHkW0794wxYqEcA_6_0"/>
      <w:bookmarkStart w:id="778" w:name="Tc_o0XmBwvxyUKz8XX8j1LYxw_5_7"/>
      <w:bookmarkStart w:id="779" w:name="Tc_Lwww7ggMl0aBE3fNrBiAZA_4_7"/>
      <w:bookmarkStart w:id="780" w:name="Tc_d-J3T23VzkqjsEYmSPkCTw_4_4"/>
      <w:bookmarkStart w:id="781" w:name="Tc_fWJBBqr4JEiFNOMTEBJOAA_4_2"/>
      <w:bookmarkStart w:id="782" w:name="Tc_I3myw3sNE06Vv3RKJckQlw_3_7"/>
      <w:bookmarkStart w:id="783" w:name="Tc_nG3N4CtP-ke4I91Vo0XFoA_3_4"/>
      <w:bookmarkStart w:id="784" w:name="Tc_jYYOoG2GpUqf8pWpD3yFXQ_3_2"/>
      <w:bookmarkStart w:id="785" w:name="Tc_lostHEeKtE2jYUEDVSfMtA_2_7"/>
      <w:bookmarkStart w:id="786" w:name="Tc_0b57E1muUkuXy8szwZYVKg_2_4"/>
      <w:bookmarkStart w:id="787" w:name="Tc_PcAlQCGcwkGwvdIMXPvueA_2_2"/>
      <w:bookmarkStart w:id="788" w:name="Tc_EvTaw7bO2024Z5hQaGDwiw_1_4"/>
      <w:bookmarkStart w:id="789" w:name="_9eb82ce5_df0f_475e_99de_a10da6b0e7aa"/>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r>
        <w:rPr>
          <w:rFonts w:ascii="Arial;Helvetica;sans-serif" w:hAnsi="Arial;Helvetica;sans-serif"/>
          <w:sz w:val="20"/>
        </w:rPr>
        <w:t>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June 30, 2024, there were 1,289,889 shares available for future issuance under the 2021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Options are granted at exercise prices not less than the fair market value (as determined by the Board of Directors) of our common stock on the date of grant.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years 2008 through the initial public offering (the “IPO”), the Board of Directors authorized the grant of stock options for the purchase of shares of common stock to the employers of certain non-employee directors. The options were not granted under the 2001 Plan or the 2021 Plan, but terms are substantially the same as our standard form of option agreement for non-employee directors as they have an exercise price not less than the fair market value on the grant date and vest over 48 months from the date of grant.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is a summary of stock option activity:</w:t>
      </w:r>
    </w:p>
    <w:tbl>
      <w:tblPr>
        <w:tblW w:w="7565" w:type="dxa"/>
        <w:jc w:val="left"/>
        <w:tblInd w:w="0" w:type="dxa"/>
        <w:tblLayout w:type="fixed"/>
        <w:tblCellMar>
          <w:top w:w="0" w:type="dxa"/>
          <w:left w:w="0" w:type="dxa"/>
          <w:bottom w:w="0" w:type="dxa"/>
          <w:right w:w="0" w:type="dxa"/>
        </w:tblCellMar>
      </w:tblPr>
      <w:tblGrid>
        <w:gridCol w:w="3391"/>
        <w:gridCol w:w="326"/>
        <w:gridCol w:w="1051"/>
        <w:gridCol w:w="326"/>
        <w:gridCol w:w="243"/>
        <w:gridCol w:w="658"/>
        <w:gridCol w:w="326"/>
        <w:gridCol w:w="238"/>
        <w:gridCol w:w="123"/>
        <w:gridCol w:w="883"/>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53285" cy="175260"/>
                      <wp:effectExtent l="0" t="0" r="0" b="0"/>
                      <wp:wrapNone/>
                      <wp:docPr id="97" name="Frame97"/>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67385" cy="175260"/>
                      <wp:effectExtent l="0" t="0" r="0" b="0"/>
                      <wp:wrapNone/>
                      <wp:docPr id="99" name="Frame9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4305" cy="175260"/>
                      <wp:effectExtent l="0" t="0" r="0" b="0"/>
                      <wp:wrapNone/>
                      <wp:docPr id="101" name="Frame10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17830" cy="175260"/>
                      <wp:effectExtent l="0" t="0" r="0" b="0"/>
                      <wp:wrapNone/>
                      <wp:docPr id="102" name="Frame102"/>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1130" cy="175260"/>
                      <wp:effectExtent l="0" t="0" r="0" b="0"/>
                      <wp:wrapNone/>
                      <wp:docPr id="104" name="Frame10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8105" cy="175260"/>
                      <wp:effectExtent l="0" t="0" r="0" b="0"/>
                      <wp:wrapNone/>
                      <wp:docPr id="105" name="Frame105"/>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60705" cy="175260"/>
                      <wp:effectExtent l="0" t="0" r="0" b="0"/>
                      <wp:wrapNone/>
                      <wp:docPr id="106" name="Frame106"/>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Weighted</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pPr>
            <w:r>
              <w:rPr/>
              <w:t>​</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Number</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Average</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1244" w:type="dxa"/>
            <w:gridSpan w:val="3"/>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Aggregate</w:t>
            </w:r>
            <w:r>
              <w:rPr>
                <w:rFonts w:ascii="Arial;Helvetica;sans-serif" w:hAnsi="Arial;Helvetica;sans-serif"/>
                <w:sz w:val="16"/>
              </w:rPr>
              <w:t> </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of</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Exercise</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1244" w:type="dxa"/>
            <w:gridSpan w:val="3"/>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Intrinsic</w:t>
            </w:r>
            <w:r>
              <w:rPr>
                <w:rFonts w:ascii="Arial;Helvetica;sans-serif" w:hAnsi="Arial;Helvetica;sans-serif"/>
                <w:sz w:val="16"/>
              </w:rPr>
              <w:t> </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Options</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Price</w:t>
            </w:r>
          </w:p>
        </w:tc>
        <w:tc>
          <w:tcPr>
            <w:tcW w:w="326" w:type="dxa"/>
            <w:tcBorders/>
            <w:vAlign w:val="center"/>
          </w:tcPr>
          <w:p>
            <w:pPr>
              <w:pStyle w:val="TableContents"/>
              <w:bidi w:val="0"/>
              <w:spacing w:before="0" w:after="0"/>
              <w:ind w:left="0" w:right="0" w:hanging="0"/>
              <w:jc w:val="left"/>
              <w:rPr/>
            </w:pPr>
            <w:r>
              <w:rPr/>
              <w:t>​</w:t>
            </w:r>
          </w:p>
        </w:tc>
        <w:tc>
          <w:tcPr>
            <w:tcW w:w="124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4" w:type="dxa"/>
            <w:gridSpan w:val="3"/>
            <w:tcBorders/>
            <w:vAlign w:val="center"/>
          </w:tcPr>
          <w:p>
            <w:pPr>
              <w:pStyle w:val="TableContents"/>
              <w:bidi w:val="0"/>
              <w:spacing w:before="0" w:after="0"/>
              <w:ind w:left="0" w:right="0" w:hanging="0"/>
              <w:jc w:val="center"/>
              <w:rPr>
                <w:rFonts w:ascii="Arial;Helvetica;sans-serif" w:hAnsi="Arial;Helvetica;sans-serif"/>
                <w:i/>
                <w:sz w:val="16"/>
              </w:rPr>
            </w:pPr>
            <w:r>
              <w:rPr>
                <w:rFonts w:ascii="Arial;Helvetica;sans-serif" w:hAnsi="Arial;Helvetica;sans-serif"/>
                <w:i/>
                <w:sz w:val="16"/>
              </w:rPr>
              <w:t>(in  thousands)</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4,488,845</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3"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97,266</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2,732,672</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13.36</w:t>
            </w:r>
          </w:p>
        </w:tc>
        <w:tc>
          <w:tcPr>
            <w:tcW w:w="32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  </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Cancelled / 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(1,307,400)</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8.97</w:t>
            </w:r>
          </w:p>
        </w:tc>
        <w:tc>
          <w:tcPr>
            <w:tcW w:w="326"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  </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Exercised</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(165,987)</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5.31</w:t>
            </w:r>
          </w:p>
        </w:tc>
        <w:tc>
          <w:tcPr>
            <w:tcW w:w="32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  </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 as of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5,748,130</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11.79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17,988</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Options exercisable as of June 30, 2024</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2,906,595</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8.52</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3"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13,739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2024, stock options outstanding included 4,520 options that were not granted under the 2001 Plan or the 2021 Plan. For options outstanding as of June 30, 2024, the weighted average remaining contractual life was 7.1 years. For options exercisable as of June 30, 2024, the weighted average remaining contractual life was 5.6 years.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our common stock outstanding on the last day of the calendar month before the date of each automatic increase, or such lesser number of shares as determined by the Board of Directors. The annual increase resulted in an additional 208,791 shares being reserved for issuance under the ESPP as of January 1, 2024. The ESPP permits certain of our U.S. employees to purchase shares of our common stock at a price per share not less than 85% of the lower of (i) the closing market price per share of our common stock on the first day of the applicable purchase period or (ii) the closing market price per share of our common stock on the purchase date at the end of the applicable six-month purchase period. For the six months ended June 30, 2024, 39,807 shares of common stock were purchased under the ESPP for $0.4 million of employee contributions. As of June 30, 2024, there were 672,618 shares available for issuance under the ESPP.</w:t>
      </w:r>
      <w:r>
        <w:rPr>
          <w:rFonts w:ascii="Arial;Helvetica;sans-serif" w:hAnsi="Arial;Helvetica;sans-serif"/>
          <w:spacing w:val="5"/>
          <w:sz w:val="20"/>
        </w:rPr>
        <w:t xml:space="preserve">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Stock-based compensation expense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use the Black-Scholes option pricing model to determine the fair value of stock options and ESPP purchase rights on the grant date. We measure stock-based compensation expense based on the grant date fair value of the award and recognize compensation expense over the requisite service period, which is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790" w:name="Tc_k6EYmpG2QEWNhULksvB11Q_11_11"/>
      <w:bookmarkStart w:id="791" w:name="Tc_QKnG04fVJ0Gdp_aP0Umfyg_11_8"/>
      <w:bookmarkStart w:id="792" w:name="Tc_QG-Gcb1sd0C0H8FR8zdrCQ_11_5"/>
      <w:bookmarkStart w:id="793" w:name="Tc_Acb3eVn0_UytjgBh1dqTQw_11_2"/>
      <w:bookmarkStart w:id="794" w:name="Tc_QkUYIZB90UKPLoBU0ABM6g_10_0"/>
      <w:bookmarkStart w:id="795" w:name="Tc_TAWfFr6r2UiI-SY_DZ7reQ_9_0"/>
      <w:bookmarkStart w:id="796" w:name="Tc_5dXwN0gk6UShw6ucQ5kEUw_8_11"/>
      <w:bookmarkStart w:id="797" w:name="Tc_u6cPQzKJlkWO8yWUzX5s1Q_8_8"/>
      <w:bookmarkStart w:id="798" w:name="Tc_mHee2O7-8UaJNaBmEqM6Pg_8_5"/>
      <w:bookmarkStart w:id="799" w:name="Tc_d5R3avdZLkKYj69LopG9RA_8_2"/>
      <w:bookmarkStart w:id="800" w:name="Tc_8BrfX6Bn60aMpQPt72dS8g_8_0"/>
      <w:bookmarkStart w:id="801" w:name="Tc_omqNQxnAPkaLpsNchWx6lw_6_11"/>
      <w:bookmarkStart w:id="802" w:name="Tc_XeYjsp_PT0mNmtaqiP0c3A_6_8"/>
      <w:bookmarkStart w:id="803" w:name="Tc_dYB4TSsrG0GIJWEkE9Vm1A_6_5"/>
      <w:bookmarkStart w:id="804" w:name="Tc_UnXBb5OjVEmUB2XqzpvreQ_6_2"/>
      <w:bookmarkStart w:id="805" w:name="Tc_B0KWHfZ13EqxMvi3V4J4Hw_6_0"/>
      <w:bookmarkStart w:id="806" w:name="Tc_r9kkmlfhbk-Raou-0VAa6w_5_0"/>
      <w:bookmarkStart w:id="807" w:name="Tc_oaeThTEEkUWHqp6OkKAqpw_4_11"/>
      <w:bookmarkStart w:id="808" w:name="Tc_kf00Fzz1QUK6NgLeD9T2xA_4_8"/>
      <w:bookmarkStart w:id="809" w:name="Tc_9UG3oz-1ukafDBIexh1RUg_4_5"/>
      <w:bookmarkStart w:id="810" w:name="Tc_SzuAlq-8FUqqebbrIqFVnA_4_2"/>
      <w:bookmarkStart w:id="811" w:name="Tc_IapVQ1smdEuJHurpYvkCog_4_0"/>
      <w:bookmarkStart w:id="812" w:name="Tc_IS8hgEskN0-P4jOmUyZb8Q_3_11"/>
      <w:bookmarkStart w:id="813" w:name="Tc_t7U8EB2Gtkyj5FZVKR3pqw_3_8"/>
      <w:bookmarkStart w:id="814" w:name="Tc_lPLT8YYD_Uyohuf0HFXd7Q_3_5"/>
      <w:bookmarkStart w:id="815" w:name="Tc_hWxNdGAvj0qSChT--Ao9Vg_3_2"/>
      <w:bookmarkStart w:id="816" w:name="Tc_P51CIxc2uES7cKZUDveDfQ_3_0"/>
      <w:bookmarkStart w:id="817" w:name="Tc_Xq6ZUNE790SWH09Rvseybg_2_8"/>
      <w:bookmarkStart w:id="818" w:name="Tc_GQnlSLzDtUidGYC1-ROqJQ_2_2"/>
      <w:bookmarkStart w:id="819" w:name="Tc_kfJl_aWOHkiBO7ZYyjbEzA_1_8"/>
      <w:bookmarkStart w:id="820" w:name="Tc_KRleB_5dY0qrkcrw6m9kcA_1_2"/>
      <w:bookmarkStart w:id="821" w:name="_271d42ff_8f1d_482b_8bd2_ccb11f67ee86"/>
      <w:bookmarkStart w:id="822" w:name="Tc_ZX7Bzpee6U-ef6NNZpOAYA_7_8"/>
      <w:bookmarkStart w:id="823" w:name="Tc_s4bR0XN8lEe9lzxDI7MyIw_7_4"/>
      <w:bookmarkStart w:id="824" w:name="Tc_Mt660-D-iki4h-QAFXkfGQ_7_0"/>
      <w:bookmarkStart w:id="825" w:name="Tc_ZQW36sz6G0SWnv-MPF3g-w_6_8"/>
      <w:bookmarkStart w:id="826" w:name="Tc_kJfraSr71k6G318x1yHdqQ_6_4"/>
      <w:bookmarkStart w:id="827" w:name="Tc_kB4RwoQH-USCPKf20k2U5g_6_0"/>
      <w:bookmarkStart w:id="828" w:name="Tc_haq-t0bS4EGcSL1s4CACCg_5_8"/>
      <w:bookmarkStart w:id="829" w:name="Tc_t3nvJuuIUEe43DOj9waIMw_5_4"/>
      <w:bookmarkStart w:id="830" w:name="Tc_avjh2n4_pkS84QC2HRoerA_5_0"/>
      <w:bookmarkStart w:id="831" w:name="Tc__7AInsGW3ke9G9zq7HBC-A_4_0"/>
      <w:bookmarkStart w:id="832" w:name="Tc_gM4N5lS5SUSx3NcYDaIluQ_3_6"/>
      <w:bookmarkStart w:id="833" w:name="Tc_PknZEc_XwUGL1N7wlo6raA_3_2"/>
      <w:bookmarkStart w:id="834" w:name="Tc_BsouRRi5zkm5tJg2tQoZkw_3_0"/>
      <w:bookmarkStart w:id="835" w:name="Tc_yZql52ybmkKWvPzxP5s9ug_2_7"/>
      <w:bookmarkStart w:id="836" w:name="Tc_Y47N_2zNW0eas3j1ld1BCA_2_3"/>
      <w:bookmarkStart w:id="837" w:name="Tc_7TSRNxRj3kuTP0UDecjJrA_1_2"/>
      <w:bookmarkStart w:id="838" w:name="_0a4aed32_f817_4f9d_85c0_865b8c7c2cf0"/>
      <w:bookmarkStart w:id="839" w:name="Tc_KKYRUvSoW0OYawwaSqryig_8_8"/>
      <w:bookmarkStart w:id="840" w:name="Tc_YC10qjMtJEmfYUZdvTtIzw_8_7"/>
      <w:bookmarkStart w:id="841" w:name="Tc_VmGt79Zng0G61a7LrTcAqQ_8_4"/>
      <w:bookmarkStart w:id="842" w:name="Tc_Q9F6_BWQdEKnVrmkbBX4Gg_8_3"/>
      <w:bookmarkStart w:id="843" w:name="Tc_5FVAD84FwEitJMa_6mlNBg_8_0"/>
      <w:bookmarkStart w:id="844" w:name="Tc_ku1qzn8W4kCCv_wtAbUt9A_7_8"/>
      <w:bookmarkStart w:id="845" w:name="Tc_crC9EDDkHEirw14le_qEsQ_7_4"/>
      <w:bookmarkStart w:id="846" w:name="Tc_RQGg2iPDUEqKZwNLIGkjWQ_7_0"/>
      <w:bookmarkStart w:id="847" w:name="Tc_LwepOj2Oak21AUuqcAUPFQ_6_8"/>
      <w:bookmarkStart w:id="848" w:name="Tc_JFagB2_gY0mlmgIxsoiQkQ_6_7"/>
      <w:bookmarkStart w:id="849" w:name="Tc_PXWqLKqAfk67imQkZs1ycQ_6_4"/>
      <w:bookmarkStart w:id="850" w:name="Tc_kcm_OTwq7EqPVRgjWyOOAw_6_3"/>
      <w:bookmarkStart w:id="851" w:name="Tc_T4bpH09fsUWfTBIfTnPHCQ_6_0"/>
      <w:bookmarkStart w:id="852" w:name="Tc_POEqg1whuEK1n7yCK224Vg_5_7"/>
      <w:bookmarkStart w:id="853" w:name="Tc_QPPUHL8ngEq_-46Pl3AJGg_5_3"/>
      <w:bookmarkStart w:id="854" w:name="Tc_3DPs0R8UgEmNWcwyheLJNA_5_0"/>
      <w:bookmarkStart w:id="855" w:name="Tc_2D_nTUEKEEKV-NW7Mq63xw_4_7"/>
      <w:bookmarkStart w:id="856" w:name="Tc_xx-Oj08_5kGs4rw_tUzwPg_4_3"/>
      <w:bookmarkStart w:id="857" w:name="Tc_7mpus3mrfUqzhrpXLSbwTg_4_0"/>
      <w:bookmarkStart w:id="858" w:name="Tc_bfXBXVBXNEuMQvckAquXBg_3_6"/>
      <w:bookmarkStart w:id="859" w:name="Tc_oj2aRe4SEUiDl2SYlqpOGQ_3_2"/>
      <w:bookmarkStart w:id="860" w:name="Tc_Id3ZMoRKfEKNzLrlFEK6Gw_3_0"/>
      <w:bookmarkStart w:id="861" w:name="Tc_z9Cvca2sr0KZGkXcrr6YOQ_2_7"/>
      <w:bookmarkStart w:id="862" w:name="Tc_vcWJSqBaWUCjmA7Ugr5TcA_2_3"/>
      <w:bookmarkStart w:id="863" w:name="Tc_P1oDamllpUCpKNQSwfLxAg_1_2"/>
      <w:bookmarkStart w:id="864" w:name="_ddbe76a4_b4e0_46c0_930a_8556a4231823"/>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rPr>
          <w:rFonts w:ascii="Arial;Helvetica;sans-serif" w:hAnsi="Arial;Helvetica;sans-serif"/>
          <w:sz w:val="20"/>
        </w:rPr>
        <w:t>generally the vesting period for stock options and the offering period for ESPP purchase rights. The amount of stock-based compensation expense recognized for stock option awards during a period is based on the portion of the awards that are ultimately expected to vest. The amount of stock-based compensation expense recognized for ESPP purchase rights during a period is based on the estimated purchase rights as of the grant date. We account for forfeitures as they occur.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following table provides the weighted average fair value of options granted to employees and the related assumptions used in the Black-Scholes option pricing model for the six months ended June 30, 2024 and 2023: </w:t>
      </w:r>
    </w:p>
    <w:tbl>
      <w:tblPr>
        <w:tblW w:w="8587" w:type="dxa"/>
        <w:jc w:val="left"/>
        <w:tblInd w:w="0" w:type="dxa"/>
        <w:tblLayout w:type="fixed"/>
        <w:tblCellMar>
          <w:top w:w="0" w:type="dxa"/>
          <w:left w:w="0" w:type="dxa"/>
          <w:bottom w:w="0" w:type="dxa"/>
          <w:right w:w="0" w:type="dxa"/>
        </w:tblCellMar>
      </w:tblPr>
      <w:tblGrid>
        <w:gridCol w:w="4471"/>
        <w:gridCol w:w="326"/>
        <w:gridCol w:w="211"/>
        <w:gridCol w:w="1321"/>
        <w:gridCol w:w="286"/>
        <w:gridCol w:w="109"/>
        <w:gridCol w:w="211"/>
        <w:gridCol w:w="1321"/>
        <w:gridCol w:w="33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839085" cy="175260"/>
                      <wp:effectExtent l="0" t="0" r="0" b="0"/>
                      <wp:wrapNone/>
                      <wp:docPr id="107" name="Frame107"/>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838835" cy="175260"/>
                      <wp:effectExtent l="0" t="0" r="0" b="0"/>
                      <wp:wrapNone/>
                      <wp:docPr id="110" name="Frame110"/>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81610" cy="175260"/>
                      <wp:effectExtent l="0" t="0" r="0" b="0"/>
                      <wp:wrapNone/>
                      <wp:docPr id="111" name="Frame11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838835" cy="175260"/>
                      <wp:effectExtent l="0" t="0" r="0" b="0"/>
                      <wp:wrapNone/>
                      <wp:docPr id="114" name="Frame11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0185" cy="175260"/>
                      <wp:effectExtent l="0" t="0" r="0" b="0"/>
                      <wp:wrapNone/>
                      <wp:docPr id="115" name="Frame11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5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31" w:type="dxa"/>
            <w:tcBorders/>
            <w:vAlign w:val="center"/>
          </w:tcPr>
          <w:p>
            <w:pPr>
              <w:pStyle w:val="TableContents"/>
              <w:bidi w:val="0"/>
              <w:spacing w:before="0" w:after="0"/>
              <w:ind w:left="0" w:right="0" w:hanging="0"/>
              <w:jc w:val="center"/>
              <w:rPr/>
            </w:pPr>
            <w:r>
              <w:rPr/>
              <w:t>​</w: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28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31" w:type="dxa"/>
            <w:tcBorders/>
            <w:vAlign w:val="center"/>
          </w:tcPr>
          <w:p>
            <w:pPr>
              <w:pStyle w:val="TableContents"/>
              <w:bidi w:val="0"/>
              <w:spacing w:before="0" w:after="0"/>
              <w:ind w:left="0" w:right="0" w:hanging="0"/>
              <w:jc w:val="center"/>
              <w:rPr/>
            </w:pPr>
            <w:r>
              <w:rPr/>
              <w:t> </w:t>
            </w:r>
          </w:p>
        </w:tc>
      </w:tr>
      <w:tr>
        <w:trPr/>
        <w:tc>
          <w:tcPr>
            <w:tcW w:w="44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fair value of options granted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10.81</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10.42</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 — non-officer employees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 to 6.1</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 to 6.1</w:t>
            </w:r>
          </w:p>
        </w:tc>
        <w:tc>
          <w:tcPr>
            <w:tcW w:w="331" w:type="dxa"/>
            <w:tcBorders/>
            <w:vAlign w:val="center"/>
          </w:tcPr>
          <w:p>
            <w:pPr>
              <w:pStyle w:val="TableContents"/>
              <w:bidi w:val="0"/>
              <w:spacing w:before="0" w:after="0"/>
              <w:ind w:left="0" w:right="0" w:hanging="0"/>
              <w:jc w:val="left"/>
              <w:rPr/>
            </w:pPr>
            <w:r>
              <w:rPr/>
              <w:t>​</w:t>
            </w:r>
          </w:p>
        </w:tc>
      </w:tr>
      <w:tr>
        <w:trPr/>
        <w:tc>
          <w:tcPr>
            <w:tcW w:w="44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 — officer employees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 to 6.1</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 to 6.1</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volatility</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87.7% to 94.6</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77.2% to 79.2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4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dividend yield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Risk-free interest rate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 to 4.71</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3.40% to 4.18</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provides the weighted average fair value of ESPP purchase rights and the related assumptions used in the Black-Scholes option pricing model for the six months ended June 30, 2024 and 2023:</w:t>
      </w:r>
    </w:p>
    <w:p>
      <w:pPr>
        <w:pStyle w:val="TextBody"/>
        <w:bidi w:val="0"/>
        <w:spacing w:before="0" w:after="0"/>
        <w:ind w:left="0" w:right="0" w:hanging="0"/>
        <w:jc w:val="left"/>
        <w:rPr/>
      </w:pPr>
      <w:r>
        <w:rPr/>
        <w:t>​</w:t>
      </w:r>
    </w:p>
    <w:tbl>
      <w:tblPr>
        <w:tblW w:w="7192" w:type="dxa"/>
        <w:jc w:val="left"/>
        <w:tblInd w:w="0" w:type="dxa"/>
        <w:tblLayout w:type="fixed"/>
        <w:tblCellMar>
          <w:top w:w="0" w:type="dxa"/>
          <w:left w:w="0" w:type="dxa"/>
          <w:bottom w:w="0" w:type="dxa"/>
          <w:right w:w="0" w:type="dxa"/>
        </w:tblCellMar>
      </w:tblPr>
      <w:tblGrid>
        <w:gridCol w:w="4756"/>
        <w:gridCol w:w="326"/>
        <w:gridCol w:w="211"/>
        <w:gridCol w:w="481"/>
        <w:gridCol w:w="286"/>
        <w:gridCol w:w="109"/>
        <w:gridCol w:w="211"/>
        <w:gridCol w:w="481"/>
        <w:gridCol w:w="331"/>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020060" cy="175260"/>
                      <wp:effectExtent l="0" t="0" r="0" b="0"/>
                      <wp:wrapNone/>
                      <wp:docPr id="116" name="Frame116"/>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05435" cy="175260"/>
                      <wp:effectExtent l="0" t="0" r="0" b="0"/>
                      <wp:wrapNone/>
                      <wp:docPr id="119" name="Frame11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81610" cy="175260"/>
                      <wp:effectExtent l="0" t="0" r="0" b="0"/>
                      <wp:wrapNone/>
                      <wp:docPr id="120" name="Frame12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05435" cy="175260"/>
                      <wp:effectExtent l="0" t="0" r="0" b="0"/>
                      <wp:wrapNone/>
                      <wp:docPr id="123" name="Frame12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0185" cy="175260"/>
                      <wp:effectExtent l="0" t="0" r="0" b="0"/>
                      <wp:wrapNone/>
                      <wp:docPr id="124" name="Frame12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7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31" w:type="dxa"/>
            <w:tcBorders/>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28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fair value per ESPP purchase right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4.31</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5.71</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w:t>
            </w:r>
          </w:p>
        </w:tc>
        <w:tc>
          <w:tcPr>
            <w:tcW w:w="3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74.0</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84.6</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5.24</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review these assumptions on a periodic basis and adjust them, as necessary. We utilize the simplified method to develop the estimate of the expected term for stock option awards and ESPP purchase rights. The expected volatility is based upon observed volatility of comparable public companies. The expected dividend yield is assumed to be zero, as we have never paid dividends and have no current plans to do so. The risk-free interest rate is based on the yield on U.S. Treasury securities for a period approximating the expected term of the options being valued.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presents the components and classification of stock-based compensation expense for the periods indicated:</w:t>
      </w:r>
    </w:p>
    <w:tbl>
      <w:tblPr>
        <w:tblW w:w="8164" w:type="dxa"/>
        <w:jc w:val="left"/>
        <w:tblInd w:w="0" w:type="dxa"/>
        <w:tblLayout w:type="fixed"/>
        <w:tblCellMar>
          <w:top w:w="0" w:type="dxa"/>
          <w:left w:w="0" w:type="dxa"/>
          <w:bottom w:w="0" w:type="dxa"/>
          <w:right w:w="0" w:type="dxa"/>
        </w:tblCellMar>
      </w:tblPr>
      <w:tblGrid>
        <w:gridCol w:w="3751"/>
        <w:gridCol w:w="326"/>
        <w:gridCol w:w="218"/>
        <w:gridCol w:w="606"/>
        <w:gridCol w:w="151"/>
        <w:gridCol w:w="218"/>
        <w:gridCol w:w="606"/>
        <w:gridCol w:w="326"/>
        <w:gridCol w:w="211"/>
        <w:gridCol w:w="691"/>
        <w:gridCol w:w="146"/>
        <w:gridCol w:w="211"/>
        <w:gridCol w:w="703"/>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381885" cy="175260"/>
                      <wp:effectExtent l="0" t="0" r="0" b="0"/>
                      <wp:wrapNone/>
                      <wp:docPr id="125" name="Frame125"/>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8430" cy="175260"/>
                      <wp:effectExtent l="0" t="0" r="0" b="0"/>
                      <wp:wrapNone/>
                      <wp:docPr id="127" name="Frame12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84810" cy="175260"/>
                      <wp:effectExtent l="0" t="0" r="0" b="0"/>
                      <wp:wrapNone/>
                      <wp:docPr id="128" name="Frame128"/>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95885" cy="175260"/>
                      <wp:effectExtent l="0" t="0" r="0" b="0"/>
                      <wp:wrapNone/>
                      <wp:docPr id="129" name="Frame129"/>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8430" cy="175260"/>
                      <wp:effectExtent l="0" t="0" r="0" b="0"/>
                      <wp:wrapNone/>
                      <wp:docPr id="130" name="Frame13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84810" cy="175260"/>
                      <wp:effectExtent l="0" t="0" r="0" b="0"/>
                      <wp:wrapNone/>
                      <wp:docPr id="131" name="Frame131"/>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38785" cy="175260"/>
                      <wp:effectExtent l="0" t="0" r="0" b="0"/>
                      <wp:wrapNone/>
                      <wp:docPr id="134" name="Frame1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2710" cy="175260"/>
                      <wp:effectExtent l="0" t="0" r="0" b="0"/>
                      <wp:wrapNone/>
                      <wp:docPr id="135" name="Frame1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46405" cy="175260"/>
                      <wp:effectExtent l="0" t="0" r="0" b="0"/>
                      <wp:wrapNone/>
                      <wp:docPr id="137" name="Frame137"/>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9"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1962"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7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19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75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8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151" w:type="dxa"/>
            <w:tcBorders/>
            <w:vAlign w:val="center"/>
          </w:tcPr>
          <w:p>
            <w:pPr>
              <w:pStyle w:val="TableContents"/>
              <w:bidi w:val="0"/>
              <w:spacing w:before="0" w:after="1"/>
              <w:ind w:left="0" w:right="0" w:hanging="0"/>
              <w:jc w:val="center"/>
              <w:rPr/>
            </w:pPr>
            <w:r>
              <w:rPr/>
              <w:t>​</w:t>
            </w:r>
          </w:p>
        </w:tc>
        <w:tc>
          <w:tcPr>
            <w:tcW w:w="8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146" w:type="dxa"/>
            <w:tcBorders/>
            <w:vAlign w:val="center"/>
          </w:tcPr>
          <w:p>
            <w:pPr>
              <w:pStyle w:val="TableContents"/>
              <w:bidi w:val="0"/>
              <w:spacing w:before="0" w:after="1"/>
              <w:ind w:left="0" w:right="0" w:hanging="0"/>
              <w:jc w:val="center"/>
              <w:rPr/>
            </w:pPr>
            <w:r>
              <w:rPr/>
              <w:t>​</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2,485</w:t>
            </w:r>
          </w:p>
        </w:tc>
        <w:tc>
          <w:tcPr>
            <w:tcW w:w="151"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13,513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2,984</w:t>
            </w:r>
          </w:p>
        </w:tc>
      </w:tr>
      <w:tr>
        <w:trPr/>
        <w:tc>
          <w:tcPr>
            <w:tcW w:w="37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Employee Stock Purchase Plan</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w:t>
            </w:r>
          </w:p>
        </w:tc>
        <w:tc>
          <w:tcPr>
            <w:tcW w:w="151"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172</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197</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2,544</w:t>
            </w:r>
          </w:p>
        </w:tc>
        <w:tc>
          <w:tcPr>
            <w:tcW w:w="151"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13,685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3,181</w: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center"/>
              <w:rPr/>
            </w:pPr>
            <w:r>
              <w:rPr/>
              <w:t>​</w:t>
            </w:r>
          </w:p>
        </w:tc>
        <w:tc>
          <w:tcPr>
            <w:tcW w:w="606" w:type="dxa"/>
            <w:tcBorders/>
            <w:vAlign w:val="center"/>
          </w:tcPr>
          <w:p>
            <w:pPr>
              <w:pStyle w:val="TableContents"/>
              <w:bidi w:val="0"/>
              <w:spacing w:before="0" w:after="1"/>
              <w:ind w:left="0" w:right="0" w:hanging="0"/>
              <w:jc w:val="center"/>
              <w:rPr/>
            </w:pPr>
            <w:r>
              <w:rPr/>
              <w:t>​</w:t>
            </w:r>
          </w:p>
        </w:tc>
        <w:tc>
          <w:tcPr>
            <w:tcW w:w="151" w:type="dxa"/>
            <w:tcBorders/>
            <w:vAlign w:val="center"/>
          </w:tcPr>
          <w:p>
            <w:pPr>
              <w:pStyle w:val="TableContents"/>
              <w:bidi w:val="0"/>
              <w:spacing w:before="0" w:after="1"/>
              <w:ind w:left="0" w:right="0" w:hanging="0"/>
              <w:jc w:val="center"/>
              <w:rPr/>
            </w:pPr>
            <w:r>
              <w:rPr/>
              <w:t>​</w:t>
            </w:r>
          </w:p>
        </w:tc>
        <w:tc>
          <w:tcPr>
            <w:tcW w:w="218" w:type="dxa"/>
            <w:tcBorders/>
            <w:vAlign w:val="center"/>
          </w:tcPr>
          <w:p>
            <w:pPr>
              <w:pStyle w:val="TableContents"/>
              <w:bidi w:val="0"/>
              <w:spacing w:before="0" w:after="1"/>
              <w:ind w:left="0" w:right="0" w:hanging="0"/>
              <w:jc w:val="center"/>
              <w:rPr/>
            </w:pPr>
            <w:r>
              <w:rPr/>
              <w:t>​</w:t>
            </w:r>
          </w:p>
        </w:tc>
        <w:tc>
          <w:tcPr>
            <w:tcW w:w="6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03" w:type="dxa"/>
            <w:tcBorders/>
            <w:vAlign w:val="center"/>
          </w:tcPr>
          <w:p>
            <w:pPr>
              <w:pStyle w:val="TableContents"/>
              <w:bidi w:val="0"/>
              <w:spacing w:before="0" w:after="1"/>
              <w:ind w:left="0" w:right="0" w:hanging="0"/>
              <w:jc w:val="center"/>
              <w:rPr/>
            </w:pPr>
            <w:r>
              <w:rPr/>
              <w:t>​</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&amp;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2,208</w:t>
            </w:r>
          </w:p>
        </w:tc>
        <w:tc>
          <w:tcPr>
            <w:tcW w:w="151"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13,033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2,438</w:t>
            </w:r>
          </w:p>
        </w:tc>
      </w:tr>
      <w:tr>
        <w:trPr/>
        <w:tc>
          <w:tcPr>
            <w:tcW w:w="37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&amp; development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right"/>
              <w:rPr/>
            </w:pPr>
            <w:r>
              <w:rPr/>
              <w:t>​</w:t>
            </w:r>
          </w:p>
        </w:tc>
        <w:tc>
          <w:tcPr>
            <w:tcW w:w="6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303</w:t>
            </w:r>
          </w:p>
        </w:tc>
        <w:tc>
          <w:tcPr>
            <w:tcW w:w="151" w:type="dxa"/>
            <w:tcBorders/>
            <w:vAlign w:val="center"/>
          </w:tcPr>
          <w:p>
            <w:pPr>
              <w:pStyle w:val="TableContents"/>
              <w:bidi w:val="0"/>
              <w:spacing w:before="0" w:after="1"/>
              <w:ind w:left="0" w:right="0" w:hanging="0"/>
              <w:jc w:val="left"/>
              <w:rPr/>
            </w:pPr>
            <w:r>
              <w:rPr/>
              <w:t> </w:t>
            </w:r>
          </w:p>
        </w:tc>
        <w:tc>
          <w:tcPr>
            <w:tcW w:w="218" w:type="dxa"/>
            <w:tcBorders/>
            <w:vAlign w:val="center"/>
          </w:tcPr>
          <w:p>
            <w:pPr>
              <w:pStyle w:val="TableContents"/>
              <w:bidi w:val="0"/>
              <w:spacing w:before="0" w:after="1"/>
              <w:ind w:left="0" w:right="0" w:hanging="0"/>
              <w:jc w:val="right"/>
              <w:rPr/>
            </w:pPr>
            <w:r>
              <w:rPr/>
              <w:t>​</w:t>
            </w:r>
          </w:p>
        </w:tc>
        <w:tc>
          <w:tcPr>
            <w:tcW w:w="6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588</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705</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w:t>
            </w:r>
          </w:p>
        </w:tc>
        <w:tc>
          <w:tcPr>
            <w:tcW w:w="151" w:type="dxa"/>
            <w:tcBorders/>
            <w:shd w:fill="CCEEFF" w:val="clear"/>
            <w:vAlign w:val="center"/>
          </w:tcPr>
          <w:p>
            <w:pPr>
              <w:pStyle w:val="TableContents"/>
              <w:bidi w:val="0"/>
              <w:spacing w:before="0" w:after="1"/>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2,544</w:t>
            </w:r>
          </w:p>
        </w:tc>
        <w:tc>
          <w:tcPr>
            <w:tcW w:w="151"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13,685</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3,181</w:t>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30, 2024, unrecognized compensation expense related to unvested stock-based compensation arrangements was $24.9 million. As of June 30, 2024, the related weighted average period over which the expense is expected to be recognized is approximately 2.8 years.</w:t>
      </w:r>
    </w:p>
    <w:p>
      <w:pPr>
        <w:pStyle w:val="TextBody"/>
        <w:shd w:fill="FFFFFF" w:val="clear"/>
        <w:bidi w:val="0"/>
        <w:spacing w:before="0" w:after="200"/>
        <w:ind w:left="0" w:right="0" w:hanging="0"/>
        <w:jc w:val="left"/>
        <w:rPr>
          <w:rFonts w:ascii="Arial;Helvetica;sans-serif" w:hAnsi="Arial;Helvetica;sans-serif"/>
          <w:sz w:val="20"/>
        </w:rPr>
      </w:pPr>
      <w:r>
        <w:rPr>
          <w:rFonts w:ascii="Arial;Helvetica;sans-serif" w:hAnsi="Arial;Helvetica;sans-serif"/>
          <w:sz w:val="20"/>
        </w:rPr>
        <w:t>On January 30, 2024, we amended the terms and conditions of certain stock option award agreements granted under the 2001 Plan and 2021 Plan between us and our former CEO in connection with his retirement, which occurred on February 11, 2024. The option agreements were amended to provide that, if not already vested at the time of termination of his employment due to retirement, the options will continue to vest on the previously scheduled vesting dates following his retirement, subject to his compliance with certain covenants. Additionally, the option agreements were modified so that the options may be exercised, to the extent vested, by our former CEO until the earlier of (a) five years following his retirement date, or (b) the applicable option expiration date. The modification of these option awards resulted in an additional $8.4 million of non-cash stock-based compensation expense recognized during the six months ended June 30, 2024.</w:t>
      </w:r>
    </w:p>
    <w:p>
      <w:pPr>
        <w:pStyle w:val="Normal"/>
        <w:bidi w:val="0"/>
        <w:spacing w:before="0" w:after="0"/>
        <w:jc w:val="left"/>
        <w:rPr>
          <w:sz w:val="4"/>
          <w:szCs w:val="4"/>
        </w:rPr>
      </w:pPr>
      <w:r>
        <w:rPr>
          <w:sz w:val="4"/>
          <w:szCs w:val="4"/>
        </w:rPr>
      </w:r>
      <w:bookmarkStart w:id="865" w:name="_Hlk62564010"/>
      <w:bookmarkStart w:id="866" w:name="_Hlk62564010"/>
      <w:bookmarkEnd w:id="866"/>
    </w:p>
    <w:tbl>
      <w:tblPr>
        <w:tblW w:w="1982" w:type="dxa"/>
        <w:jc w:val="left"/>
        <w:tblInd w:w="0" w:type="dxa"/>
        <w:tblLayout w:type="fixed"/>
        <w:tblCellMar>
          <w:top w:w="0" w:type="dxa"/>
          <w:left w:w="0" w:type="dxa"/>
          <w:bottom w:w="0" w:type="dxa"/>
          <w:right w:w="0" w:type="dxa"/>
        </w:tblCellMar>
      </w:tblPr>
      <w:tblGrid>
        <w:gridCol w:w="316"/>
        <w:gridCol w:w="166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8.</w:t>
            </w:r>
          </w:p>
        </w:tc>
        <w:tc>
          <w:tcPr>
            <w:tcW w:w="166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Income taxes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2024 and December 31, 2023, a valuation allowance was recorded against all deferred tax assets due to our cumulative net loss position. Provision for income taxes for the three months ended June 30, 2024 and 2023 was $41,000 and $34,000, respectively. Provision for income taxes for the six months ended June 30, 2024 and 2023 was $79,000 and $68,000, respectively.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As of December 31, 2023, we had federal and state net operating loss carryforwards (“NOLs”) of approximately $389.9 million and $7.3 million, respectively. The federal NOLs began expiring in 2021 and the state NOLs began expiring in 2020. As of December 31, 2023, we had federal and state tax credit carryforwards of approximately $9.8 million and $2.0 million, respectively. The federal tax credit carryforwards began expiring in 2021 and the state tax credit carryforwards will begin expiring in 2028.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Utilization of NOLs may be subject to an annual limitation due to the ownership change limitations provided by Section 382 of the Internal Revenue Code of 1986, as amended, and similar state provisions. We have not performed a detailed analysis to determine whether an ownership change has occurred. Such a change of ownership would limit our utilization of the NOLs and could be triggered by subsequent sales of securities by us or our stockholders.</w:t>
      </w:r>
    </w:p>
    <w:p>
      <w:pPr>
        <w:pStyle w:val="TextBody"/>
        <w:bidi w:val="0"/>
        <w:spacing w:before="0" w:after="240"/>
        <w:ind w:left="0" w:right="0" w:hanging="0"/>
        <w:jc w:val="left"/>
        <w:rPr>
          <w:rFonts w:ascii="Arial;Helvetica;sans-serif" w:hAnsi="Arial;Helvetica;sans-serif"/>
          <w:b/>
          <w:sz w:val="24"/>
        </w:rPr>
      </w:pPr>
      <w:bookmarkStart w:id="867" w:name="Tc_6uUclQjiv06RBMK8qFMRug_8_11"/>
      <w:bookmarkStart w:id="868" w:name="Tc_FxIEreDcJ02nqa855s3S4A_8_8"/>
      <w:bookmarkStart w:id="869" w:name="Tc_Y7laWFEzV0SvLkxb-1_uNQ_8_0"/>
      <w:bookmarkStart w:id="870" w:name="Tc_EKIbWkIbb0CmckijiXHZyw_7_0"/>
      <w:bookmarkStart w:id="871" w:name="Tc_vYQGSgjTRkCIlMbgKHXEqQ_6_0"/>
      <w:bookmarkStart w:id="872" w:name="Tc_jBnKVLGUwUK-zk3l81duSQ_5_11"/>
      <w:bookmarkStart w:id="873" w:name="Tc_5JYVSkwVkk6D23-mW_JZ0Q_5_8"/>
      <w:bookmarkStart w:id="874" w:name="Tc_MOByaG0TQEqcEo8MRPH4_w_5_5"/>
      <w:bookmarkStart w:id="875" w:name="Tc_OjJcGrktAkGwU1gnbMce0w_5_2"/>
      <w:bookmarkStart w:id="876" w:name="Tc_4SYP1q8Jk0yEnIz5iAOGug_5_0"/>
      <w:bookmarkStart w:id="877" w:name="Tc_BrDv2mGzNEaHrFyS6xGHsw_4_0"/>
      <w:bookmarkStart w:id="878" w:name="Tc_5Ve57nwNrUeUHuPYzPyxmw_3_11"/>
      <w:bookmarkStart w:id="879" w:name="Tc_sodnu0-yK0KSB8p6lOjJgA_3_8"/>
      <w:bookmarkStart w:id="880" w:name="Tc_wOTmKfHCnEamL-o5Iqxkkw_3_5"/>
      <w:bookmarkStart w:id="881" w:name="Tc_lVeQw2JLAEe2701CMSv6WA_3_2"/>
      <w:bookmarkStart w:id="882" w:name="Tc_b8Uw2CIjY0KSOFBAPmICmg_2_8"/>
      <w:bookmarkStart w:id="883" w:name="Tc_qdaXAkzYj0Gryd24Ev0sfw_2_2"/>
      <w:bookmarkStart w:id="884" w:name="Tc_0bJGn1zDyESNSZL71h0mbA_1_8"/>
      <w:bookmarkStart w:id="885" w:name="Tc_T7akf-0520icud8ZdC8a8Q_1_2"/>
      <w:bookmarkStart w:id="886" w:name="_ce914ebb_f4ca_4882_93b3_e23dfc67a5b1"/>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Pr>
          <w:rFonts w:ascii="Arial;Helvetica;sans-serif" w:hAnsi="Arial;Helvetica;sans-serif"/>
          <w:b/>
          <w:sz w:val="24"/>
        </w:rPr>
        <w:t>9. Loss Per Share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Basic and diluted net loss per share attributable to common stockholders was calculated for the periods indicated (in thousands, except share and per share data):</w:t>
      </w:r>
    </w:p>
    <w:tbl>
      <w:tblPr>
        <w:tblW w:w="10205" w:type="dxa"/>
        <w:jc w:val="left"/>
        <w:tblInd w:w="0" w:type="dxa"/>
        <w:tblLayout w:type="fixed"/>
        <w:tblCellMar>
          <w:top w:w="0" w:type="dxa"/>
          <w:left w:w="0" w:type="dxa"/>
          <w:bottom w:w="0" w:type="dxa"/>
          <w:right w:w="0" w:type="dxa"/>
        </w:tblCellMar>
      </w:tblPr>
      <w:tblGrid>
        <w:gridCol w:w="4108"/>
        <w:gridCol w:w="326"/>
        <w:gridCol w:w="211"/>
        <w:gridCol w:w="1066"/>
        <w:gridCol w:w="146"/>
        <w:gridCol w:w="211"/>
        <w:gridCol w:w="1066"/>
        <w:gridCol w:w="326"/>
        <w:gridCol w:w="211"/>
        <w:gridCol w:w="1066"/>
        <w:gridCol w:w="146"/>
        <w:gridCol w:w="211"/>
        <w:gridCol w:w="1111"/>
      </w:tblGrid>
      <w:tr>
        <w:trPr/>
        <w:tc>
          <w:tcPr>
            <w:tcW w:w="4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608580" cy="175260"/>
                      <wp:effectExtent l="0" t="0" r="0" b="0"/>
                      <wp:wrapNone/>
                      <wp:docPr id="138" name="Frame138"/>
                      <a:graphic xmlns:a="http://schemas.openxmlformats.org/drawingml/2006/main">
                        <a:graphicData uri="http://schemas.microsoft.com/office/word/2010/wordprocessingShape">
                          <wps:wsp>
                            <wps:cNvSpPr txBox="1"/>
                            <wps:spPr>
                              <a:xfrm>
                                <a:off x="0" y="0"/>
                                <a:ext cx="2608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76910" cy="175260"/>
                      <wp:effectExtent l="0" t="0" r="0" b="0"/>
                      <wp:wrapNone/>
                      <wp:docPr id="141" name="Frame14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2710" cy="175260"/>
                      <wp:effectExtent l="0" t="0" r="0" b="0"/>
                      <wp:wrapNone/>
                      <wp:docPr id="142" name="Frame1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76910" cy="175260"/>
                      <wp:effectExtent l="0" t="0" r="0" b="0"/>
                      <wp:wrapNone/>
                      <wp:docPr id="144" name="Frame14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76910" cy="175260"/>
                      <wp:effectExtent l="0" t="0" r="0" b="0"/>
                      <wp:wrapNone/>
                      <wp:docPr id="147" name="Frame14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2710" cy="175260"/>
                      <wp:effectExtent l="0" t="0" r="0" b="0"/>
                      <wp:wrapNone/>
                      <wp:docPr id="148" name="Frame1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05485" cy="175260"/>
                      <wp:effectExtent l="0" t="0" r="0" b="0"/>
                      <wp:wrapNone/>
                      <wp:docPr id="150" name="Frame15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70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0"/>
              <w:ind w:left="0" w:right="0" w:hanging="0"/>
              <w:jc w:val="left"/>
              <w:rPr/>
            </w:pPr>
            <w:r>
              <w:rPr/>
              <w:t>    </w:t>
            </w:r>
          </w:p>
        </w:tc>
        <w:tc>
          <w:tcPr>
            <w:tcW w:w="274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41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7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1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14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146" w:type="dxa"/>
            <w:tcBorders/>
            <w:vAlign w:val="center"/>
          </w:tcPr>
          <w:p>
            <w:pPr>
              <w:pStyle w:val="TableContents"/>
              <w:bidi w:val="0"/>
              <w:spacing w:before="0" w:after="0"/>
              <w:ind w:left="0" w:right="0" w:hanging="0"/>
              <w:jc w:val="left"/>
              <w:rPr/>
            </w:pPr>
            <w:r>
              <w:rPr/>
              <w:t>​</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4108"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Numerator: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  </w:t>
            </w:r>
          </w:p>
        </w:tc>
      </w:tr>
      <w:tr>
        <w:trPr/>
        <w:tc>
          <w:tcPr>
            <w:tcW w:w="41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(14,029)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(36,215)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(23,025)</w:t>
            </w:r>
          </w:p>
        </w:tc>
      </w:tr>
      <w:tr>
        <w:trPr/>
        <w:tc>
          <w:tcPr>
            <w:tcW w:w="4108"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  </w:t>
            </w:r>
          </w:p>
        </w:tc>
      </w:tr>
      <w:tr>
        <w:trPr/>
        <w:tc>
          <w:tcPr>
            <w:tcW w:w="41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common shares outstanding —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21,628,542</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20,711,850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21,430,276</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20,702,589</w:t>
            </w:r>
          </w:p>
        </w:tc>
      </w:tr>
      <w:tr>
        <w:trPr/>
        <w:tc>
          <w:tcPr>
            <w:tcW w:w="41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per share attributable to common stockholders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887" w:name="Tc_mWJFio65YkqXY3GSSrucqw_5_0"/>
      <w:bookmarkStart w:id="888" w:name="Tc_U1e5vQoj4UiP_7m83ADR9w_4_0"/>
      <w:bookmarkStart w:id="889" w:name="Tc_FL92uU_QyEOWpkKM8-R49A_3_4"/>
      <w:bookmarkStart w:id="890" w:name="Tc_FMQcjC-3cEeCg799656S7A_3_2"/>
      <w:bookmarkStart w:id="891" w:name="Tc_YKchdZm4VEagIvgbDRXuHA_2_2"/>
      <w:bookmarkStart w:id="892" w:name="Tc_ZquTaaiODU6mMYUAaC-C9Q_1_2"/>
      <w:bookmarkStart w:id="893" w:name="_Hlk78985748"/>
      <w:bookmarkEnd w:id="887"/>
      <w:bookmarkEnd w:id="888"/>
      <w:bookmarkEnd w:id="889"/>
      <w:bookmarkEnd w:id="890"/>
      <w:bookmarkEnd w:id="891"/>
      <w:bookmarkEnd w:id="892"/>
      <w:bookmarkEnd w:id="893"/>
      <w:r>
        <w:rPr>
          <w:rFonts w:ascii="Arial;Helvetica;sans-serif" w:hAnsi="Arial;Helvetica;sans-serif"/>
          <w:sz w:val="20"/>
        </w:rPr>
        <w:t>Our potentially dilutive securities, which include stock options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We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spacing w:before="0" w:after="0"/>
        <w:ind w:left="0" w:right="0" w:hanging="0"/>
        <w:jc w:val="left"/>
        <w:rPr/>
      </w:pPr>
      <w:r>
        <w:rPr/>
        <w:t>​</w:t>
      </w:r>
    </w:p>
    <w:tbl>
      <w:tblPr>
        <w:tblW w:w="6022" w:type="dxa"/>
        <w:jc w:val="left"/>
        <w:tblInd w:w="0" w:type="dxa"/>
        <w:tblLayout w:type="fixed"/>
        <w:tblCellMar>
          <w:top w:w="0" w:type="dxa"/>
          <w:left w:w="0" w:type="dxa"/>
          <w:bottom w:w="0" w:type="dxa"/>
          <w:right w:w="0" w:type="dxa"/>
        </w:tblCellMar>
      </w:tblPr>
      <w:tblGrid>
        <w:gridCol w:w="3331"/>
        <w:gridCol w:w="326"/>
        <w:gridCol w:w="961"/>
        <w:gridCol w:w="326"/>
        <w:gridCol w:w="1078"/>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15185" cy="175260"/>
                      <wp:effectExtent l="0" t="0" r="0" b="0"/>
                      <wp:wrapNone/>
                      <wp:docPr id="151" name="Frame151"/>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10235" cy="175260"/>
                      <wp:effectExtent l="0" t="0" r="0" b="0"/>
                      <wp:wrapNone/>
                      <wp:docPr id="153" name="Frame15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84530" cy="175260"/>
                      <wp:effectExtent l="0" t="0" r="0" b="0"/>
                      <wp:wrapNone/>
                      <wp:docPr id="155" name="Frame155"/>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65" w:type="dxa"/>
            <w:gridSpan w:val="3"/>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6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Options to purchase common stock</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5,748,130</w:t>
            </w:r>
          </w:p>
        </w:tc>
        <w:tc>
          <w:tcPr>
            <w:tcW w:w="326" w:type="dxa"/>
            <w:tcBorders/>
            <w:shd w:fill="CCEEFF" w:val="clear"/>
            <w:vAlign w:val="center"/>
          </w:tcPr>
          <w:p>
            <w:pPr>
              <w:pStyle w:val="TableContents"/>
              <w:bidi w:val="0"/>
              <w:spacing w:before="0" w:after="0"/>
              <w:ind w:left="0" w:right="0" w:hanging="0"/>
              <w:jc w:val="left"/>
              <w:rPr/>
            </w:pPr>
            <w:r>
              <w:rPr/>
              <w:t> </w:t>
            </w:r>
          </w:p>
        </w:tc>
        <w:tc>
          <w:tcPr>
            <w:tcW w:w="10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4,509,586</w:t>
            </w:r>
          </w:p>
        </w:tc>
      </w:tr>
      <w:tr>
        <w:trPr/>
        <w:tc>
          <w:tcPr>
            <w:tcW w:w="3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Warrants to purchase common stock</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108,406</w:t>
            </w:r>
          </w:p>
        </w:tc>
        <w:tc>
          <w:tcPr>
            <w:tcW w:w="326" w:type="dxa"/>
            <w:tcBorders/>
            <w:vAlign w:val="center"/>
          </w:tcPr>
          <w:p>
            <w:pPr>
              <w:pStyle w:val="TableContents"/>
              <w:bidi w:val="0"/>
              <w:spacing w:before="0" w:after="0"/>
              <w:ind w:left="0" w:right="0" w:hanging="0"/>
              <w:jc w:val="left"/>
              <w:rPr/>
            </w:pPr>
            <w:r>
              <w:rPr/>
              <w:t>​</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716,131</w:t>
            </w:r>
          </w:p>
        </w:tc>
      </w:tr>
      <w:tr>
        <w:trPr/>
        <w:tc>
          <w:tcPr>
            <w:tcW w:w="33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5,856,536</w:t>
            </w:r>
          </w:p>
        </w:tc>
        <w:tc>
          <w:tcPr>
            <w:tcW w:w="326" w:type="dxa"/>
            <w:tcBorders/>
            <w:shd w:fill="CCEEFF" w:val="clear"/>
            <w:vAlign w:val="center"/>
          </w:tcPr>
          <w:p>
            <w:pPr>
              <w:pStyle w:val="TableContents"/>
              <w:bidi w:val="0"/>
              <w:spacing w:before="0" w:after="0"/>
              <w:ind w:left="0" w:right="0" w:hanging="0"/>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5,225,717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94" w:name="_46bcfd95_0d27_41cd_8aa1_d323935dae38"/>
      <w:bookmarkStart w:id="895" w:name="_46bcfd95_0d27_41cd_8aa1_d323935dae38"/>
      <w:bookmarkEnd w:id="895"/>
    </w:p>
    <w:tbl>
      <w:tblPr>
        <w:tblW w:w="4367" w:type="dxa"/>
        <w:jc w:val="left"/>
        <w:tblInd w:w="0" w:type="dxa"/>
        <w:tblLayout w:type="fixed"/>
        <w:tblCellMar>
          <w:top w:w="0" w:type="dxa"/>
          <w:left w:w="0" w:type="dxa"/>
          <w:bottom w:w="0" w:type="dxa"/>
          <w:right w:w="0" w:type="dxa"/>
        </w:tblCellMar>
      </w:tblPr>
      <w:tblGrid>
        <w:gridCol w:w="451"/>
        <w:gridCol w:w="3916"/>
      </w:tblGrid>
      <w:tr>
        <w:trPr/>
        <w:tc>
          <w:tcPr>
            <w:tcW w:w="45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10.</w:t>
            </w:r>
          </w:p>
        </w:tc>
        <w:tc>
          <w:tcPr>
            <w:tcW w:w="39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Commitments and contingencies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From time to time, we may have certain contingent liabilities that arise in the ordinary course of business. We accrue a liability for such matters when it is probable that future expenditures will be made, and such expenditures can be reasonably estimated. There have been no contingent liabilities requiring accrual or disclosure as of June 30, 2024 or December 31, 2023.</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896" w:name="_06461303_c1ee_441a_99d5_d31e8181904a"/>
      <w:bookmarkStart w:id="897" w:name="_06461303_c1ee_441a_99d5_d31e8181904a"/>
      <w:bookmarkEnd w:id="897"/>
    </w:p>
    <w:tbl>
      <w:tblPr>
        <w:tblW w:w="3272" w:type="dxa"/>
        <w:jc w:val="left"/>
        <w:tblInd w:w="0" w:type="dxa"/>
        <w:tblLayout w:type="fixed"/>
        <w:tblCellMar>
          <w:top w:w="0" w:type="dxa"/>
          <w:left w:w="0" w:type="dxa"/>
          <w:bottom w:w="0" w:type="dxa"/>
          <w:right w:w="0" w:type="dxa"/>
        </w:tblCellMar>
      </w:tblPr>
      <w:tblGrid>
        <w:gridCol w:w="451"/>
        <w:gridCol w:w="2821"/>
      </w:tblGrid>
      <w:tr>
        <w:trPr/>
        <w:tc>
          <w:tcPr>
            <w:tcW w:w="45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11.</w:t>
            </w:r>
          </w:p>
        </w:tc>
        <w:tc>
          <w:tcPr>
            <w:tcW w:w="282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Employee benefit plans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sponsor a voluntary defined-contribution employee retirement plan (the “401(k) plan”) for our U.S. employees. The 401(k) plan provides that each participant may contribute pre-tax or post-tax compensation up to the statutory limit allowable. Under the 401(k) plan, each participant is fully vested in his or her deferred salary contributions when contributed. Beginning January 1, 2024, we adopted a policy to match a portion of employee contributions for all qualified employees participating in the 401(k) plan. We recorded an expense for matching contributions of $0.3 million and $0 for the three months ended June 30, 2024 and 2023, respectively. We recorded an expense for matching contributions of $0.6 million and $0 for the six months ended June 30, 2024 and 2023,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7742" w:type="dxa"/>
        <w:jc w:val="left"/>
        <w:tblInd w:w="0" w:type="dxa"/>
        <w:tblLayout w:type="fixed"/>
        <w:tblCellMar>
          <w:top w:w="0" w:type="dxa"/>
          <w:left w:w="0" w:type="dxa"/>
          <w:bottom w:w="0" w:type="dxa"/>
          <w:right w:w="0" w:type="dxa"/>
        </w:tblCellMar>
      </w:tblPr>
      <w:tblGrid>
        <w:gridCol w:w="451"/>
        <w:gridCol w:w="7291"/>
      </w:tblGrid>
      <w:tr>
        <w:trPr/>
        <w:tc>
          <w:tcPr>
            <w:tcW w:w="45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12.</w:t>
            </w:r>
          </w:p>
        </w:tc>
        <w:tc>
          <w:tcPr>
            <w:tcW w:w="729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Segment, geographic information, and revenue disaggregation</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or plans for levels or components below the consolidated unit level. Accordingly, we have determined that we have a single reportable and operating segment structure. We and our Chief Executive Officer evaluate performance based primarily on revenue in the geographic locations in which the Company operates.</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898" w:name="Tc_z3keVM5MU0KEbeHfzOMU0g_7_11"/>
      <w:bookmarkStart w:id="899" w:name="Tc_wX8e6_Rbb0KU5ecaus4RvA_7_8"/>
      <w:bookmarkStart w:id="900" w:name="Tc_DKZU40ziy06lM7rxGFCW3w_7_5"/>
      <w:bookmarkStart w:id="901" w:name="Tc_fQbEPjrLakax7AuuZ5h1nA_7_2"/>
      <w:bookmarkStart w:id="902" w:name="Tc_Kcj30-xVg0yeWnOPhIBe2Q_6_0"/>
      <w:bookmarkStart w:id="903" w:name="Tc_LuXymGKlskOg0_JpYyNlvQ_5_0"/>
      <w:bookmarkStart w:id="904" w:name="Tc_qoF7KXydDEmed6OtsTFfcw_4_11"/>
      <w:bookmarkStart w:id="905" w:name="Tc_NwCvCu_E6ECCPs6grFm1oQ_4_8"/>
      <w:bookmarkStart w:id="906" w:name="Tc_GUOIJNJJIEKRQMoOlRzVkg_4_5"/>
      <w:bookmarkStart w:id="907" w:name="Tc_VZH03vi7SU6SXUNRjk2ycg_4_2"/>
      <w:bookmarkStart w:id="908" w:name="Tc_XXbJGIwC2EyJu1FaGSNV5g_4_0"/>
      <w:bookmarkStart w:id="909" w:name="Tc__cr0uy4o6U-FRghsJ6aERQ_3_11"/>
      <w:bookmarkStart w:id="910" w:name="Tc_WSamlsO7qk6k0_n2PVRv8g_3_8"/>
      <w:bookmarkStart w:id="911" w:name="Tc_n5L5Ig_Ww02J0TTVuHJlPw_3_5"/>
      <w:bookmarkStart w:id="912" w:name="Tc_wOblu6b_3kiyMdeZ0Bn7Ng_3_2"/>
      <w:bookmarkStart w:id="913" w:name="Tc_FNMoSErBNEmZSPdZlM2LVg_2_8"/>
      <w:bookmarkStart w:id="914" w:name="Tc_0D5ITNQBFkSa7ax_h1l7JA_2_2"/>
      <w:bookmarkStart w:id="915" w:name="Tc_Uzfb1JFPD0y5r1scAW6jLQ_1_8"/>
      <w:bookmarkStart w:id="916" w:name="Tc_33EHp0PpOUSu3gbv-CznlQ_1_2"/>
      <w:bookmarkStart w:id="917" w:name="_6966e109_9db4_4f0b_977c_c69d781d356e"/>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Pr>
          <w:rFonts w:ascii="Arial;Helvetica;sans-serif" w:hAnsi="Arial;Helvetica;sans-serif"/>
          <w:sz w:val="20"/>
        </w:rPr>
        <w:t>We derive all our revenues from sales to customers in Europe and the U.S. The following table provides revenue by country for each location accounting for more than 10% of the total revenue for the periods indicated (in thousands):</w:t>
      </w:r>
    </w:p>
    <w:tbl>
      <w:tblPr>
        <w:tblW w:w="6163" w:type="dxa"/>
        <w:jc w:val="left"/>
        <w:tblInd w:w="0" w:type="dxa"/>
        <w:tblLayout w:type="fixed"/>
        <w:tblCellMar>
          <w:top w:w="0" w:type="dxa"/>
          <w:left w:w="0" w:type="dxa"/>
          <w:bottom w:w="0" w:type="dxa"/>
          <w:right w:w="0" w:type="dxa"/>
        </w:tblCellMar>
      </w:tblPr>
      <w:tblGrid>
        <w:gridCol w:w="1456"/>
        <w:gridCol w:w="326"/>
        <w:gridCol w:w="211"/>
        <w:gridCol w:w="691"/>
        <w:gridCol w:w="326"/>
        <w:gridCol w:w="211"/>
        <w:gridCol w:w="586"/>
        <w:gridCol w:w="109"/>
        <w:gridCol w:w="211"/>
        <w:gridCol w:w="691"/>
        <w:gridCol w:w="326"/>
        <w:gridCol w:w="211"/>
        <w:gridCol w:w="808"/>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24560" cy="175260"/>
                      <wp:effectExtent l="0" t="0" r="0" b="0"/>
                      <wp:wrapNone/>
                      <wp:docPr id="156" name="Frame15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38785" cy="175260"/>
                      <wp:effectExtent l="0" t="0" r="0" b="0"/>
                      <wp:wrapNone/>
                      <wp:docPr id="159" name="Frame1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72110" cy="175260"/>
                      <wp:effectExtent l="0" t="0" r="0" b="0"/>
                      <wp:wrapNone/>
                      <wp:docPr id="162" name="Frame16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8785" cy="175260"/>
                      <wp:effectExtent l="0" t="0" r="0" b="0"/>
                      <wp:wrapNone/>
                      <wp:docPr id="165" name="Frame1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13080" cy="175260"/>
                      <wp:effectExtent l="0" t="0" r="0" b="0"/>
                      <wp:wrapNone/>
                      <wp:docPr id="168" name="Frame168"/>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2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247"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2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1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15,239</w:t>
            </w:r>
          </w:p>
        </w:tc>
      </w:tr>
      <w:tr>
        <w:trPr/>
        <w:tc>
          <w:tcPr>
            <w:tcW w:w="1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2,017</w:t>
            </w:r>
          </w:p>
        </w:tc>
      </w:tr>
      <w:tr>
        <w:trPr/>
        <w:tc>
          <w:tcPr>
            <w:tcW w:w="1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countries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223</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17,479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30, 2024 and December 31, 2023, long-lived assets were located primarily in the U.S.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4"/>
        </w:rPr>
      </w:pPr>
      <w:bookmarkStart w:id="918" w:name="Item2ManagementsDiscussionandAnalysisofF"/>
      <w:bookmarkStart w:id="919" w:name="_12ad6b81_5b23_4f06_84b6_587cf5d38f9d"/>
      <w:bookmarkEnd w:id="918"/>
      <w:bookmarkEnd w:id="919"/>
      <w:r>
        <w:rPr>
          <w:rFonts w:ascii="Arial;Helvetica;sans-serif" w:hAnsi="Arial;Helvetica;sans-serif"/>
          <w:b/>
          <w:sz w:val="24"/>
        </w:rPr>
        <w:t>Item 2. Management’s Discussion and Analysis of Financial Condition and Results of Operations</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Overview</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w:t>
      </w:r>
      <w:r>
        <w:rPr>
          <w:rFonts w:ascii="Arial;Helvetica;sans-serif" w:hAnsi="Arial;Helvetica;sans-serif"/>
          <w:sz w:val="20"/>
          <w:shd w:fill="FFFFFF" w:val="clear"/>
        </w:rPr>
        <w:t>HF with reduced Ejection Fraction (“</w:t>
      </w:r>
      <w:r>
        <w:rPr>
          <w:rFonts w:ascii="Arial;Helvetica;sans-serif" w:hAnsi="Arial;Helvetica;sans-serif"/>
          <w:sz w:val="20"/>
        </w:rPr>
        <w:t>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indicated by the U.S. Food and Drug Administration (“FDA”) for patients who are NYHA Class III or II (who had a recent history of Class III) despite treatment with guideline-directed medical therapies (medications and devices), have a LVEF ≤ 35% and a NT-proBNP &lt; 1600 pg/m and is CE Marked for HFrEF and resistant hypertension.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payers, physicians, and patients.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sales and marketing efforts are directed at electrophysiologists,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costs for the device and implantation procedure are reimbursed through various third-party payers, such as government agencies and commercial payers. In the U.S., we estimate that 67% of our target patient population is Medicare-eligible based on the age demographic of the HFrEF patient population indicated for Barostim. As a result, we have prioritized coverage by the</w:t>
      </w:r>
      <w:r>
        <w:rPr>
          <w:rFonts w:ascii="Arial;Helvetica;sans-serif" w:hAnsi="Arial;Helvetica;sans-serif"/>
          <w:sz w:val="20"/>
          <w:shd w:fill="FFFFFF" w:val="clear"/>
        </w:rPr>
        <w:t xml:space="preserve"> Centers for Medicare and Medicaid Services </w:t>
      </w:r>
      <w:r>
        <w:rPr>
          <w:rFonts w:ascii="Arial;Helvetica;sans-serif" w:hAnsi="Arial;Helvetica;sans-serif"/>
          <w:sz w:val="20"/>
        </w:rPr>
        <w:t xml:space="preserve">while simultaneously developing processes to engage commercial payers. All Medicare Administrative Contractors have retired their official automatic coverage denial policies for our Current Procedural Terminology codes, thereby allowing hospitals to submit payment requests for the Barostim procedure to be adjudicated on a claim-by-claim basis. Our reimbursement strategy involves continuing to broaden our current coverage and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Economic Area, such as Germany, where annual healthcare budgets for the hospital generally determine the number of patients to be treated and the prices to be paid for the related devices that may be purchased.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From our inception until the IPO, we financed our operations primarily through preferred stock financings, and additionally, from sales of our Barostim products and amounts borrowed under our credit facilities. We then devoted substantially all of our resources to research and development activities related to Barostim Therapy, including clinical and regulatory initiatives to obtain marketing approval and sales and marketing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used a portion of the IPO proceeds to continue funding the expansion of our direct sales force and commercial organization related to Barostim in the U.S. We have continued investing in research and development to improve clinical outcomes, optimize patient adoption and comfort, increase patient access, and enhance the physician and patient experience. Longer term, we plan to explore Barostim’s potential to expand its indications for use to other cardiovascular diseases.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October 31, 2022, we entered into the Loan Agreement under which we may borrow, subject to our achievement of certain milestones, up to a total of $50.0 million in a series of Term Loans described in Note 4 to our condensed consolidated financial statements included elsewhere in this Quarterly Report on Form 10-Q, and we borrowed $7.5 million of such total on that date to fund our commercial and investment efforts. On March 10, 2023, we borrowed the $7.5 million remaining under the first tranche of the Loan Agreement. On December 15, 2023, we borrowed $15.0 million under the second tranche of the Loan Agreement. W</w:t>
      </w:r>
      <w:r>
        <w:rPr>
          <w:rFonts w:ascii="Arial;Helvetica;sans-serif" w:hAnsi="Arial;Helvetica;sans-serif"/>
          <w:sz w:val="20"/>
          <w:shd w:fill="FFFFFF" w:val="clear"/>
        </w:rPr>
        <w:t>e had $30.0 million in outstanding Term Loans under the Loan Agreement as of June 30, 2024. The Loan Agreement provides for an additional tranche of up to $20.0 million, based on the timing and other conditions set forth in the Loan Agreement. </w:t>
      </w:r>
      <w:r>
        <w:rPr>
          <w:rFonts w:ascii="Arial;Helvetica;sans-serif" w:hAnsi="Arial;Helvetica;sans-serif"/>
          <w:sz w:val="20"/>
        </w:rPr>
        <w:t>As a result of these investments and our commercialization efforts, we expect to continue to incur net losses for the next several years, which may require additional funding and could include future equity and debt financing.</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Recent developments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shd w:fill="FFFFFF" w:val="clear"/>
        </w:rPr>
        <w:t>In the 2024 final outpatient rules (“OPPS”) issued in November 2023, Barostim was reassigned to New Technology APC 1580, which carries an average payment amount of $45,000. The new payment took effect January 1, 2024.</w:t>
      </w:r>
      <w:r>
        <w:rPr>
          <w:rFonts w:ascii="Arial;Helvetica;sans-serif" w:hAnsi="Arial;Helvetica;sans-serif"/>
          <w:sz w:val="20"/>
        </w:rPr>
        <w:t xml:space="preserve"> </w:t>
      </w:r>
      <w:r>
        <w:rPr>
          <w:rFonts w:ascii="Arial;Helvetica;sans-serif" w:hAnsi="Arial;Helvetica;sans-serif"/>
          <w:sz w:val="20"/>
          <w:shd w:fill="FFFFFF" w:val="clear"/>
        </w:rPr>
        <w:t>In July 2024, the Centers for Medicare and Medicaid Services (“CMS”) proposed OPPS rules for 2025, including moving Barostim procedures back to APC 5465, which would reduce the average payment amount for Barostim to $31,000. We believe the data supports creation of a Level 6 Neurostimulator APC and will work with CMS with the goal of achieving this, or alternatively, leaving Barostim in New Technology APC 1580 for another year.</w:t>
      </w:r>
    </w:p>
    <w:p>
      <w:pPr>
        <w:pStyle w:val="TextBody"/>
        <w:bidi w:val="0"/>
        <w:spacing w:before="280" w:after="12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In April 2024, we announced the termination of the employment of our Senior Vice President of U.S. Sales, effective April 29, 2024. Pursuant to his employment agreements, he was eligible for severance benefits provided that he signed a release of claims in favor of the Company and complies with certain covenants, including non-competition and non-solicitation restrictions. He signed the release, and we began making severance payments to him in July 2024.</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In April 2024, we announced that we were suspending enrollment in the BATwire clinical trial due to slow enrollment, given that many patient candidates elected the commercially approved procedure, as opposed to participating in the trial. We intend to continue following the patients enrolled in the BATwire trial until the study is completed.</w:t>
      </w:r>
    </w:p>
    <w:p>
      <w:pPr>
        <w:pStyle w:val="TextBody"/>
        <w:bidi w:val="0"/>
        <w:spacing w:before="280" w:after="120"/>
        <w:ind w:left="0" w:right="0" w:hanging="0"/>
        <w:jc w:val="left"/>
        <w:rPr>
          <w:rFonts w:ascii="Arial;Helvetica;sans-serif" w:hAnsi="Arial;Helvetica;sans-serif"/>
          <w:sz w:val="20"/>
        </w:rPr>
      </w:pPr>
      <w:r>
        <w:rPr>
          <w:rFonts w:ascii="Arial;Helvetica;sans-serif" w:hAnsi="Arial;Helvetica;sans-serif"/>
          <w:sz w:val="20"/>
        </w:rPr>
        <w:t>Since the beginning of the second quarter of fiscal 2024, we have hired new leaders for sales, medical affairs, clinical, reimbursement and human resources, completing the expansion of the executive team.</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Factors affecting our performance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there are several important factors that have impacted and that we expect will continue to impact our business and results of operations. These factors include:</w:t>
      </w:r>
    </w:p>
    <w:tbl>
      <w:tblPr>
        <w:tblW w:w="5477" w:type="dxa"/>
        <w:jc w:val="left"/>
        <w:tblInd w:w="0" w:type="dxa"/>
        <w:tblLayout w:type="fixed"/>
        <w:tblCellMar>
          <w:top w:w="0" w:type="dxa"/>
          <w:left w:w="0" w:type="dxa"/>
          <w:bottom w:w="0" w:type="dxa"/>
          <w:right w:w="0" w:type="dxa"/>
        </w:tblCellMar>
      </w:tblPr>
      <w:tblGrid>
        <w:gridCol w:w="271"/>
        <w:gridCol w:w="5206"/>
      </w:tblGrid>
      <w:tr>
        <w:trPr/>
        <w:tc>
          <w:tcPr>
            <w:tcW w:w="271" w:type="dxa"/>
            <w:tcBorders/>
            <w:vAlign w:val="center"/>
          </w:tcPr>
          <w:p>
            <w:pPr>
              <w:pStyle w:val="TableContents"/>
              <w:bidi w:val="0"/>
              <w:spacing w:before="0" w:after="283"/>
              <w:jc w:val="left"/>
              <w:rPr>
                <w:color w:val="231F20"/>
              </w:rPr>
            </w:pPr>
            <w:r>
              <w:rPr>
                <w:color w:val="231F20"/>
              </w:rPr>
              <w:t>●</w:t>
            </w:r>
          </w:p>
        </w:tc>
        <w:tc>
          <w:tcPr>
            <w:tcW w:w="520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Growing and supporting our U.S. commercial organization;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Seeking expanded labeling for Barostim and promoting awareness among physicians, hospitals and patients to accelerate adoption of Barostim;</w:t>
            </w:r>
          </w:p>
        </w:tc>
      </w:tr>
    </w:tbl>
    <w:tbl>
      <w:tblPr>
        <w:tblW w:w="7052" w:type="dxa"/>
        <w:jc w:val="left"/>
        <w:tblInd w:w="0" w:type="dxa"/>
        <w:tblLayout w:type="fixed"/>
        <w:tblCellMar>
          <w:top w:w="0" w:type="dxa"/>
          <w:left w:w="0" w:type="dxa"/>
          <w:bottom w:w="0" w:type="dxa"/>
          <w:right w:w="0" w:type="dxa"/>
        </w:tblCellMar>
      </w:tblPr>
      <w:tblGrid>
        <w:gridCol w:w="271"/>
        <w:gridCol w:w="6781"/>
      </w:tblGrid>
      <w:tr>
        <w:trPr/>
        <w:tc>
          <w:tcPr>
            <w:tcW w:w="271" w:type="dxa"/>
            <w:tcBorders/>
            <w:vAlign w:val="center"/>
          </w:tcPr>
          <w:p>
            <w:pPr>
              <w:pStyle w:val="TableContents"/>
              <w:bidi w:val="0"/>
              <w:spacing w:before="0" w:after="283"/>
              <w:jc w:val="left"/>
              <w:rPr>
                <w:color w:val="231F20"/>
              </w:rPr>
            </w:pPr>
            <w:r>
              <w:rPr>
                <w:color w:val="231F20"/>
              </w:rPr>
              <w:t>●</w:t>
            </w:r>
          </w:p>
        </w:tc>
        <w:tc>
          <w:tcPr>
            <w:tcW w:w="678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Raising awareness among payers to build upon reimbursement for Barostim;</w:t>
            </w:r>
          </w:p>
        </w:tc>
      </w:tr>
    </w:tbl>
    <w:tbl>
      <w:tblPr>
        <w:tblW w:w="5942" w:type="dxa"/>
        <w:jc w:val="left"/>
        <w:tblInd w:w="0" w:type="dxa"/>
        <w:tblLayout w:type="fixed"/>
        <w:tblCellMar>
          <w:top w:w="0" w:type="dxa"/>
          <w:left w:w="0" w:type="dxa"/>
          <w:bottom w:w="0" w:type="dxa"/>
          <w:right w:w="0" w:type="dxa"/>
        </w:tblCellMar>
      </w:tblPr>
      <w:tblGrid>
        <w:gridCol w:w="271"/>
        <w:gridCol w:w="5671"/>
      </w:tblGrid>
      <w:tr>
        <w:trPr/>
        <w:tc>
          <w:tcPr>
            <w:tcW w:w="271" w:type="dxa"/>
            <w:tcBorders/>
            <w:vAlign w:val="center"/>
          </w:tcPr>
          <w:p>
            <w:pPr>
              <w:pStyle w:val="TableContents"/>
              <w:bidi w:val="0"/>
              <w:spacing w:before="0" w:after="283"/>
              <w:jc w:val="left"/>
              <w:rPr>
                <w:color w:val="231F20"/>
              </w:rPr>
            </w:pPr>
            <w:r>
              <w:rPr>
                <w:color w:val="231F20"/>
              </w:rPr>
              <w:t>●</w:t>
            </w:r>
          </w:p>
        </w:tc>
        <w:tc>
          <w:tcPr>
            <w:tcW w:w="567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Investing in research and development to foster innovation; and</w:t>
            </w:r>
          </w:p>
        </w:tc>
      </w:tr>
    </w:tbl>
    <w:tbl>
      <w:tblPr>
        <w:tblW w:w="7052" w:type="dxa"/>
        <w:jc w:val="left"/>
        <w:tblInd w:w="0" w:type="dxa"/>
        <w:tblLayout w:type="fixed"/>
        <w:tblCellMar>
          <w:top w:w="0" w:type="dxa"/>
          <w:left w:w="0" w:type="dxa"/>
          <w:bottom w:w="0" w:type="dxa"/>
          <w:right w:w="0" w:type="dxa"/>
        </w:tblCellMar>
      </w:tblPr>
      <w:tblGrid>
        <w:gridCol w:w="271"/>
        <w:gridCol w:w="6781"/>
      </w:tblGrid>
      <w:tr>
        <w:trPr/>
        <w:tc>
          <w:tcPr>
            <w:tcW w:w="271" w:type="dxa"/>
            <w:tcBorders/>
            <w:vAlign w:val="center"/>
          </w:tcPr>
          <w:p>
            <w:pPr>
              <w:pStyle w:val="TableContents"/>
              <w:bidi w:val="0"/>
              <w:spacing w:before="0" w:after="283"/>
              <w:jc w:val="left"/>
              <w:rPr>
                <w:color w:val="231F20"/>
              </w:rPr>
            </w:pPr>
            <w:r>
              <w:rPr>
                <w:color w:val="231F20"/>
              </w:rPr>
              <w:t>●</w:t>
            </w:r>
          </w:p>
        </w:tc>
        <w:tc>
          <w:tcPr>
            <w:tcW w:w="678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Leveraging our manufacturing capacity to further improve our gross margins.</w:t>
            </w:r>
          </w:p>
        </w:tc>
      </w:tr>
    </w:tbl>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Components of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Revenue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payers, and by the expansion of our U.S. sales force, as well as by seeking expanded labeling for Barostim. As a result, we expect that U.S. sales will continue to account for the majority of our revenue going forward.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Cost of goods sold and gross margin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products and adopt new manufacturing processes and technologies.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Selling, general and administrative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Interest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expense consists of interest on our debt and amortization of associated financing costs.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 income,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Other income, net consists primarily of interest income on our interest-bearing accounts, partially offset by the effect of exchange rates on our foreign currency-denominated asset and liability balances.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Provision for income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Provision for income taxes consists primarily of income taxes in foreign jurisdictions in which we conduct business. We maintain a full valuation allowance for deferred tax assets including NOL carryforwards, R&amp;D credits and other tax credits.</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Consolidated results of operations for the three months ended June 30, 2024, compared to the three months ended June 30, 2023</w:t>
      </w:r>
    </w:p>
    <w:tbl>
      <w:tblPr>
        <w:tblW w:w="8298" w:type="dxa"/>
        <w:jc w:val="left"/>
        <w:tblInd w:w="0" w:type="dxa"/>
        <w:tblLayout w:type="fixed"/>
        <w:tblCellMar>
          <w:top w:w="0" w:type="dxa"/>
          <w:left w:w="0" w:type="dxa"/>
          <w:bottom w:w="0" w:type="dxa"/>
          <w:right w:w="0" w:type="dxa"/>
        </w:tblCellMar>
      </w:tblPr>
      <w:tblGrid>
        <w:gridCol w:w="3106"/>
        <w:gridCol w:w="326"/>
        <w:gridCol w:w="211"/>
        <w:gridCol w:w="811"/>
        <w:gridCol w:w="406"/>
        <w:gridCol w:w="211"/>
        <w:gridCol w:w="811"/>
        <w:gridCol w:w="406"/>
        <w:gridCol w:w="211"/>
        <w:gridCol w:w="706"/>
        <w:gridCol w:w="326"/>
        <w:gridCol w:w="436"/>
        <w:gridCol w:w="33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972310" cy="175260"/>
                      <wp:effectExtent l="0" t="0" r="0" b="0"/>
                      <wp:wrapNone/>
                      <wp:docPr id="169" name="Frame169"/>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14985" cy="175260"/>
                      <wp:effectExtent l="0" t="0" r="0" b="0"/>
                      <wp:wrapNone/>
                      <wp:docPr id="172" name="Frame17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57810" cy="175260"/>
                      <wp:effectExtent l="0" t="0" r="0" b="0"/>
                      <wp:wrapNone/>
                      <wp:docPr id="173" name="Frame17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14985" cy="175260"/>
                      <wp:effectExtent l="0" t="0" r="0" b="0"/>
                      <wp:wrapNone/>
                      <wp:docPr id="175" name="Frame17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57810" cy="175260"/>
                      <wp:effectExtent l="0" t="0" r="0" b="0"/>
                      <wp:wrapNone/>
                      <wp:docPr id="176" name="Frame17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48310" cy="175260"/>
                      <wp:effectExtent l="0" t="0" r="0" b="0"/>
                      <wp:wrapNone/>
                      <wp:docPr id="178" name="Frame17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76860" cy="175260"/>
                      <wp:effectExtent l="0" t="0" r="0" b="0"/>
                      <wp:wrapNone/>
                      <wp:docPr id="180" name="Frame18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0185" cy="175260"/>
                      <wp:effectExtent l="0" t="0" r="0" b="0"/>
                      <wp:wrapNone/>
                      <wp:docPr id="181" name="Frame18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5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40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 </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406" w:type="dxa"/>
            <w:tcBorders/>
            <w:vAlign w:val="center"/>
          </w:tcPr>
          <w:p>
            <w:pPr>
              <w:pStyle w:val="TableContents"/>
              <w:bidi w:val="0"/>
              <w:spacing w:before="0" w:after="1"/>
              <w:ind w:left="0" w:right="0" w:hanging="0"/>
              <w:jc w:val="left"/>
              <w:rPr/>
            </w:pPr>
            <w:r>
              <w:rPr/>
              <w:t>​</w:t>
            </w:r>
          </w:p>
        </w:tc>
        <w:tc>
          <w:tcPr>
            <w:tcW w:w="167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w:t>
            </w:r>
          </w:p>
        </w:tc>
        <w:tc>
          <w:tcPr>
            <w:tcW w:w="331" w:type="dxa"/>
            <w:tcBorders/>
            <w:vAlign w:val="center"/>
          </w:tcPr>
          <w:p>
            <w:pPr>
              <w:pStyle w:val="TableContents"/>
              <w:bidi w:val="0"/>
              <w:spacing w:before="0" w:after="1"/>
              <w:ind w:left="0" w:right="0" w:hanging="0"/>
              <w:jc w:val="center"/>
              <w:rPr/>
            </w:pPr>
            <w:r>
              <w:rPr/>
              <w:t>​</w:t>
            </w:r>
          </w:p>
        </w:tc>
      </w:tr>
      <w:tr>
        <w:trPr/>
        <w:tc>
          <w:tcPr>
            <w:tcW w:w="310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(unaudited and in thousands)</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40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vAlign w:val="center"/>
          </w:tcPr>
          <w:p>
            <w:pPr>
              <w:pStyle w:val="TableContents"/>
              <w:bidi w:val="0"/>
              <w:spacing w:before="0" w:after="1"/>
              <w:ind w:left="0" w:right="0" w:hanging="0"/>
              <w:jc w:val="center"/>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w:t>
            </w:r>
          </w:p>
        </w:tc>
        <w:tc>
          <w:tcPr>
            <w:tcW w:w="331" w:type="dxa"/>
            <w:tcBorders/>
            <w:vAlign w:val="center"/>
          </w:tcPr>
          <w:p>
            <w:pPr>
              <w:pStyle w:val="TableContents"/>
              <w:bidi w:val="0"/>
              <w:spacing w:before="0" w:after="1"/>
              <w:ind w:left="0" w:right="0" w:hanging="0"/>
              <w:jc w:val="center"/>
              <w:rPr/>
            </w:pPr>
            <w:r>
              <w:rPr/>
              <w:t> </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11,807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9,500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2,307</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1,900</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1,517</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383</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9,907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7,983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1,924</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2,765</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3,280</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(515)</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21,115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16,455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4,660</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23,880</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19,735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4,145</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(13,973)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(11,752)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(2,221)</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(959)</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(478)</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328</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(13,988)</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(11,617)</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(2,371)</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(14,029)</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(11,651)</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(2,378)</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Arial;Helvetica;sans-serif" w:hAnsi="Arial;Helvetica;sans-serif"/>
          <w:b/>
          <w:i/>
          <w:sz w:val="20"/>
        </w:rPr>
      </w:pPr>
      <w:r>
        <w:rPr>
          <w:rFonts w:ascii="Arial;Helvetica;sans-serif" w:hAnsi="Arial;Helvetica;sans-serif"/>
          <w:b/>
          <w:i/>
          <w:sz w:val="20"/>
        </w:rPr>
        <w:t>The following table provides revenue by geography:</w:t>
      </w:r>
    </w:p>
    <w:tbl>
      <w:tblPr>
        <w:tblW w:w="6279" w:type="dxa"/>
        <w:jc w:val="left"/>
        <w:tblInd w:w="0" w:type="dxa"/>
        <w:tblLayout w:type="fixed"/>
        <w:tblCellMar>
          <w:top w:w="0" w:type="dxa"/>
          <w:left w:w="0" w:type="dxa"/>
          <w:bottom w:w="0" w:type="dxa"/>
          <w:right w:w="0" w:type="dxa"/>
        </w:tblCellMar>
      </w:tblPr>
      <w:tblGrid>
        <w:gridCol w:w="2236"/>
        <w:gridCol w:w="109"/>
        <w:gridCol w:w="211"/>
        <w:gridCol w:w="691"/>
        <w:gridCol w:w="326"/>
        <w:gridCol w:w="211"/>
        <w:gridCol w:w="586"/>
        <w:gridCol w:w="109"/>
        <w:gridCol w:w="211"/>
        <w:gridCol w:w="586"/>
        <w:gridCol w:w="326"/>
        <w:gridCol w:w="346"/>
        <w:gridCol w:w="33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19860" cy="175260"/>
                      <wp:effectExtent l="0" t="0" r="0" b="0"/>
                      <wp:wrapNone/>
                      <wp:docPr id="182" name="Frame182"/>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38785" cy="175260"/>
                      <wp:effectExtent l="0" t="0" r="0" b="0"/>
                      <wp:wrapNone/>
                      <wp:docPr id="185" name="Frame1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72110" cy="175260"/>
                      <wp:effectExtent l="0" t="0" r="0" b="0"/>
                      <wp:wrapNone/>
                      <wp:docPr id="188" name="Frame18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72110" cy="175260"/>
                      <wp:effectExtent l="0" t="0" r="0" b="0"/>
                      <wp:wrapNone/>
                      <wp:docPr id="191" name="Frame19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0185" cy="175260"/>
                      <wp:effectExtent l="0" t="0" r="0" b="0"/>
                      <wp:wrapNone/>
                      <wp:docPr id="194" name="Frame19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025"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14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w:t>
            </w:r>
          </w:p>
        </w:tc>
        <w:tc>
          <w:tcPr>
            <w:tcW w:w="331" w:type="dxa"/>
            <w:tcBorders/>
            <w:vAlign w:val="center"/>
          </w:tcPr>
          <w:p>
            <w:pPr>
              <w:pStyle w:val="TableContents"/>
              <w:bidi w:val="0"/>
              <w:spacing w:before="0" w:after="1"/>
              <w:ind w:left="0" w:right="0" w:hanging="0"/>
              <w:jc w:val="center"/>
              <w:rPr/>
            </w:pPr>
            <w:r>
              <w:rPr/>
              <w:t>​</w:t>
            </w:r>
          </w:p>
        </w:tc>
      </w:tr>
      <w:tr>
        <w:trPr/>
        <w:tc>
          <w:tcPr>
            <w:tcW w:w="223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(unaudited and in thousands)</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vAlign w:val="center"/>
          </w:tcPr>
          <w:p>
            <w:pPr>
              <w:pStyle w:val="TableContents"/>
              <w:bidi w:val="0"/>
              <w:spacing w:before="0" w:after="1"/>
              <w:ind w:left="0" w:right="0" w:hanging="0"/>
              <w:jc w:val="center"/>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w:t>
            </w:r>
          </w:p>
        </w:tc>
        <w:tc>
          <w:tcPr>
            <w:tcW w:w="331" w:type="dxa"/>
            <w:tcBorders/>
            <w:vAlign w:val="center"/>
          </w:tcPr>
          <w:p>
            <w:pPr>
              <w:pStyle w:val="TableContents"/>
              <w:bidi w:val="0"/>
              <w:spacing w:before="0" w:after="1"/>
              <w:ind w:left="0" w:right="0" w:hanging="0"/>
              <w:jc w:val="center"/>
              <w:rPr/>
            </w:pPr>
            <w:r>
              <w:rPr/>
              <w:t> </w:t>
            </w:r>
          </w:p>
        </w:tc>
      </w:tr>
      <w:tr>
        <w:trPr/>
        <w:tc>
          <w:tcPr>
            <w:tcW w:w="22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8,297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2,376</w:t>
            </w:r>
          </w:p>
        </w:tc>
        <w:tc>
          <w:tcPr>
            <w:tcW w:w="32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2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Europe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w:t>
            </w:r>
          </w:p>
        </w:tc>
        <w:tc>
          <w:tcPr>
            <w:tcW w:w="326" w:type="dxa"/>
            <w:tcBorders/>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2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2,307</w:t>
            </w:r>
          </w:p>
        </w:tc>
        <w:tc>
          <w:tcPr>
            <w:tcW w:w="326" w:type="dxa"/>
            <w:tcBorders/>
            <w:shd w:fill="CCEEFF" w:val="cle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Revenue was $11.8 million for the three months ended June 30, 2024, an increase of $2.3 million, or 24%, over the three months ended June 30, 2023.</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Revenue generated in the U.S. was $10.7 million for the three months ended June 30, 2024, an increase of $2.4 million, or 29%, over the three months ended June 30, 2023. HF revenue units in the U.S. totaled 339 and 265 for the three months ended June 30, 2024 and 2023, respectively. HF revenue in the U.S. totaled $10.5 million and $8.3 million for the three months ended June 30, 2024 and 2023, respectively. The increases were primarily driven by continued growth in the U.S. HF business as a result of the expansion into new sales territories, new accounts, and increased physician and patient awareness of Barostim.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30, 2024, we had a total of 189 active implanting centers in the U.S., as compared to 140 as of June 30, 2023. Active implanting centers are customers that have completed at least one commercial HF implant in the last 12 months. As of June 30, 2024, we had a total of 42 sales territories in the U.S. as compared to 32 sales territories as of June 30, 2023.</w:t>
      </w:r>
      <w:r>
        <w:rPr>
          <w:rFonts w:ascii="Arial;Helvetica;sans-serif" w:hAnsi="Arial;Helvetica;sans-serif"/>
          <w:sz w:val="20"/>
          <w:shd w:fill="FFFFFF" w:val="clear"/>
        </w:rPr>
        <w:t xml:space="preserve"> </w:t>
      </w:r>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Revenue generated in Europe was $1.1 million for the three months ended June 30, 2024, a decrease of $0.1 million, or 6%, over the three months ended June 30, 2023. Total revenue units in Europe increased to 63 for the three months ended June 30, 2024, as compared to 56 in the prior year period. As of both June 30, 2024 and 2023, we had six sales territories in Europe.</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Cost of goods sold and gross margin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Cost of goods sold increased $0.4 million, or 25%, to $1.9 million for the three months ended June 30, 2024, compared to the three months ended June 30, 2023. This increase was driven by higher sales of Barostim.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Gross profit was $9.9 million for the three months ended June 30, 2024, an increase of $1.9 million, or 24%, over the three months ended June 30, 2023. Gross margin was 84% for each of the three months ended June 30, 2024 and June 30, 2023. </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R&amp;D expenses decreased $0.5 million, or 16%, to $2.8 million for the three months ended June 30, 2024, compared to the three months ended June 30, 2023. This change was driven by a $0.4 million decrease in consulting expenses and a $0.1 million decrease in compensation expenses.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Selling, general and administrative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SG&amp;A expenses increased $4.7 million, or 28%, to $21.1 million for the three months ended June 30, 2024, compared to the three months ended June 30, 2023. This change was primarily driven by a $2.6 million increase in compensation expenses, mainly as a result of increased headcount, a $1.0 million increase in non-cash stock-based compensation expense, a $0.4 million increase in advertising expenses, a $0.2 million increase in travel expenses, and a $0.2 million increase in consulting expenses.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expense increased $0.5 million for the three months ended June 30, 2024, compared to the three months ended June 30, 2023. This increase was driven by the interest expense on borrowings under the Loan Agreement entered into on October 31, 2022.</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Other income, net increased $0.3 million for the three months ended June 30, 2024, compared to the three months ended June 30, 2023. This increase was primarily driven by greater interest income on our interest-bearing accounts.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Provision for income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Provision for income taxes was nominal for each of the three months ended June 30, 2024 and June 30, 2023.</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Consolidated results of operations for the six months ended June 30, 2024, compared to the six months ended June 30, 2023</w:t>
      </w:r>
    </w:p>
    <w:tbl>
      <w:tblPr>
        <w:tblW w:w="8403" w:type="dxa"/>
        <w:jc w:val="left"/>
        <w:tblInd w:w="0" w:type="dxa"/>
        <w:tblLayout w:type="fixed"/>
        <w:tblCellMar>
          <w:top w:w="0" w:type="dxa"/>
          <w:left w:w="0" w:type="dxa"/>
          <w:bottom w:w="0" w:type="dxa"/>
          <w:right w:w="0" w:type="dxa"/>
        </w:tblCellMar>
      </w:tblPr>
      <w:tblGrid>
        <w:gridCol w:w="3106"/>
        <w:gridCol w:w="326"/>
        <w:gridCol w:w="211"/>
        <w:gridCol w:w="811"/>
        <w:gridCol w:w="406"/>
        <w:gridCol w:w="211"/>
        <w:gridCol w:w="811"/>
        <w:gridCol w:w="406"/>
        <w:gridCol w:w="211"/>
        <w:gridCol w:w="811"/>
        <w:gridCol w:w="326"/>
        <w:gridCol w:w="436"/>
        <w:gridCol w:w="33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972310" cy="175260"/>
                      <wp:effectExtent l="0" t="0" r="0" b="0"/>
                      <wp:wrapNone/>
                      <wp:docPr id="195" name="Frame195"/>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14985" cy="175260"/>
                      <wp:effectExtent l="0" t="0" r="0" b="0"/>
                      <wp:wrapNone/>
                      <wp:docPr id="198" name="Frame19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57810" cy="175260"/>
                      <wp:effectExtent l="0" t="0" r="0" b="0"/>
                      <wp:wrapNone/>
                      <wp:docPr id="199" name="Frame19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14985" cy="175260"/>
                      <wp:effectExtent l="0" t="0" r="0" b="0"/>
                      <wp:wrapNone/>
                      <wp:docPr id="201" name="Frame20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57810" cy="175260"/>
                      <wp:effectExtent l="0" t="0" r="0" b="0"/>
                      <wp:wrapNone/>
                      <wp:docPr id="202" name="Frame20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14985" cy="175260"/>
                      <wp:effectExtent l="0" t="0" r="0" b="0"/>
                      <wp:wrapNone/>
                      <wp:docPr id="204" name="Frame20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76860" cy="175260"/>
                      <wp:effectExtent l="0" t="0" r="0" b="0"/>
                      <wp:wrapNone/>
                      <wp:docPr id="206" name="Frame20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0185" cy="175260"/>
                      <wp:effectExtent l="0" t="0" r="0" b="0"/>
                      <wp:wrapNone/>
                      <wp:docPr id="207" name="Frame20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5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40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 </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406" w:type="dxa"/>
            <w:tcBorders/>
            <w:vAlign w:val="center"/>
          </w:tcPr>
          <w:p>
            <w:pPr>
              <w:pStyle w:val="TableContents"/>
              <w:bidi w:val="0"/>
              <w:spacing w:before="0" w:after="1"/>
              <w:ind w:left="0" w:right="0" w:hanging="0"/>
              <w:jc w:val="left"/>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w:t>
            </w:r>
          </w:p>
        </w:tc>
        <w:tc>
          <w:tcPr>
            <w:tcW w:w="331" w:type="dxa"/>
            <w:tcBorders/>
            <w:vAlign w:val="center"/>
          </w:tcPr>
          <w:p>
            <w:pPr>
              <w:pStyle w:val="TableContents"/>
              <w:bidi w:val="0"/>
              <w:spacing w:before="0" w:after="1"/>
              <w:ind w:left="0" w:right="0" w:hanging="0"/>
              <w:jc w:val="center"/>
              <w:rPr/>
            </w:pPr>
            <w:r>
              <w:rPr/>
              <w:t>​</w:t>
            </w:r>
          </w:p>
        </w:tc>
      </w:tr>
      <w:tr>
        <w:trPr/>
        <w:tc>
          <w:tcPr>
            <w:tcW w:w="310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(unaudited and in thousands)</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40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vAlign w:val="center"/>
          </w:tcPr>
          <w:p>
            <w:pPr>
              <w:pStyle w:val="TableContents"/>
              <w:bidi w:val="0"/>
              <w:spacing w:before="0" w:after="1"/>
              <w:ind w:left="0" w:right="0" w:hanging="0"/>
              <w:jc w:val="center"/>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w:t>
            </w:r>
          </w:p>
        </w:tc>
        <w:tc>
          <w:tcPr>
            <w:tcW w:w="331" w:type="dxa"/>
            <w:tcBorders/>
            <w:vAlign w:val="center"/>
          </w:tcPr>
          <w:p>
            <w:pPr>
              <w:pStyle w:val="TableContents"/>
              <w:bidi w:val="0"/>
              <w:spacing w:before="0" w:after="1"/>
              <w:ind w:left="0" w:right="0" w:hanging="0"/>
              <w:jc w:val="center"/>
              <w:rPr/>
            </w:pPr>
            <w:r>
              <w:rPr/>
              <w:t> </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22,577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17,479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5,098</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3,515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670</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19,062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14,634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4,428</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5,822</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6,696</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(874)</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49,445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31,852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17,593</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55,267</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38,548</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16,719</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(36,205)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(23,914)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(12,291)</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(1,919)</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(1,198)</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166</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310</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(36,136)</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(22,957)</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(13,179)</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(36,215)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(23,025)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(13,190)</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Arial;Helvetica;sans-serif" w:hAnsi="Arial;Helvetica;sans-serif"/>
          <w:b/>
          <w:i/>
          <w:sz w:val="20"/>
        </w:rPr>
      </w:pPr>
      <w:r>
        <w:rPr>
          <w:rFonts w:ascii="Arial;Helvetica;sans-serif" w:hAnsi="Arial;Helvetica;sans-serif"/>
          <w:b/>
          <w:i/>
          <w:sz w:val="20"/>
        </w:rPr>
        <w:t>The following table provides revenue by geography:</w:t>
      </w:r>
    </w:p>
    <w:tbl>
      <w:tblPr>
        <w:tblW w:w="6384" w:type="dxa"/>
        <w:jc w:val="left"/>
        <w:tblInd w:w="0" w:type="dxa"/>
        <w:tblLayout w:type="fixed"/>
        <w:tblCellMar>
          <w:top w:w="0" w:type="dxa"/>
          <w:left w:w="0" w:type="dxa"/>
          <w:bottom w:w="0" w:type="dxa"/>
          <w:right w:w="0" w:type="dxa"/>
        </w:tblCellMar>
      </w:tblPr>
      <w:tblGrid>
        <w:gridCol w:w="2236"/>
        <w:gridCol w:w="109"/>
        <w:gridCol w:w="211"/>
        <w:gridCol w:w="691"/>
        <w:gridCol w:w="326"/>
        <w:gridCol w:w="211"/>
        <w:gridCol w:w="691"/>
        <w:gridCol w:w="109"/>
        <w:gridCol w:w="211"/>
        <w:gridCol w:w="586"/>
        <w:gridCol w:w="326"/>
        <w:gridCol w:w="346"/>
        <w:gridCol w:w="33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19860" cy="175260"/>
                      <wp:effectExtent l="0" t="0" r="0" b="0"/>
                      <wp:wrapNone/>
                      <wp:docPr id="208" name="Frame208"/>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38785" cy="175260"/>
                      <wp:effectExtent l="0" t="0" r="0" b="0"/>
                      <wp:wrapNone/>
                      <wp:docPr id="211" name="Frame2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38785" cy="175260"/>
                      <wp:effectExtent l="0" t="0" r="0" b="0"/>
                      <wp:wrapNone/>
                      <wp:docPr id="214" name="Frame2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72110" cy="175260"/>
                      <wp:effectExtent l="0" t="0" r="0" b="0"/>
                      <wp:wrapNone/>
                      <wp:docPr id="217" name="Frame21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0185" cy="175260"/>
                      <wp:effectExtent l="0" t="0" r="0" b="0"/>
                      <wp:wrapNone/>
                      <wp:docPr id="220" name="Frame22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3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14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w:t>
            </w:r>
          </w:p>
        </w:tc>
        <w:tc>
          <w:tcPr>
            <w:tcW w:w="331" w:type="dxa"/>
            <w:tcBorders/>
            <w:vAlign w:val="center"/>
          </w:tcPr>
          <w:p>
            <w:pPr>
              <w:pStyle w:val="TableContents"/>
              <w:bidi w:val="0"/>
              <w:spacing w:before="0" w:after="1"/>
              <w:ind w:left="0" w:right="0" w:hanging="0"/>
              <w:jc w:val="center"/>
              <w:rPr/>
            </w:pPr>
            <w:r>
              <w:rPr/>
              <w:t>​</w:t>
            </w:r>
          </w:p>
        </w:tc>
      </w:tr>
      <w:tr>
        <w:trPr/>
        <w:tc>
          <w:tcPr>
            <w:tcW w:w="223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(unaudited and in thousands)</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vAlign w:val="center"/>
          </w:tcPr>
          <w:p>
            <w:pPr>
              <w:pStyle w:val="TableContents"/>
              <w:bidi w:val="0"/>
              <w:spacing w:before="0" w:after="1"/>
              <w:ind w:left="0" w:right="0" w:hanging="0"/>
              <w:jc w:val="center"/>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w:t>
            </w:r>
          </w:p>
        </w:tc>
        <w:tc>
          <w:tcPr>
            <w:tcW w:w="331" w:type="dxa"/>
            <w:tcBorders/>
            <w:vAlign w:val="center"/>
          </w:tcPr>
          <w:p>
            <w:pPr>
              <w:pStyle w:val="TableContents"/>
              <w:bidi w:val="0"/>
              <w:spacing w:before="0" w:after="1"/>
              <w:ind w:left="0" w:right="0" w:hanging="0"/>
              <w:jc w:val="center"/>
              <w:rPr/>
            </w:pPr>
            <w:r>
              <w:rPr/>
              <w:t> </w:t>
            </w:r>
          </w:p>
        </w:tc>
      </w:tr>
      <w:tr>
        <w:trPr/>
        <w:tc>
          <w:tcPr>
            <w:tcW w:w="22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5,269</w:t>
            </w:r>
          </w:p>
        </w:tc>
        <w:tc>
          <w:tcPr>
            <w:tcW w:w="32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2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Europe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2,069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2,240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w:t>
            </w:r>
          </w:p>
        </w:tc>
        <w:tc>
          <w:tcPr>
            <w:tcW w:w="326" w:type="dxa"/>
            <w:tcBorders/>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2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17,479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5,098</w:t>
            </w:r>
          </w:p>
        </w:tc>
        <w:tc>
          <w:tcPr>
            <w:tcW w:w="326" w:type="dxa"/>
            <w:tcBorders/>
            <w:shd w:fill="CCEEFF" w:val="cle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Revenue was $22.6 million for the six months ended June 30, 2024, an increase of $5.1 million, or 29%, over the six months ended June 30, 2023.</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Revenue generated in the U.S. was $20.5 million for the six months ended June 30, 2024, an increase of $5.3 million, or 35%, over the six months ended June 30, 2023. HF revenue units in the U.S. totaled 658 and 490 for the six months ended June 30, 2024 and 2023, respectively. HF revenue in the U.S. totaled $20.3 million and $15.1 million for the six months ended June 30, 2024 and 2023, respectively. The increases were primarily driven by continued growth in the U.S. HF business as a result of the expansion into new sales territories, new accounts, and increased physician and patient awareness of Barostim. </w:t>
      </w:r>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Revenue generated in Europe was $2.1 million for the six months ended June 30, 2024, a decrease of $0.2 million, or 8%, over the six months ended June 30, 2023. Total revenue units in Europe decreased to 107 for the six months ended June 30, 2024, as compared to 108 in the prior year period. </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Cost of goods sold and gross margin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Cost of goods sold increased $0.7 million, or 24%, to $3.5 million for the six months ended June 30, 2024, compared to the six months ended June 30, 2023. This increase was driven by higher sales of Barostim.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Gross profit was $19.1 million for the six months ended June 30, 2024, an increase of $4.4 million, or 30%, over the six months ended June 30, 2023. Gross margin was 84% for each of the six months ended June 30, 2024 and June 30, 2023.</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R&amp;D expenses decreased $0.9 million, or 13%, to $5.8 million for the six months ended June 30, 2024, compared to the six months ended June 30, 2023. This change was driven by a $0.5 million decrease in consulting expenses, a $0.1 million decrease in non-cash stock-based compensation expense, and a $0.1 million decrease in travel expenses.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Selling, general and administrative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SG&amp;A expenses increased $17.6 million, or 55%, to $49.4 million for the six months ended June 30, 2024, compared to the six months ended June 30, 2023. This change was primarily driven by a $10.6 million increase in non-cash stock-based compensation expense, a $4.6 million increase in compensation expenses, mainly as a result of increased headcount, a $0.6 million increase in advertising expenses, a $0.5 million increase in travel expenses, and a $0.5 million increase in consulting expenses. Approximately $8.4 million of the increase in non-cash stock-based compensation expense is related to the modification of stock options held by the former CEO in connection with his retirement in the first quarter of 2024 described in Note 7 to our condensed consolidated financial statements included elsewhere in this Quarterly Report on Form 10-Q.</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expense increased $1.2 million for the six months ended June 30, 2024, compared to the six months ended June 30, 2023. This increase was driven by the interest expense on borrowings under the Loan Agreement entered into on October 31, 2022.</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Other income, net increased $0.3 million for the six months ended June 30, 2024, compared to the six months ended June 30, 2023. This increase was primarily driven by greater interest income on our interest-bearing accounts.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Provision for income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Provision for income taxes was nominal for each of the six months ended June 30, 2024 and June 30, 2023.</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Liquidity, capital resources and plan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have incurred significant operating losses and negative cash flows from operations since our inception, and we anticipate that we will incur significant losses for at least the next several years. As of June 30, 2024 and December 31, 2023, we had cash and cash equivalents of $70.4 million and $90.6 million, respectively. </w:t>
      </w:r>
      <w:r>
        <w:rPr>
          <w:rFonts w:ascii="Arial;Helvetica;sans-serif" w:hAnsi="Arial;Helvetica;sans-serif"/>
          <w:sz w:val="20"/>
          <w:shd w:fill="FFFFFF" w:val="clear"/>
        </w:rPr>
        <w:t>For the three months ended June 30, 2024 and 2023, our net losses were $14.0 million and $11.7 million, respectively.</w:t>
      </w:r>
      <w:r>
        <w:rPr>
          <w:rFonts w:ascii="Arial;Helvetica;sans-serif" w:hAnsi="Arial;Helvetica;sans-serif"/>
          <w:sz w:val="20"/>
        </w:rPr>
        <w:t xml:space="preserve"> </w:t>
      </w:r>
      <w:r>
        <w:rPr>
          <w:rFonts w:ascii="Arial;Helvetica;sans-serif" w:hAnsi="Arial;Helvetica;sans-serif"/>
          <w:sz w:val="20"/>
          <w:shd w:fill="FFFFFF" w:val="clear"/>
        </w:rPr>
        <w:t>For the six months ended June 30, 2024 and 2023, our net losses were $36.2 million and $23.0 million, respectively.</w:t>
      </w:r>
      <w:r>
        <w:rPr>
          <w:rFonts w:ascii="Arial;Helvetica;sans-serif" w:hAnsi="Arial;Helvetica;sans-serif"/>
          <w:sz w:val="20"/>
        </w:rPr>
        <w:t xml:space="preserve"> Our net cash used in operating activities for the six months ended June 30, 2024 and 2023 was $20.7 million and $23.1 million, respectively.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On October 31, 2022, we entered into the Loan Agreement under which we may borrow, subject to our achievement of certain milestones, up to a total of $50.0 million in a series of Term Loans described in Note 4 to our condensed consolidated financial statements included elsewhere in this Quarterly Report on Form 10-Q, and we borrowed $7.5 million of such total on that date to fund our commercial and investment efforts. On March 10, 2023, we borrowed the $7.5 million remaining under the first tranche of the Loan Agreement. On December 15, 2023, we borrowed $15.0 million under the second tranche of the Loan Agreement. We had $30.0 million </w:t>
      </w:r>
      <w:r>
        <w:rPr>
          <w:rFonts w:ascii="Arial;Helvetica;sans-serif" w:hAnsi="Arial;Helvetica;sans-serif"/>
          <w:sz w:val="20"/>
          <w:shd w:fill="FFFFFF" w:val="clear"/>
        </w:rPr>
        <w:t>in outstanding Term Loans under the Loan Agreement as of June 30, 2024. The Loan Agreement provides for an additional tranche of up to $20.0 million, based on the timing and other conditions set forth in the Loan Agreement.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November 4, 2022, we entered into an Equity Distribution Agreement with Piper Sandler &amp; Co., as agent, under which we may offer and sell, from time to time at our sole discretion, shares of our common stock having an aggregate offering price of up to $50.0 million in an “at-the-market” or ATM offering, to or through the agent. In January 2024, we commenced this ATM offering and issued 23,364 shares of common stock for gross proceeds of $0.6 million under the ATM offering during the six months ended June 30, 2024. We have remaining capacity to issue and sell up to approximately $49.4 million of additional shares of common stock under this ATM offering.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liquidity and capital funding requirements will depend on numerous factors, including:</w:t>
      </w:r>
    </w:p>
    <w:tbl>
      <w:tblPr>
        <w:tblW w:w="6527" w:type="dxa"/>
        <w:jc w:val="left"/>
        <w:tblInd w:w="0" w:type="dxa"/>
        <w:tblLayout w:type="fixed"/>
        <w:tblCellMar>
          <w:top w:w="0" w:type="dxa"/>
          <w:left w:w="0" w:type="dxa"/>
          <w:bottom w:w="0" w:type="dxa"/>
          <w:right w:w="0" w:type="dxa"/>
        </w:tblCellMar>
      </w:tblPr>
      <w:tblGrid>
        <w:gridCol w:w="271"/>
        <w:gridCol w:w="6256"/>
      </w:tblGrid>
      <w:tr>
        <w:trPr/>
        <w:tc>
          <w:tcPr>
            <w:tcW w:w="271" w:type="dxa"/>
            <w:tcBorders/>
            <w:vAlign w:val="center"/>
          </w:tcPr>
          <w:p>
            <w:pPr>
              <w:pStyle w:val="TableContents"/>
              <w:bidi w:val="0"/>
              <w:spacing w:before="0" w:after="283"/>
              <w:jc w:val="left"/>
              <w:rPr>
                <w:color w:val="231F20"/>
              </w:rPr>
            </w:pPr>
            <w:r>
              <w:rPr>
                <w:color w:val="231F20"/>
              </w:rPr>
              <w:t>●</w:t>
            </w:r>
          </w:p>
        </w:tc>
        <w:tc>
          <w:tcPr>
            <w:tcW w:w="62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investment in our U.S. commercial infrastructure and sales forces;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degree and rate of market acceptance of Barostim and the ability for our customers to obtain appropriate levels of reimbursement;</w:t>
            </w:r>
          </w:p>
        </w:tc>
      </w:tr>
    </w:tbl>
    <w:tbl>
      <w:tblPr>
        <w:tblW w:w="9812" w:type="dxa"/>
        <w:jc w:val="left"/>
        <w:tblInd w:w="0" w:type="dxa"/>
        <w:tblLayout w:type="fixed"/>
        <w:tblCellMar>
          <w:top w:w="0" w:type="dxa"/>
          <w:left w:w="0" w:type="dxa"/>
          <w:bottom w:w="0" w:type="dxa"/>
          <w:right w:w="0" w:type="dxa"/>
        </w:tblCellMar>
      </w:tblPr>
      <w:tblGrid>
        <w:gridCol w:w="271"/>
        <w:gridCol w:w="9541"/>
      </w:tblGrid>
      <w:tr>
        <w:trPr/>
        <w:tc>
          <w:tcPr>
            <w:tcW w:w="271" w:type="dxa"/>
            <w:tcBorders/>
            <w:vAlign w:val="center"/>
          </w:tcPr>
          <w:p>
            <w:pPr>
              <w:pStyle w:val="TableContents"/>
              <w:bidi w:val="0"/>
              <w:spacing w:before="0" w:after="283"/>
              <w:jc w:val="left"/>
              <w:rPr>
                <w:color w:val="231F20"/>
              </w:rPr>
            </w:pPr>
            <w:r>
              <w:rPr>
                <w:color w:val="231F20"/>
              </w:rPr>
              <w:t>●</w:t>
            </w:r>
          </w:p>
        </w:tc>
        <w:tc>
          <w:tcPr>
            <w:tcW w:w="954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commercialization activities, including product sales, marketing, manufacturing and distribution;</w:t>
            </w:r>
          </w:p>
        </w:tc>
      </w:tr>
    </w:tbl>
    <w:tbl>
      <w:tblPr>
        <w:tblW w:w="6992" w:type="dxa"/>
        <w:jc w:val="left"/>
        <w:tblInd w:w="0" w:type="dxa"/>
        <w:tblLayout w:type="fixed"/>
        <w:tblCellMar>
          <w:top w:w="0" w:type="dxa"/>
          <w:left w:w="0" w:type="dxa"/>
          <w:bottom w:w="0" w:type="dxa"/>
          <w:right w:w="0" w:type="dxa"/>
        </w:tblCellMar>
      </w:tblPr>
      <w:tblGrid>
        <w:gridCol w:w="271"/>
        <w:gridCol w:w="6721"/>
      </w:tblGrid>
      <w:tr>
        <w:trPr/>
        <w:tc>
          <w:tcPr>
            <w:tcW w:w="271" w:type="dxa"/>
            <w:tcBorders/>
            <w:vAlign w:val="center"/>
          </w:tcPr>
          <w:p>
            <w:pPr>
              <w:pStyle w:val="TableContents"/>
              <w:bidi w:val="0"/>
              <w:spacing w:before="0" w:after="283"/>
              <w:jc w:val="left"/>
              <w:rPr>
                <w:color w:val="231F20"/>
              </w:rPr>
            </w:pPr>
            <w:r>
              <w:rPr>
                <w:color w:val="231F20"/>
              </w:rPr>
              <w:t>●</w:t>
            </w:r>
          </w:p>
        </w:tc>
        <w:tc>
          <w:tcPr>
            <w:tcW w:w="672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R&amp;D activities for product enhancements and to expand our indications;</w:t>
            </w:r>
          </w:p>
        </w:tc>
      </w:tr>
    </w:tbl>
    <w:tbl>
      <w:tblPr>
        <w:tblW w:w="10067" w:type="dxa"/>
        <w:jc w:val="left"/>
        <w:tblInd w:w="0" w:type="dxa"/>
        <w:tblLayout w:type="fixed"/>
        <w:tblCellMar>
          <w:top w:w="0" w:type="dxa"/>
          <w:left w:w="0" w:type="dxa"/>
          <w:bottom w:w="0" w:type="dxa"/>
          <w:right w:w="0" w:type="dxa"/>
        </w:tblCellMar>
      </w:tblPr>
      <w:tblGrid>
        <w:gridCol w:w="271"/>
        <w:gridCol w:w="9796"/>
      </w:tblGrid>
      <w:tr>
        <w:trPr/>
        <w:tc>
          <w:tcPr>
            <w:tcW w:w="271" w:type="dxa"/>
            <w:tcBorders/>
            <w:vAlign w:val="center"/>
          </w:tcPr>
          <w:p>
            <w:pPr>
              <w:pStyle w:val="TableContents"/>
              <w:bidi w:val="0"/>
              <w:spacing w:before="0" w:after="283"/>
              <w:jc w:val="left"/>
              <w:rPr>
                <w:color w:val="231F20"/>
              </w:rPr>
            </w:pPr>
            <w:r>
              <w:rPr>
                <w:color w:val="231F20"/>
              </w:rPr>
              <w:t>●</w:t>
            </w:r>
          </w:p>
        </w:tc>
        <w:tc>
          <w:tcPr>
            <w:tcW w:w="979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filing, prosecuting, defending and enforcing any patent claims and other intellectual property rights;</w:t>
            </w:r>
          </w:p>
        </w:tc>
      </w:tr>
    </w:tbl>
    <w:tbl>
      <w:tblPr>
        <w:tblW w:w="6377" w:type="dxa"/>
        <w:jc w:val="left"/>
        <w:tblInd w:w="0" w:type="dxa"/>
        <w:tblLayout w:type="fixed"/>
        <w:tblCellMar>
          <w:top w:w="0" w:type="dxa"/>
          <w:left w:w="0" w:type="dxa"/>
          <w:bottom w:w="0" w:type="dxa"/>
          <w:right w:w="0" w:type="dxa"/>
        </w:tblCellMar>
      </w:tblPr>
      <w:tblGrid>
        <w:gridCol w:w="271"/>
        <w:gridCol w:w="6106"/>
      </w:tblGrid>
      <w:tr>
        <w:trPr/>
        <w:tc>
          <w:tcPr>
            <w:tcW w:w="271" w:type="dxa"/>
            <w:tcBorders/>
            <w:vAlign w:val="center"/>
          </w:tcPr>
          <w:p>
            <w:pPr>
              <w:pStyle w:val="TableContents"/>
              <w:bidi w:val="0"/>
              <w:spacing w:before="0" w:after="283"/>
              <w:jc w:val="left"/>
              <w:rPr>
                <w:color w:val="231F20"/>
              </w:rPr>
            </w:pPr>
            <w:r>
              <w:rPr>
                <w:color w:val="231F20"/>
              </w:rPr>
              <w:t>●</w:t>
            </w:r>
          </w:p>
        </w:tc>
        <w:tc>
          <w:tcPr>
            <w:tcW w:w="610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need to implement additional infrastructure and internal systems;</w:t>
            </w:r>
          </w:p>
        </w:tc>
      </w:tr>
    </w:tbl>
    <w:tbl>
      <w:tblPr>
        <w:tblW w:w="8162" w:type="dxa"/>
        <w:jc w:val="left"/>
        <w:tblInd w:w="0" w:type="dxa"/>
        <w:tblLayout w:type="fixed"/>
        <w:tblCellMar>
          <w:top w:w="0" w:type="dxa"/>
          <w:left w:w="0" w:type="dxa"/>
          <w:bottom w:w="0" w:type="dxa"/>
          <w:right w:w="0" w:type="dxa"/>
        </w:tblCellMar>
      </w:tblPr>
      <w:tblGrid>
        <w:gridCol w:w="271"/>
        <w:gridCol w:w="7891"/>
      </w:tblGrid>
      <w:tr>
        <w:trPr/>
        <w:tc>
          <w:tcPr>
            <w:tcW w:w="271" w:type="dxa"/>
            <w:tcBorders/>
            <w:vAlign w:val="center"/>
          </w:tcPr>
          <w:p>
            <w:pPr>
              <w:pStyle w:val="TableContents"/>
              <w:bidi w:val="0"/>
              <w:spacing w:before="0" w:after="283"/>
              <w:jc w:val="left"/>
              <w:rPr>
                <w:color w:val="231F20"/>
              </w:rPr>
            </w:pPr>
            <w:r>
              <w:rPr>
                <w:color w:val="231F20"/>
              </w:rPr>
              <w:t>●</w:t>
            </w:r>
          </w:p>
        </w:tc>
        <w:tc>
          <w:tcPr>
            <w:tcW w:w="789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hire additional personnel to support our operations as a public company; and</w:t>
            </w:r>
          </w:p>
        </w:tc>
      </w:tr>
    </w:tbl>
    <w:tbl>
      <w:tblPr>
        <w:tblW w:w="7517" w:type="dxa"/>
        <w:jc w:val="left"/>
        <w:tblInd w:w="0" w:type="dxa"/>
        <w:tblLayout w:type="fixed"/>
        <w:tblCellMar>
          <w:top w:w="0" w:type="dxa"/>
          <w:left w:w="0" w:type="dxa"/>
          <w:bottom w:w="0" w:type="dxa"/>
          <w:right w:w="0" w:type="dxa"/>
        </w:tblCellMar>
      </w:tblPr>
      <w:tblGrid>
        <w:gridCol w:w="271"/>
        <w:gridCol w:w="7246"/>
      </w:tblGrid>
      <w:tr>
        <w:trPr/>
        <w:tc>
          <w:tcPr>
            <w:tcW w:w="271" w:type="dxa"/>
            <w:tcBorders/>
            <w:vAlign w:val="center"/>
          </w:tcPr>
          <w:p>
            <w:pPr>
              <w:pStyle w:val="TableContents"/>
              <w:bidi w:val="0"/>
              <w:spacing w:before="0" w:after="283"/>
              <w:jc w:val="left"/>
              <w:rPr>
                <w:color w:val="231F20"/>
              </w:rPr>
            </w:pPr>
            <w:r>
              <w:rPr>
                <w:color w:val="231F20"/>
              </w:rPr>
              <w:t>●</w:t>
            </w:r>
          </w:p>
        </w:tc>
        <w:tc>
          <w:tcPr>
            <w:tcW w:w="724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emergence of competing technologies or other adverse market developments.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that our existing cash resources and Loan Agreement for Term Loans together with revenue will be sufficient to meet our forecasted requirements for operating liquidity, capital expenditures and debt services for at least the next three years. If these sources are insufficient to satisfy our liquidity requirements, or provide funding to execute or accelerate our growth strategies, however, we may seek to sell additional equity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Cash flows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sets forth the primary sources and uses of cash for each of the periods presented below:</w:t>
      </w:r>
    </w:p>
    <w:tbl>
      <w:tblPr>
        <w:tblW w:w="7977" w:type="dxa"/>
        <w:jc w:val="left"/>
        <w:tblInd w:w="0" w:type="dxa"/>
        <w:tblLayout w:type="fixed"/>
        <w:tblCellMar>
          <w:top w:w="0" w:type="dxa"/>
          <w:left w:w="0" w:type="dxa"/>
          <w:bottom w:w="0" w:type="dxa"/>
          <w:right w:w="0" w:type="dxa"/>
        </w:tblCellMar>
      </w:tblPr>
      <w:tblGrid>
        <w:gridCol w:w="5236"/>
        <w:gridCol w:w="326"/>
        <w:gridCol w:w="211"/>
        <w:gridCol w:w="811"/>
        <w:gridCol w:w="326"/>
        <w:gridCol w:w="211"/>
        <w:gridCol w:w="856"/>
      </w:tblGrid>
      <w:tr>
        <w:trPr/>
        <w:tc>
          <w:tcPr>
            <w:tcW w:w="5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324860" cy="175260"/>
                      <wp:effectExtent l="0" t="0" r="0" b="0"/>
                      <wp:wrapNone/>
                      <wp:docPr id="221" name="Frame221"/>
                      <a:graphic xmlns:a="http://schemas.openxmlformats.org/drawingml/2006/main">
                        <a:graphicData uri="http://schemas.microsoft.com/office/word/2010/wordprocessingShape">
                          <wps:wsp>
                            <wps:cNvSpPr txBox="1"/>
                            <wps:spPr>
                              <a:xfrm>
                                <a:off x="0" y="0"/>
                                <a:ext cx="332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14985" cy="175260"/>
                      <wp:effectExtent l="0" t="0" r="0" b="0"/>
                      <wp:wrapNone/>
                      <wp:docPr id="224" name="Frame22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43560" cy="175260"/>
                      <wp:effectExtent l="0" t="0" r="0" b="0"/>
                      <wp:wrapNone/>
                      <wp:docPr id="227" name="Frame22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i/>
                <w:sz w:val="16"/>
              </w:rPr>
            </w:pPr>
            <w:r>
              <w:rPr>
                <w:rFonts w:ascii="Arial;Helvetica;sans-serif" w:hAnsi="Arial;Helvetica;sans-serif"/>
                <w:i/>
                <w:sz w:val="16"/>
              </w:rPr>
              <w:t>(unaudited)</w:t>
            </w:r>
          </w:p>
        </w:tc>
      </w:tr>
      <w:tr>
        <w:trPr/>
        <w:tc>
          <w:tcPr>
            <w:tcW w:w="523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52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provided by: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(20,726)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(23,057)</w:t>
            </w:r>
          </w:p>
        </w:tc>
      </w:tr>
      <w:tr>
        <w:trPr/>
        <w:tc>
          <w:tcPr>
            <w:tcW w:w="52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(383)</w:t>
            </w:r>
          </w:p>
        </w:tc>
      </w:tr>
      <w:tr>
        <w:trPr/>
        <w:tc>
          <w:tcPr>
            <w:tcW w:w="5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8,041</w:t>
            </w:r>
          </w:p>
        </w:tc>
      </w:tr>
      <w:tr>
        <w:trPr/>
        <w:tc>
          <w:tcPr>
            <w:tcW w:w="52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Effect of currency exchange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r>
      <w:tr>
        <w:trPr/>
        <w:tc>
          <w:tcPr>
            <w:tcW w:w="5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change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(20,169)</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(15,379)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used in operating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Net cash used in operating activities for the six months ended June 30, 2024 was $20.7 million and consisted primarily of a net loss of $36.2 million, partially offset by a non-cash charge of $13.7 million related to stock-based compensation expense and an increase in net operating assets of $1.4 million. </w:t>
      </w:r>
      <w:r>
        <w:rPr>
          <w:rFonts w:ascii="Arial;Helvetica;sans-serif" w:hAnsi="Arial;Helvetica;sans-serif"/>
          <w:sz w:val="20"/>
          <w:shd w:fill="FFFFFF" w:val="clear"/>
        </w:rPr>
        <w:t>Net operating assets consisted primarily of accounts receivable, inventory, prepaid expenses and other current assets, accounts payable and accrued expenses to support the growth of our operations.</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Net cash used in operating activities for the six months ended June 30, 2023 was $23.1 million and consisted primarily of a net loss of $23.0 million and a decrease in net operating assets of $3.5 million, partially offset by a non-cash charge of $3.2 million related to stock-based compensation expense. Net operating assets consisted primarily of accounts receivable, inventory, prepaid expenses and other current assets, accounts payable and accrued expenses to support the growth of our operations.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used in investing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Cash used in investing activities was $1.3 million and $0.4 million for the six months ended June 30, 2024 and 2023, respectively, and consisted of purchases of property and equipment.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provided by financing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Net cash provided by financing activities for the six months ended June 30, 2024 was $1.8 million and consisted of $0.9 million related to proceeds from the exercise of common stock options, $0.5 million related to proceeds from the issuance of common stock through the ATM offering, and $0.4 million related to proceeds from the ESPP.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shd w:fill="FFFFFF" w:val="clear"/>
        </w:rPr>
        <w:t>Net cash provided by financing activities for the six months ended June 30, 2023 was $8.0 million and consisted of $7.5 million related to the proceeds under the Loan Agreement,</w:t>
      </w:r>
      <w:r>
        <w:rPr>
          <w:rFonts w:ascii="Arial;Helvetica;sans-serif" w:hAnsi="Arial;Helvetica;sans-serif"/>
          <w:sz w:val="20"/>
        </w:rPr>
        <w:t xml:space="preserve"> $0.5 million related to proceeds from the ESPP,</w:t>
      </w:r>
      <w:r>
        <w:rPr>
          <w:rFonts w:ascii="Arial;Helvetica;sans-serif" w:hAnsi="Arial;Helvetica;sans-serif"/>
          <w:sz w:val="20"/>
          <w:shd w:fill="FFFFFF" w:val="clear"/>
        </w:rPr>
        <w:t xml:space="preserve"> and $0.2 million related to proceeds from the exercise of common stock options, partially offset by $0.1 million related to debt financing costs.</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Contractual obligations and commitments</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There have been no material changes to our contractual obligations as of June 30, 2024, as compared to those disclosed in our Annual Report on Form 10-K for the year ended December 31, 2023.</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Critical accounting policies and estimates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a discussion of our potential risks and uncertainties, see the information in</w:t>
      </w:r>
      <w:r>
        <w:rPr>
          <w:rFonts w:ascii="Arial;Helvetica;sans-serif" w:hAnsi="Arial;Helvetica;sans-serif"/>
          <w:sz w:val="20"/>
          <w:shd w:fill="FFFFFF" w:val="clear"/>
        </w:rPr>
        <w:t xml:space="preserve"> Part II, Item 7. “Management's Discussion and Analysis of Financial Condition and Results of Operations—Critical accounting policies and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estimates" in our Annual Report on Form 10-K for the fiscal year ended December 31, 2023. We have reviewed and determined that those critical accounting policies and estimates remain our critical accounting policies and estimates as of and for the six months ended June 30, 2024.</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JOBS Act accounting election</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Recent accounting pronouncements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discussion of recent accounting pronouncements is included in Note 2 to our condensed consolidated financial statements included elsewhere in this Quarterly Report on Form 10-Q.</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920" w:name="Item3QuantitativeandQualitativeDisclosur"/>
      <w:bookmarkStart w:id="921" w:name="_6179f550_67ce_467e_926d_c650d557ffd3"/>
      <w:bookmarkEnd w:id="920"/>
      <w:bookmarkEnd w:id="921"/>
      <w:r>
        <w:rPr>
          <w:rFonts w:ascii="Arial;Helvetica;sans-serif" w:hAnsi="Arial;Helvetica;sans-serif"/>
          <w:b/>
          <w:sz w:val="24"/>
        </w:rPr>
        <w:t>Item 3. Quantitative and Qualitative Disclosures About Market Risk</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Interest rate risk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risk associated with fluctuating interest rates is primarily limited to our cash equivalents and debt issued under the Loan Agreement, which are carried at quoted market prices and the prime rate, respectively. We do not currently use or plan to use financial derivatives in our investment portfolio.</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Foreign currency exchange rate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Inflation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 a percentage of our revenue if the selling prices of our products do not increase as much as or more than these increased costs.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Credit risk</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As of June 30, 2024 and December 31, 2023,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r>
        <w:rPr>
          <w:rFonts w:ascii="Arial;Helvetica;sans-serif" w:hAnsi="Arial;Helvetica;sans-serif"/>
          <w:sz w:val="18"/>
        </w:rPr>
        <w:t xml:space="preserve">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pBdr/>
        <w:shd w:fill="FFFFFF" w:val="clear"/>
        <w:bidi w:val="0"/>
        <w:spacing w:before="0" w:after="0"/>
        <w:ind w:left="0" w:right="0" w:hanging="0"/>
        <w:jc w:val="left"/>
        <w:rPr>
          <w:rFonts w:ascii="Arial;Helvetica;sans-serif" w:hAnsi="Arial;Helvetica;sans-serif"/>
          <w:sz w:val="20"/>
        </w:rPr>
      </w:pPr>
      <w:bookmarkStart w:id="922" w:name="Item4ControlsandProcedures_977453"/>
      <w:bookmarkStart w:id="923" w:name="_b8a14693_82bb_49c4_b112_4d63dd63c024"/>
      <w:bookmarkEnd w:id="922"/>
      <w:bookmarkEnd w:id="923"/>
      <w:r>
        <w:rPr>
          <w:rFonts w:ascii="Arial;Helvetica;sans-serif" w:hAnsi="Arial;Helvetica;sans-serif"/>
          <w:b/>
          <w:sz w:val="24"/>
        </w:rPr>
        <w:t>Item 4. Controls and Procedures</w:t>
      </w:r>
      <w:r>
        <w:rPr>
          <w:rFonts w:ascii="Arial;Helvetica;sans-serif" w:hAnsi="Arial;Helvetica;sans-serif"/>
          <w:sz w:val="20"/>
        </w:rPr>
        <w:t xml:space="preserve"> </w:t>
      </w:r>
    </w:p>
    <w:p>
      <w:pPr>
        <w:pStyle w:val="TextBody"/>
        <w:pBdr/>
        <w:shd w:fill="FFFFFF" w:val="clear"/>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Evaluation of disclosure controls and procedures</w:t>
      </w:r>
    </w:p>
    <w:p>
      <w:pPr>
        <w:pStyle w:val="TextBody"/>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pStyle w:val="TextBody"/>
        <w:shd w:fill="FFFFFF" w:val="clear"/>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Changes in internal control over financial reporting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There were no changes in our internal control over financial reporting (as defined in Rules 13a-15(f) and 15d-15(f) under the Exchange Act) that occurred during the quarter ended June 30, 2024, that have materially affected, or are reasonably likely to materially affect, our internal control over financial reporting.</w:t>
      </w:r>
    </w:p>
    <w:p>
      <w:pPr>
        <w:pStyle w:val="TextBody"/>
        <w:bidi w:val="0"/>
        <w:spacing w:before="0" w:after="0"/>
        <w:ind w:left="0" w:right="0" w:hanging="0"/>
        <w:jc w:val="center"/>
        <w:rPr>
          <w:rFonts w:ascii="Arial;Helvetica;sans-serif" w:hAnsi="Arial;Helvetica;sans-serif"/>
          <w:b/>
          <w:sz w:val="24"/>
        </w:rPr>
      </w:pPr>
      <w:bookmarkStart w:id="924" w:name="PARTIIOTHERINFORMATION"/>
      <w:bookmarkStart w:id="925" w:name="_89d5a6f0_1cda_42e7_9de0_65f8a72bb348"/>
      <w:bookmarkEnd w:id="924"/>
      <w:bookmarkEnd w:id="925"/>
      <w:r>
        <w:rPr>
          <w:rFonts w:ascii="Arial;Helvetica;sans-serif" w:hAnsi="Arial;Helvetica;sans-serif"/>
          <w:b/>
          <w:sz w:val="24"/>
        </w:rPr>
        <w:t>PART II — OTHER INFORMATION</w:t>
      </w:r>
    </w:p>
    <w:p>
      <w:pPr>
        <w:pStyle w:val="TextBody"/>
        <w:pBdr/>
        <w:bidi w:val="0"/>
        <w:spacing w:before="0" w:after="240"/>
        <w:ind w:left="0" w:right="0" w:hanging="360"/>
        <w:jc w:val="left"/>
        <w:rPr/>
      </w:pPr>
      <w:r>
        <w:rPr/>
        <w:t>​</w:t>
      </w:r>
    </w:p>
    <w:p>
      <w:pPr>
        <w:pStyle w:val="TextBody"/>
        <w:bidi w:val="0"/>
        <w:spacing w:before="0" w:after="120"/>
        <w:ind w:left="0" w:right="0" w:hanging="0"/>
        <w:jc w:val="left"/>
        <w:rPr>
          <w:rFonts w:ascii="Arial;Helvetica;sans-serif" w:hAnsi="Arial;Helvetica;sans-serif"/>
          <w:b/>
          <w:sz w:val="24"/>
        </w:rPr>
      </w:pPr>
      <w:bookmarkStart w:id="926" w:name="Item1LegalProceedings_54821"/>
      <w:bookmarkStart w:id="927" w:name="_8869e2df_3b95_4f38_8748_5cdf06be6b21"/>
      <w:bookmarkEnd w:id="926"/>
      <w:bookmarkEnd w:id="927"/>
      <w:r>
        <w:rPr>
          <w:rFonts w:ascii="Arial;Helvetica;sans-serif" w:hAnsi="Arial;Helvetica;sans-serif"/>
          <w:b/>
          <w:sz w:val="24"/>
        </w:rPr>
        <w:t>Item 1. Legal Proceedings</w:t>
      </w:r>
    </w:p>
    <w:p>
      <w:pPr>
        <w:pStyle w:val="TextBody"/>
        <w:bidi w:val="0"/>
        <w:spacing w:before="0" w:after="0"/>
        <w:ind w:left="0" w:right="0" w:hanging="0"/>
        <w:jc w:val="left"/>
        <w:rPr>
          <w:rFonts w:ascii="Arial;Helvetica;sans-serif" w:hAnsi="Arial;Helvetica;sans-serif"/>
          <w:spacing w:val="5"/>
          <w:sz w:val="20"/>
        </w:rPr>
      </w:pPr>
      <w:r>
        <w:rPr>
          <w:rFonts w:ascii="Arial;Helvetica;sans-serif" w:hAnsi="Arial;Helvetica;sans-serif"/>
          <w:spacing w:val="5"/>
          <w:sz w:val="20"/>
        </w:rPr>
        <w:t>From time to time, we may become involved in legal proceedings or be subject to claims arising in the ordinary course of our business. We are not currently a party to any material legal proceedings.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4"/>
        </w:rPr>
      </w:pPr>
      <w:bookmarkStart w:id="928" w:name="Item1ARiskFactors_131460"/>
      <w:bookmarkStart w:id="929" w:name="_53f465bc_b0bb_4323_a1e0_4ab5e280953a"/>
      <w:bookmarkEnd w:id="928"/>
      <w:bookmarkEnd w:id="929"/>
      <w:r>
        <w:rPr>
          <w:rFonts w:ascii="Arial;Helvetica;sans-serif" w:hAnsi="Arial;Helvetica;sans-serif"/>
          <w:b/>
          <w:sz w:val="24"/>
        </w:rPr>
        <w:t>Item 1A. Risk Factors</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 xml:space="preserve">For a discussion of our potential risks and uncertainties, see the information in Part I, Item IA. “Risk Factors” in our Annual Report on Form 10-K for the year ended December 31, 2023. </w:t>
      </w:r>
      <w:r>
        <w:rPr>
          <w:rFonts w:ascii="Arial;Helvetica;sans-serif" w:hAnsi="Arial;Helvetica;sans-serif"/>
          <w:sz w:val="20"/>
          <w:shd w:fill="FFFFFF" w:val="clear"/>
        </w:rPr>
        <w:t>Other than the risk factors set forth below, there have been no material changes to the risk factors disclosed in our Annual Report on Form 10-K.</w:t>
      </w:r>
    </w:p>
    <w:p>
      <w:pPr>
        <w:pStyle w:val="TextBody"/>
        <w:bidi w:val="0"/>
        <w:spacing w:lineRule="auto" w:line="314" w:before="184" w:after="240"/>
        <w:ind w:left="0" w:right="0" w:hanging="0"/>
        <w:jc w:val="left"/>
        <w:rPr>
          <w:rFonts w:ascii="Arial;Helvetica;sans-serif" w:hAnsi="Arial;Helvetica;sans-serif"/>
          <w:b/>
          <w:i/>
          <w:color w:val="231F20"/>
          <w:sz w:val="20"/>
        </w:rPr>
      </w:pPr>
      <w:r>
        <w:rPr>
          <w:rFonts w:ascii="Arial;Helvetica;sans-serif" w:hAnsi="Arial;Helvetica;sans-serif"/>
          <w:b/>
          <w:i/>
          <w:color w:val="231F20"/>
          <w:sz w:val="20"/>
        </w:rPr>
        <w:t>If we fail to retain our key executives or recruit and hire new employees, our operations and financial results may be adversely affected while we attract other highly qualified personnel.</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In particular, we are highly dependent upon our management team, especially our President and Chief Executive Officer and the rest of our senior management. The replacement of key personnel involves significant time and costs, may significantly delay or prevent the achievement of our business objectives and may harm our business. In addition, we do not carry any “key person” insurance policies that could offset potential loss of service under applicable circumstances.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Transitions in executive leadership can adversely affect relationships with our customers, suppliers, and employees, make it difficult to attract and retain talent, and disrupt execution of our strategy, sales growth, and our efforts to enhance our operations. Additionally, such transitions can require significant payments to recruit and attract qualified payments to join our company and may involve severance payments to certain departing employees. Changes in key management positions may temporarily affect our financial performance and results of operations as the new management becomes familiar with our business and establishes their team dynamic. For example, in February 2024, we appointed a new Chief Executive Officer who replaced our prior Chief Executive Officer, who had been in the role for 17 years. We experienced some disruption within the sales organization at the time of the Chief Executive Officer transition, which led to decreased productivity and higher salesforce turnover, as well as the termination of employment of our Senior Vice President of U.S. Sales. Since the beginning of the second quarter of fiscal 2024, we have hired new leaders for sales, medical affairs, clinical, reimbursement and human resources, completing the expansion of the executive team. Accordingly, our future financial performance</w:t>
      </w:r>
      <w:r>
        <w:rPr>
          <w:rFonts w:ascii="Arial;Helvetica;sans-serif" w:hAnsi="Arial;Helvetica;sans-serif"/>
          <w:sz w:val="20"/>
          <w:shd w:fill="FFFFFF" w:val="clear"/>
        </w:rPr>
        <w:t xml:space="preserve"> will depend on our ability to attract, motivate, integrate and retain our senior management and employees.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many of our employees have become vested in a substantial amount of stock or number of stock options. Our employees may be more likely to leave us if the shares they own or the shares underlying their vested options have significantly appreciated in value relative to the original purchase prices of the shares or the exercise prices of the options, or if the exercise prices of the options that they hold are significantly below the market price of our common stock.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Although non-compete agreements are becoming more disfavored and, in some cases, banned, many executive officers and employees in the medical device industry are still subject to strict non-compete or confidentiality agreements with their employers. In addition, some of our existing and future employees are 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claims against us.</w:t>
      </w:r>
    </w:p>
    <w:p>
      <w:pPr>
        <w:pStyle w:val="TextBody"/>
        <w:pBdr/>
        <w:shd w:fill="FFFFFF" w:val="clear"/>
        <w:bidi w:val="0"/>
        <w:spacing w:before="184" w:after="0"/>
        <w:ind w:left="0" w:right="0" w:hanging="0"/>
        <w:jc w:val="left"/>
        <w:rPr>
          <w:rFonts w:ascii="Arial;Helvetica;sans-serif" w:hAnsi="Arial;Helvetica;sans-serif"/>
          <w:b/>
          <w:i/>
          <w:color w:val="231F20"/>
          <w:sz w:val="20"/>
        </w:rPr>
      </w:pPr>
      <w:r>
        <w:rPr>
          <w:rFonts w:ascii="Arial;Helvetica;sans-serif" w:hAnsi="Arial;Helvetica;sans-serif"/>
          <w:b/>
          <w:i/>
          <w:color w:val="231F20"/>
          <w:sz w:val="20"/>
        </w:rPr>
        <w:t>If third-party payors do not provide adequate coverage and reimbursement for the use of Barostim, our revenue will be negatively impacted.</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Medicare reimbursement levels are important to increasing adoption of Barostim because nearly two-thirds of the target patient population for Barostim is over the age of 65. On January 1, 2024, Barostim was reassigned to New Technology APC 1580, which carries an average payment amount of $45,000. In July 2024, CMS proposed OPPS rules for 2025, including moving Barostim procedures back to APC 5465, which would reduce the average payment amount for Barostim to $31,000. We believe the data supports creation of a Level 6 Neurostimulator APC and will work with CMS with the goal of achieving this, or alternatively, leaving Barostim in New Technology APC 1580 for another year. Any future decline in the amount Medicare is willing to reimburse our customers for procedures using Barostim could make it difficult for new customers to adopt Barostim and could create additional pricing pressure for us, which could adversely affect our ability to invest in and grow our business. From time to time, physicians and hospitals have in the past experienced, and others may experience, delays in Medicare reimbursement, which have delayed or may delay their willingness to schedule additional Barostim procedures.</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bookmarkStart w:id="930" w:name="Item2UnregisteredSalesofEquitySecurities"/>
      <w:bookmarkStart w:id="931" w:name="_b9490217_ea0d_4c0d_8d4a_a53627c6ccf3"/>
      <w:bookmarkStart w:id="932" w:name="_Item_2._Unregistered"/>
      <w:bookmarkEnd w:id="930"/>
      <w:bookmarkEnd w:id="931"/>
      <w:bookmarkEnd w:id="932"/>
      <w:r>
        <w:rPr>
          <w:rFonts w:ascii="Arial;Helvetica;sans-serif" w:hAnsi="Arial;Helvetica;sans-serif"/>
          <w:b/>
          <w:sz w:val="24"/>
        </w:rPr>
        <w:t>Item 2. Unregistered Sales of Equity Securities and Use of Proceeds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bookmarkStart w:id="933" w:name="Item3DefaultsUponSeniorSecurities_596530"/>
      <w:bookmarkStart w:id="934" w:name="_3e786adf_9893_4e1d_94da_fa7c5c2c6f39"/>
      <w:bookmarkEnd w:id="933"/>
      <w:bookmarkEnd w:id="934"/>
      <w:r>
        <w:rPr>
          <w:rFonts w:ascii="Arial;Helvetica;sans-serif" w:hAnsi="Arial;Helvetica;sans-serif"/>
          <w:b/>
          <w:sz w:val="24"/>
        </w:rPr>
        <w:t>Item 3. Defaults Upon Senior Securities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Arial;Helvetica;sans-serif" w:hAnsi="Arial;Helvetica;sans-serif"/>
          <w:b/>
          <w:sz w:val="24"/>
        </w:rPr>
      </w:pPr>
      <w:bookmarkStart w:id="935" w:name="Item4MineSafetyDisclosures_347489"/>
      <w:bookmarkStart w:id="936" w:name="_a41968d1_b721_4d7a_beaa_b09b6d9edc69"/>
      <w:bookmarkEnd w:id="935"/>
      <w:bookmarkEnd w:id="936"/>
      <w:r>
        <w:rPr>
          <w:rFonts w:ascii="Arial;Helvetica;sans-serif" w:hAnsi="Arial;Helvetica;sans-serif"/>
          <w:b/>
          <w:sz w:val="24"/>
        </w:rPr>
        <w:t>Item 4. Mine Safety Disclosures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bookmarkStart w:id="937" w:name="Item5OtherInformation_696802"/>
      <w:bookmarkStart w:id="938" w:name="_ebcb7770_0c6a_4b88_841f_3cb0ec0ac54c"/>
      <w:bookmarkEnd w:id="937"/>
      <w:bookmarkEnd w:id="938"/>
      <w:r>
        <w:rPr>
          <w:rFonts w:ascii="Arial;Helvetica;sans-serif" w:hAnsi="Arial;Helvetica;sans-serif"/>
          <w:b/>
          <w:sz w:val="24"/>
        </w:rPr>
        <w:t>Item 5. Other Information</w:t>
      </w:r>
    </w:p>
    <w:p>
      <w:pPr>
        <w:pStyle w:val="TextBody"/>
        <w:bidi w:val="0"/>
        <w:spacing w:before="0" w:after="240"/>
        <w:ind w:left="0" w:right="0" w:hanging="0"/>
        <w:jc w:val="left"/>
        <w:rPr>
          <w:rFonts w:ascii="Arial;Helvetica;sans-serif" w:hAnsi="Arial;Helvetica;sans-serif"/>
          <w:b/>
          <w:sz w:val="20"/>
          <w:shd w:fill="FFFFFF" w:val="clear"/>
        </w:rPr>
      </w:pPr>
      <w:r>
        <w:rPr>
          <w:rFonts w:ascii="Arial;Helvetica;sans-serif" w:hAnsi="Arial;Helvetica;sans-serif"/>
          <w:b/>
          <w:sz w:val="20"/>
          <w:shd w:fill="FFFFFF" w:val="clear"/>
        </w:rPr>
        <w:t>Adoption, Modification or Termination of Rule 10b5-1 Plans and Certain Other Trading Arrangements</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During the three months ended June 30, 2024, none of our directors or officers adopted, modified or terminated a “Rule 10b5-1 trading arrangement” or “non-Rule 10b5-1 trading arrangement,” as each term is defined in Item 408(a) of Regulation S-K.</w:t>
      </w:r>
    </w:p>
    <w:p>
      <w:pPr>
        <w:pStyle w:val="TextBody"/>
        <w:bidi w:val="0"/>
        <w:spacing w:before="0" w:after="240"/>
        <w:ind w:left="0" w:right="0" w:hanging="0"/>
        <w:jc w:val="left"/>
        <w:rPr>
          <w:rFonts w:ascii="Arial;Helvetica;sans-serif" w:hAnsi="Arial;Helvetica;sans-serif"/>
          <w:b/>
          <w:sz w:val="20"/>
          <w:shd w:fill="FFFFFF" w:val="clear"/>
        </w:rPr>
      </w:pPr>
      <w:r>
        <w:rPr>
          <w:rFonts w:ascii="Arial;Helvetica;sans-serif" w:hAnsi="Arial;Helvetica;sans-serif"/>
          <w:b/>
          <w:sz w:val="20"/>
          <w:shd w:fill="FFFFFF" w:val="clear"/>
        </w:rPr>
        <w:t>Equity Award to Chief Executive Officer</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The Compensation Committee of the Board of Directors reviewed the internal alignment of long-term incentives among the Company’s senior management team. Based on this review, on July 31, 2024, the Committee granted a stock option to acquire 180,000 shares of the Company’s common stock to Kevin Hykes, the Company’s President and Chief Executive Officer. The stock option will have the same terms as the Company’s regular annual grants for executive officers, including vesting (25% of the shares will vest on the first anniversary of the date of grant and 1/48th of the shares will vest each month thereafter).</w:t>
      </w:r>
    </w:p>
    <w:p>
      <w:pPr>
        <w:pStyle w:val="TextBody"/>
        <w:bidi w:val="0"/>
        <w:spacing w:before="0" w:after="24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bookmarkStart w:id="939" w:name="Item6Exhibits_742478"/>
      <w:bookmarkStart w:id="940" w:name="_950575"/>
      <w:bookmarkStart w:id="941" w:name="_cb3f25c9_5557_4210_98ff_9fd146ebf257"/>
      <w:bookmarkEnd w:id="939"/>
      <w:bookmarkEnd w:id="940"/>
      <w:bookmarkEnd w:id="941"/>
      <w:r>
        <w:rPr>
          <w:rFonts w:ascii="Arial;Helvetica;sans-serif" w:hAnsi="Arial;Helvetica;sans-serif"/>
          <w:b/>
          <w:sz w:val="24"/>
        </w:rPr>
        <w:t>Item 6. Exhibits</w:t>
      </w:r>
    </w:p>
    <w:p>
      <w:pPr>
        <w:pStyle w:val="TextBody"/>
        <w:pBdr/>
        <w:bidi w:val="0"/>
        <w:spacing w:before="0" w:after="240"/>
        <w:ind w:left="0" w:right="0" w:hanging="360"/>
        <w:jc w:val="center"/>
        <w:rPr>
          <w:rFonts w:ascii="Arial;Helvetica;sans-serif" w:hAnsi="Arial;Helvetica;sans-serif"/>
          <w:b/>
          <w:sz w:val="24"/>
        </w:rPr>
      </w:pPr>
      <w:r>
        <w:rPr>
          <w:rFonts w:ascii="Arial;Helvetica;sans-serif" w:hAnsi="Arial;Helvetica;sans-serif"/>
          <w:b/>
          <w:sz w:val="24"/>
        </w:rPr>
        <w:t>EXHIBIT INDEX</w:t>
      </w:r>
    </w:p>
    <w:tbl>
      <w:tblPr>
        <w:tblW w:w="10205" w:type="dxa"/>
        <w:jc w:val="left"/>
        <w:tblInd w:w="0" w:type="dxa"/>
        <w:tblLayout w:type="fixed"/>
        <w:tblCellMar>
          <w:top w:w="0" w:type="dxa"/>
          <w:left w:w="0" w:type="dxa"/>
          <w:bottom w:w="0" w:type="dxa"/>
          <w:right w:w="0" w:type="dxa"/>
        </w:tblCellMar>
      </w:tblPr>
      <w:tblGrid>
        <w:gridCol w:w="856"/>
        <w:gridCol w:w="326"/>
        <w:gridCol w:w="9023"/>
      </w:tblGrid>
      <w:tr>
        <w:trPr/>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43560" cy="175260"/>
                      <wp:effectExtent l="0" t="0" r="0" b="0"/>
                      <wp:wrapNone/>
                      <wp:docPr id="228" name="Frame22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729605" cy="29210"/>
                      <wp:effectExtent l="0" t="0" r="0" b="0"/>
                      <wp:wrapNone/>
                      <wp:docPr id="229" name="Frame229"/>
                      <a:graphic xmlns:a="http://schemas.openxmlformats.org/drawingml/2006/main">
                        <a:graphicData uri="http://schemas.microsoft.com/office/word/2010/wordprocessingShape">
                          <wps:wsp>
                            <wps:cNvSpPr txBox="1"/>
                            <wps:spPr>
                              <a:xfrm>
                                <a:off x="0" y="0"/>
                                <a:ext cx="5729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5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Exhibit</w:t>
            </w:r>
          </w:p>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23"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Description</w:t>
            </w:r>
          </w:p>
        </w:tc>
      </w:tr>
      <w:tr>
        <w:trPr/>
        <w:tc>
          <w:tcPr>
            <w:tcW w:w="85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23"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pPr>
            <w:hyperlink r:id="rId2">
              <w:r>
                <w:rPr>
                  <w:rStyle w:val="InternetLink"/>
                  <w:rFonts w:ascii="Arial;Helvetica;sans-serif" w:hAnsi="Arial;Helvetica;sans-serif"/>
                  <w:b w:val="false"/>
                  <w:i w:val="false"/>
                  <w:caps w:val="false"/>
                  <w:smallCaps w:val="false"/>
                  <w:sz w:val="20"/>
                </w:rPr>
                <w:t>Restated Certificate of Incorporation of CVRx, Inc. (incorporated by reference to Exhibit 3.1 to the Company’s Current Report on Form 8-K filed on June 7, 2024)</w:t>
              </w:r>
            </w:hyperlink>
          </w:p>
        </w:tc>
      </w:tr>
      <w:tr>
        <w:trPr/>
        <w:tc>
          <w:tcPr>
            <w:tcW w:w="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pPr>
            <w:r>
              <w:rPr/>
              <w:t>​</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sz w:val="20"/>
                </w:rPr>
                <w:t>Amended and Restated By-Laws of CVRx, Inc. (incorporated by reference to Exhibit 3.2 to the Company’s Current Report on Form 8-K filed on July 7, 2021)</w:t>
              </w:r>
            </w:hyperlink>
            <w:r>
              <w:rPr>
                <w:rFonts w:ascii="Arial;Helvetica;sans-serif" w:hAnsi="Arial;Helvetica;sans-serif"/>
                <w:sz w:val="20"/>
              </w:rPr>
              <w:t xml:space="preserve"> </w:t>
            </w:r>
          </w:p>
        </w:tc>
      </w:tr>
      <w:tr>
        <w:trPr/>
        <w:tc>
          <w:tcPr>
            <w:tcW w:w="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pPr>
            <w:r>
              <w:rPr/>
              <w:t>​</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pPr>
            <w:hyperlink w:anchor="cvrx-20240630xex31d1.htm">
              <w:r>
                <w:rPr>
                  <w:rStyle w:val="InternetLink"/>
                  <w:rFonts w:ascii="Arial;Helvetica;sans-serif" w:hAnsi="Arial;Helvetica;sans-serif"/>
                  <w:b w:val="false"/>
                  <w:i w:val="false"/>
                  <w:caps w:val="false"/>
                  <w:smallCaps w:val="false"/>
                  <w:sz w:val="20"/>
                </w:rPr>
                <w:t>Certification of Chief Executive Officer Pursuant to Section</w:t>
              </w:r>
            </w:hyperlink>
            <w:hyperlink w:anchor="cvrx-20240630xex31d1.htm">
              <w:r>
                <w:rPr>
                  <w:rStyle w:val="InternetLink"/>
                  <w:rFonts w:ascii="Arial;Helvetica;sans-serif" w:hAnsi="Arial;Helvetica;sans-serif"/>
                  <w:caps w:val="false"/>
                  <w:smallCaps w:val="false"/>
                  <w:sz w:val="20"/>
                </w:rPr>
                <w:t> </w:t>
              </w:r>
            </w:hyperlink>
            <w:hyperlink w:anchor="cvrx-20240630xex31d1.htm">
              <w:r>
                <w:rPr>
                  <w:rStyle w:val="InternetLink"/>
                  <w:rFonts w:ascii="Arial;Helvetica;sans-serif" w:hAnsi="Arial;Helvetica;sans-serif"/>
                  <w:b w:val="false"/>
                  <w:i w:val="false"/>
                  <w:caps w:val="false"/>
                  <w:smallCaps w:val="false"/>
                  <w:sz w:val="20"/>
                </w:rPr>
                <w:t>302 of the Sarbanes-Oxley Act of 2002</w:t>
              </w:r>
            </w:hyperlink>
          </w:p>
        </w:tc>
      </w:tr>
      <w:tr>
        <w:trPr/>
        <w:tc>
          <w:tcPr>
            <w:tcW w:w="8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283"/>
              <w:ind w:left="0" w:right="0" w:hanging="0"/>
              <w:jc w:val="left"/>
              <w:rPr>
                <w:sz w:val="4"/>
                <w:szCs w:val="4"/>
              </w:rPr>
            </w:pPr>
            <w:r>
              <w:rPr>
                <w:sz w:val="4"/>
                <w:szCs w:val="4"/>
              </w:rPr>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pPr>
            <w:hyperlink w:anchor="cvrx-20240630xex31d2.htm">
              <w:r>
                <w:rPr>
                  <w:rStyle w:val="InternetLink"/>
                  <w:rFonts w:ascii="Arial;Helvetica;sans-serif" w:hAnsi="Arial;Helvetica;sans-serif"/>
                  <w:b w:val="false"/>
                  <w:i w:val="false"/>
                  <w:caps w:val="false"/>
                  <w:smallCaps w:val="false"/>
                  <w:sz w:val="20"/>
                </w:rPr>
                <w:t>Certification of Chief Financial Officer Pursuant to Section</w:t>
              </w:r>
            </w:hyperlink>
            <w:hyperlink w:anchor="cvrx-20240630xex31d2.htm">
              <w:r>
                <w:rPr>
                  <w:rStyle w:val="InternetLink"/>
                  <w:rFonts w:ascii="Arial;Helvetica;sans-serif" w:hAnsi="Arial;Helvetica;sans-serif"/>
                  <w:caps w:val="false"/>
                  <w:smallCaps w:val="false"/>
                  <w:sz w:val="20"/>
                </w:rPr>
                <w:t> </w:t>
              </w:r>
            </w:hyperlink>
            <w:hyperlink w:anchor="cvrx-20240630xex31d2.htm">
              <w:r>
                <w:rPr>
                  <w:rStyle w:val="InternetLink"/>
                  <w:rFonts w:ascii="Arial;Helvetica;sans-serif" w:hAnsi="Arial;Helvetica;sans-serif"/>
                  <w:b w:val="false"/>
                  <w:i w:val="false"/>
                  <w:caps w:val="false"/>
                  <w:smallCaps w:val="false"/>
                  <w:sz w:val="20"/>
                </w:rPr>
                <w:t>302 of the Sarbanes-Oxley Act of 2002</w:t>
              </w:r>
            </w:hyperlink>
          </w:p>
        </w:tc>
      </w:tr>
      <w:tr>
        <w:trPr/>
        <w:tc>
          <w:tcPr>
            <w:tcW w:w="8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283"/>
              <w:ind w:left="0" w:right="0" w:hanging="0"/>
              <w:jc w:val="left"/>
              <w:rPr>
                <w:sz w:val="4"/>
                <w:szCs w:val="4"/>
              </w:rPr>
            </w:pPr>
            <w:r>
              <w:rPr>
                <w:sz w:val="4"/>
                <w:szCs w:val="4"/>
              </w:rPr>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pPr>
            <w:hyperlink w:anchor="cvrx-20240630xex32d1.htm">
              <w:r>
                <w:rPr>
                  <w:rStyle w:val="InternetLink"/>
                  <w:rFonts w:ascii="Arial;Helvetica;sans-serif" w:hAnsi="Arial;Helvetica;sans-serif"/>
                  <w:b w:val="false"/>
                  <w:i w:val="false"/>
                  <w:caps w:val="false"/>
                  <w:smallCaps w:val="false"/>
                  <w:sz w:val="20"/>
                </w:rPr>
                <w:t>Certification of Chief Executive Officer Pursuant to 18 U.S.C. Section</w:t>
              </w:r>
            </w:hyperlink>
            <w:hyperlink w:anchor="cvrx-20240630xex32d1.htm">
              <w:r>
                <w:rPr>
                  <w:rStyle w:val="InternetLink"/>
                  <w:rFonts w:ascii="Arial;Helvetica;sans-serif" w:hAnsi="Arial;Helvetica;sans-serif"/>
                  <w:caps w:val="false"/>
                  <w:smallCaps w:val="false"/>
                  <w:sz w:val="20"/>
                </w:rPr>
                <w:t> </w:t>
              </w:r>
            </w:hyperlink>
            <w:hyperlink w:anchor="cvrx-20240630xex32d1.htm">
              <w:r>
                <w:rPr>
                  <w:rStyle w:val="InternetLink"/>
                  <w:rFonts w:ascii="Arial;Helvetica;sans-serif" w:hAnsi="Arial;Helvetica;sans-serif"/>
                  <w:b w:val="false"/>
                  <w:i w:val="false"/>
                  <w:caps w:val="false"/>
                  <w:smallCaps w:val="false"/>
                  <w:sz w:val="20"/>
                </w:rPr>
                <w:t>1350, as adopted pursuant to Section</w:t>
              </w:r>
            </w:hyperlink>
            <w:hyperlink w:anchor="cvrx-20240630xex32d1.htm">
              <w:r>
                <w:rPr>
                  <w:rStyle w:val="InternetLink"/>
                  <w:rFonts w:ascii="Arial;Helvetica;sans-serif" w:hAnsi="Arial;Helvetica;sans-serif"/>
                  <w:caps w:val="false"/>
                  <w:smallCaps w:val="false"/>
                  <w:sz w:val="20"/>
                </w:rPr>
                <w:t> </w:t>
              </w:r>
            </w:hyperlink>
            <w:hyperlink w:anchor="cvrx-20240630xex32d1.htm">
              <w:r>
                <w:rPr>
                  <w:rStyle w:val="InternetLink"/>
                  <w:rFonts w:ascii="Arial;Helvetica;sans-serif" w:hAnsi="Arial;Helvetica;sans-serif"/>
                  <w:b w:val="false"/>
                  <w:i w:val="false"/>
                  <w:caps w:val="false"/>
                  <w:smallCaps w:val="false"/>
                  <w:sz w:val="20"/>
                </w:rPr>
                <w:t>906 of the Sarbanes-Oxley Act of 2002</w:t>
              </w:r>
            </w:hyperlink>
          </w:p>
        </w:tc>
      </w:tr>
      <w:tr>
        <w:trPr/>
        <w:tc>
          <w:tcPr>
            <w:tcW w:w="8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283"/>
              <w:ind w:left="0" w:right="0" w:hanging="0"/>
              <w:jc w:val="left"/>
              <w:rPr>
                <w:sz w:val="4"/>
                <w:szCs w:val="4"/>
              </w:rPr>
            </w:pPr>
            <w:r>
              <w:rPr>
                <w:sz w:val="4"/>
                <w:szCs w:val="4"/>
              </w:rPr>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32.2†</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pPr>
            <w:hyperlink w:anchor="cvrx-20240630xex32d2.htm">
              <w:r>
                <w:rPr>
                  <w:rStyle w:val="InternetLink"/>
                  <w:rFonts w:ascii="Arial;Helvetica;sans-serif" w:hAnsi="Arial;Helvetica;sans-serif"/>
                  <w:b w:val="false"/>
                  <w:i w:val="false"/>
                  <w:caps w:val="false"/>
                  <w:smallCaps w:val="false"/>
                  <w:sz w:val="20"/>
                </w:rPr>
                <w:t>Certification of Chief Financial Officer Pursuant to 18 U.S.C. Section</w:t>
              </w:r>
            </w:hyperlink>
            <w:hyperlink w:anchor="cvrx-20240630xex32d2.htm">
              <w:r>
                <w:rPr>
                  <w:rStyle w:val="InternetLink"/>
                  <w:rFonts w:ascii="Arial;Helvetica;sans-serif" w:hAnsi="Arial;Helvetica;sans-serif"/>
                  <w:caps w:val="false"/>
                  <w:smallCaps w:val="false"/>
                  <w:sz w:val="20"/>
                </w:rPr>
                <w:t> </w:t>
              </w:r>
            </w:hyperlink>
            <w:hyperlink w:anchor="cvrx-20240630xex32d2.htm">
              <w:r>
                <w:rPr>
                  <w:rStyle w:val="InternetLink"/>
                  <w:rFonts w:ascii="Arial;Helvetica;sans-serif" w:hAnsi="Arial;Helvetica;sans-serif"/>
                  <w:b w:val="false"/>
                  <w:i w:val="false"/>
                  <w:caps w:val="false"/>
                  <w:smallCaps w:val="false"/>
                  <w:sz w:val="20"/>
                </w:rPr>
                <w:t>1350, as adopted pursuant to Section</w:t>
              </w:r>
            </w:hyperlink>
            <w:hyperlink w:anchor="cvrx-20240630xex32d2.htm">
              <w:r>
                <w:rPr>
                  <w:rStyle w:val="InternetLink"/>
                  <w:rFonts w:ascii="Arial;Helvetica;sans-serif" w:hAnsi="Arial;Helvetica;sans-serif"/>
                  <w:caps w:val="false"/>
                  <w:smallCaps w:val="false"/>
                  <w:sz w:val="20"/>
                </w:rPr>
                <w:t> </w:t>
              </w:r>
            </w:hyperlink>
            <w:hyperlink w:anchor="cvrx-20240630xex32d2.htm">
              <w:r>
                <w:rPr>
                  <w:rStyle w:val="InternetLink"/>
                  <w:rFonts w:ascii="Arial;Helvetica;sans-serif" w:hAnsi="Arial;Helvetica;sans-serif"/>
                  <w:b w:val="false"/>
                  <w:i w:val="false"/>
                  <w:caps w:val="false"/>
                  <w:smallCaps w:val="false"/>
                  <w:sz w:val="20"/>
                </w:rPr>
                <w:t>906 of the Sarbanes-Oxley Act of 2002</w:t>
              </w:r>
            </w:hyperlink>
          </w:p>
        </w:tc>
      </w:tr>
      <w:tr>
        <w:trPr/>
        <w:tc>
          <w:tcPr>
            <w:tcW w:w="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pPr>
            <w:r>
              <w:rPr/>
              <w:t>​</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its XBRL tags are embedded within the Inline XBRL document</w:t>
            </w:r>
          </w:p>
        </w:tc>
      </w:tr>
      <w:tr>
        <w:trPr/>
        <w:tc>
          <w:tcPr>
            <w:tcW w:w="8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283"/>
              <w:ind w:left="0" w:right="0" w:hanging="0"/>
              <w:jc w:val="left"/>
              <w:rPr>
                <w:sz w:val="4"/>
                <w:szCs w:val="4"/>
              </w:rPr>
            </w:pPr>
            <w:r>
              <w:rPr>
                <w:sz w:val="4"/>
                <w:szCs w:val="4"/>
              </w:rPr>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Schema Document</w:t>
            </w:r>
          </w:p>
        </w:tc>
      </w:tr>
      <w:tr>
        <w:trPr/>
        <w:tc>
          <w:tcPr>
            <w:tcW w:w="8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283"/>
              <w:ind w:left="0" w:right="0" w:hanging="0"/>
              <w:jc w:val="left"/>
              <w:rPr>
                <w:sz w:val="4"/>
                <w:szCs w:val="4"/>
              </w:rPr>
            </w:pPr>
            <w:r>
              <w:rPr>
                <w:sz w:val="4"/>
                <w:szCs w:val="4"/>
              </w:rPr>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 Document</w:t>
            </w:r>
          </w:p>
        </w:tc>
      </w:tr>
      <w:tr>
        <w:trPr/>
        <w:tc>
          <w:tcPr>
            <w:tcW w:w="8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283"/>
              <w:ind w:left="0" w:right="0" w:hanging="0"/>
              <w:jc w:val="left"/>
              <w:rPr>
                <w:sz w:val="4"/>
                <w:szCs w:val="4"/>
              </w:rPr>
            </w:pPr>
            <w:r>
              <w:rPr>
                <w:sz w:val="4"/>
                <w:szCs w:val="4"/>
              </w:rPr>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Definition Linkbase Document</w:t>
            </w:r>
          </w:p>
        </w:tc>
      </w:tr>
      <w:tr>
        <w:trPr/>
        <w:tc>
          <w:tcPr>
            <w:tcW w:w="8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931" w:type="dxa"/>
        <w:jc w:val="left"/>
        <w:tblInd w:w="0" w:type="dxa"/>
        <w:tblLayout w:type="fixed"/>
        <w:tblCellMar>
          <w:top w:w="0" w:type="dxa"/>
          <w:left w:w="0" w:type="dxa"/>
          <w:bottom w:w="0" w:type="dxa"/>
          <w:right w:w="0" w:type="dxa"/>
        </w:tblCellMar>
      </w:tblPr>
      <w:tblGrid>
        <w:gridCol w:w="1006"/>
        <w:gridCol w:w="109"/>
        <w:gridCol w:w="7816"/>
      </w:tblGrid>
      <w:tr>
        <w:trPr/>
        <w:tc>
          <w:tcPr>
            <w:tcW w:w="1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109" w:type="dxa"/>
            <w:tcBorders/>
            <w:vAlign w:val="center"/>
          </w:tcPr>
          <w:p>
            <w:pPr>
              <w:pStyle w:val="TableContents"/>
              <w:bidi w:val="0"/>
              <w:spacing w:before="0" w:after="0"/>
              <w:ind w:left="0" w:right="0" w:hanging="0"/>
              <w:jc w:val="left"/>
              <w:rPr/>
            </w:pPr>
            <w:r>
              <w:rPr/>
              <w:t>​</w:t>
            </w:r>
          </w:p>
        </w:tc>
        <w:tc>
          <w:tcPr>
            <w:tcW w:w="78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Label Linkbase Document</w:t>
            </w:r>
          </w:p>
        </w:tc>
      </w:tr>
      <w:tr>
        <w:trPr/>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7816" w:type="dxa"/>
            <w:tcBorders/>
            <w:vAlign w:val="center"/>
          </w:tcPr>
          <w:p>
            <w:pPr>
              <w:pStyle w:val="TableContents"/>
              <w:bidi w:val="0"/>
              <w:spacing w:before="0" w:after="283"/>
              <w:ind w:left="0" w:right="0" w:hanging="0"/>
              <w:jc w:val="left"/>
              <w:rPr>
                <w:sz w:val="4"/>
                <w:szCs w:val="4"/>
              </w:rPr>
            </w:pPr>
            <w:r>
              <w:rPr>
                <w:sz w:val="4"/>
                <w:szCs w:val="4"/>
              </w:rPr>
            </w:r>
          </w:p>
        </w:tc>
      </w:tr>
      <w:tr>
        <w:trPr/>
        <w:tc>
          <w:tcPr>
            <w:tcW w:w="1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109" w:type="dxa"/>
            <w:tcBorders/>
            <w:vAlign w:val="center"/>
          </w:tcPr>
          <w:p>
            <w:pPr>
              <w:pStyle w:val="TableContents"/>
              <w:bidi w:val="0"/>
              <w:spacing w:before="0" w:after="0"/>
              <w:ind w:left="0" w:right="0" w:hanging="0"/>
              <w:jc w:val="left"/>
              <w:rPr/>
            </w:pPr>
            <w:r>
              <w:rPr/>
              <w:t>​</w:t>
            </w:r>
          </w:p>
        </w:tc>
        <w:tc>
          <w:tcPr>
            <w:tcW w:w="78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 Document</w:t>
            </w:r>
          </w:p>
        </w:tc>
      </w:tr>
      <w:tr>
        <w:trPr/>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6" w:type="dxa"/>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109" w:type="dxa"/>
            <w:tcBorders/>
            <w:vAlign w:val="center"/>
          </w:tcPr>
          <w:p>
            <w:pPr>
              <w:pStyle w:val="TableContents"/>
              <w:bidi w:val="0"/>
              <w:spacing w:before="0" w:after="0"/>
              <w:ind w:left="0" w:right="0" w:hanging="0"/>
              <w:jc w:val="left"/>
              <w:rPr/>
            </w:pPr>
            <w:r>
              <w:rPr/>
              <w:t>​</w:t>
            </w:r>
          </w:p>
        </w:tc>
        <w:tc>
          <w:tcPr>
            <w:tcW w:w="7816" w:type="dxa"/>
            <w:tcBorders/>
            <w:vAlign w:val="center"/>
          </w:tcPr>
          <w:p>
            <w:pPr>
              <w:pStyle w:val="TableContents"/>
              <w:bidi w:val="0"/>
              <w:spacing w:before="0" w:after="0"/>
              <w:ind w:left="13" w:right="0" w:hanging="0"/>
              <w:jc w:val="left"/>
              <w:rPr>
                <w:rFonts w:ascii="Arial;Helvetica;sans-serif" w:hAnsi="Arial;Helvetica;sans-serif"/>
                <w:sz w:val="20"/>
              </w:rPr>
            </w:pPr>
            <w:r>
              <w:rPr>
                <w:rFonts w:ascii="Arial;Helvetica;sans-serif" w:hAnsi="Arial;Helvetica;sans-serif"/>
                <w:sz w:val="20"/>
              </w:rPr>
              <w:t>Cover Page Interactive Data File (formatted in Inline XBRL and contained in Exhibit 101)</w:t>
            </w:r>
          </w:p>
        </w:tc>
      </w:tr>
    </w:tbl>
    <w:tbl>
      <w:tblPr>
        <w:tblW w:w="1652" w:type="dxa"/>
        <w:jc w:val="left"/>
        <w:tblInd w:w="0" w:type="dxa"/>
        <w:tblLayout w:type="fixed"/>
        <w:tblCellMar>
          <w:top w:w="0" w:type="dxa"/>
          <w:left w:w="0" w:type="dxa"/>
          <w:bottom w:w="0" w:type="dxa"/>
          <w:right w:w="0" w:type="dxa"/>
        </w:tblCellMar>
      </w:tblPr>
      <w:tblGrid>
        <w:gridCol w:w="241"/>
        <w:gridCol w:w="1411"/>
      </w:tblGrid>
      <w:tr>
        <w:trPr/>
        <w:tc>
          <w:tcPr>
            <w:tcW w:w="241" w:type="dxa"/>
            <w:tcBorders/>
            <w:vAlign w:val="center"/>
          </w:tcPr>
          <w:p>
            <w:pPr>
              <w:pStyle w:val="TableContents"/>
              <w:bidi w:val="0"/>
              <w:spacing w:before="0" w:after="240"/>
              <w:jc w:val="left"/>
              <w:rPr/>
            </w:pPr>
            <w:r>
              <w:rPr/>
              <w:t>†</w:t>
            </w:r>
          </w:p>
        </w:tc>
        <w:tc>
          <w:tcPr>
            <w:tcW w:w="1411"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Filed herewith.</w:t>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4"/>
        </w:rPr>
      </w:pPr>
      <w:bookmarkStart w:id="942" w:name="SIGNATURES_221192"/>
      <w:bookmarkStart w:id="943" w:name="_55f6428a_940c_49e0_aff4_c1ba6632c994"/>
      <w:bookmarkEnd w:id="942"/>
      <w:bookmarkEnd w:id="943"/>
      <w:r>
        <w:rPr>
          <w:rFonts w:ascii="Arial;Helvetica;sans-serif" w:hAnsi="Arial;Helvetica;sans-serif"/>
          <w:b/>
          <w:sz w:val="24"/>
        </w:rPr>
        <w:t>SIGNATURES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Date: August 2, 2024</w:t>
      </w:r>
    </w:p>
    <w:tbl>
      <w:tblPr>
        <w:tblW w:w="4716" w:type="dxa"/>
        <w:jc w:val="left"/>
        <w:tblInd w:w="0" w:type="dxa"/>
        <w:tblLayout w:type="fixed"/>
        <w:tblCellMar>
          <w:top w:w="0" w:type="dxa"/>
          <w:left w:w="0" w:type="dxa"/>
          <w:bottom w:w="0" w:type="dxa"/>
          <w:right w:w="0" w:type="dxa"/>
        </w:tblCellMar>
      </w:tblPr>
      <w:tblGrid>
        <w:gridCol w:w="124"/>
        <w:gridCol w:w="676"/>
        <w:gridCol w:w="3916"/>
      </w:tblGrid>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9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sz w:val="20"/>
              </w:rPr>
              <w:t>CVRX,</w:t>
            </w:r>
            <w:r>
              <w:rPr>
                <w:rFonts w:ascii="Arial;Helvetica;sans-serif" w:hAnsi="Arial;Helvetica;sans-serif"/>
                <w:sz w:val="20"/>
              </w:rPr>
              <w:t> </w:t>
            </w:r>
            <w:r>
              <w:rPr>
                <w:rFonts w:ascii="Arial;Helvetica;sans-serif" w:hAnsi="Arial;Helvetica;sans-serif"/>
                <w:b/>
                <w:sz w:val="20"/>
              </w:rPr>
              <w:t>INC.</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Kevin Hykes</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Kevin Hykes</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Jared Oasheim</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Jared Oasheim</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and Accounting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120"/>
        <w:ind w:left="0" w:right="0" w:hanging="0"/>
        <w:jc w:val="right"/>
        <w:rPr>
          <w:rFonts w:ascii="Times New Roman;Times;serif" w:hAnsi="Times New Roman;Times;serif"/>
          <w:b/>
          <w:sz w:val="20"/>
        </w:rPr>
      </w:pPr>
      <w:bookmarkStart w:id="944" w:name="cvrx-20240630xex31d1.htm"/>
      <w:bookmarkStart w:id="945" w:name="kscvrx20240630xex31d1"/>
      <w:bookmarkEnd w:id="944"/>
      <w:bookmarkEnd w:id="945"/>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Kevin Hykes, certify that:</w:t>
      </w:r>
    </w:p>
    <w:tbl>
      <w:tblPr>
        <w:tblW w:w="5523" w:type="dxa"/>
        <w:jc w:val="left"/>
        <w:tblInd w:w="0" w:type="dxa"/>
        <w:tblLayout w:type="fixed"/>
        <w:tblCellMar>
          <w:top w:w="0" w:type="dxa"/>
          <w:left w:w="0" w:type="dxa"/>
          <w:bottom w:w="0" w:type="dxa"/>
          <w:right w:w="0" w:type="dxa"/>
        </w:tblCellMar>
      </w:tblPr>
      <w:tblGrid>
        <w:gridCol w:w="23"/>
        <w:gridCol w:w="17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533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CVRx,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 2024</w:t>
      </w:r>
    </w:p>
    <w:p>
      <w:pPr>
        <w:pStyle w:val="TextBody"/>
        <w:bidi w:val="0"/>
        <w:spacing w:before="0" w:after="0"/>
        <w:ind w:left="0" w:right="0" w:hanging="0"/>
        <w:jc w:val="left"/>
        <w:rPr/>
      </w:pPr>
      <w:r>
        <w:rPr/>
        <w:t>​</w:t>
      </w:r>
    </w:p>
    <w:tbl>
      <w:tblPr>
        <w:tblW w:w="3966" w:type="dxa"/>
        <w:jc w:val="left"/>
        <w:tblInd w:w="0" w:type="dxa"/>
        <w:tblLayout w:type="fixed"/>
        <w:tblCellMar>
          <w:top w:w="0" w:type="dxa"/>
          <w:left w:w="0" w:type="dxa"/>
          <w:bottom w:w="0" w:type="dxa"/>
          <w:right w:w="0" w:type="dxa"/>
        </w:tblCellMar>
      </w:tblPr>
      <w:tblGrid>
        <w:gridCol w:w="124"/>
        <w:gridCol w:w="631"/>
        <w:gridCol w:w="321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Kevin Hykes</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Kevin Hykes </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946" w:name="cvrx-20240630xex31d2.htm"/>
      <w:bookmarkStart w:id="947" w:name="kscvrx20240630xex31d2"/>
      <w:bookmarkEnd w:id="946"/>
      <w:bookmarkEnd w:id="947"/>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Jared Oasheim, certify that:</w:t>
      </w:r>
    </w:p>
    <w:tbl>
      <w:tblPr>
        <w:tblW w:w="5523" w:type="dxa"/>
        <w:jc w:val="left"/>
        <w:tblInd w:w="0" w:type="dxa"/>
        <w:tblLayout w:type="fixed"/>
        <w:tblCellMar>
          <w:top w:w="0" w:type="dxa"/>
          <w:left w:w="0" w:type="dxa"/>
          <w:bottom w:w="0" w:type="dxa"/>
          <w:right w:w="0" w:type="dxa"/>
        </w:tblCellMar>
      </w:tblPr>
      <w:tblGrid>
        <w:gridCol w:w="23"/>
        <w:gridCol w:w="17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533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CVRx,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 2024</w:t>
      </w:r>
    </w:p>
    <w:p>
      <w:pPr>
        <w:pStyle w:val="TextBody"/>
        <w:bidi w:val="0"/>
        <w:spacing w:before="0" w:after="0"/>
        <w:ind w:left="0" w:right="0" w:hanging="0"/>
        <w:jc w:val="left"/>
        <w:rPr/>
      </w:pPr>
      <w:r>
        <w:rPr/>
        <w:t>​</w:t>
      </w:r>
    </w:p>
    <w:tbl>
      <w:tblPr>
        <w:tblW w:w="2913" w:type="dxa"/>
        <w:jc w:val="left"/>
        <w:tblInd w:w="0" w:type="dxa"/>
        <w:tblLayout w:type="fixed"/>
        <w:tblCellMar>
          <w:top w:w="0" w:type="dxa"/>
          <w:left w:w="0" w:type="dxa"/>
          <w:bottom w:w="0" w:type="dxa"/>
          <w:right w:w="0" w:type="dxa"/>
        </w:tblCellMar>
      </w:tblPr>
      <w:tblGrid>
        <w:gridCol w:w="271"/>
        <w:gridCol w:w="631"/>
        <w:gridCol w:w="2011"/>
      </w:tblGrid>
      <w:tr>
        <w:trPr/>
        <w:tc>
          <w:tcPr>
            <w:tcW w:w="2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Jared Oasheim</w:t>
            </w:r>
          </w:p>
        </w:tc>
      </w:tr>
      <w:tr>
        <w:trPr/>
        <w:tc>
          <w:tcPr>
            <w:tcW w:w="27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Jared Oasheim</w:t>
            </w:r>
          </w:p>
        </w:tc>
      </w:tr>
      <w:tr>
        <w:trPr/>
        <w:tc>
          <w:tcPr>
            <w:tcW w:w="27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948" w:name="cvrx-20240630xex32d1.htm"/>
      <w:bookmarkStart w:id="949" w:name="kscvrx20240630xex32d1"/>
      <w:bookmarkEnd w:id="948"/>
      <w:bookmarkEnd w:id="949"/>
      <w:r>
        <w:rPr/>
        <w:t>​</w:t>
      </w:r>
      <w:r>
        <w:br w:type="page"/>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CEO Pursuant to 18 U.S.C. Section 1350,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CVRx, Inc. (the “Company”) on Form 10-Q for the period ended June 30, 2024 (the “Report”), as filed with the Securities and Exchange Commission on the date hereof, I, the undersigned, certify, pursuant to 18 U.S.C. Section 1350, as adopted pursuant to Section 906 of the Sarbanes-Oxley Act of 2002, to the best of my knowledge, that: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 2024</w:t>
      </w:r>
    </w:p>
    <w:p>
      <w:pPr>
        <w:pStyle w:val="TextBody"/>
        <w:bidi w:val="0"/>
        <w:spacing w:before="0" w:after="0"/>
        <w:ind w:left="0" w:right="0" w:hanging="0"/>
        <w:jc w:val="left"/>
        <w:rPr/>
      </w:pPr>
      <w:r>
        <w:rPr/>
        <w:t>​</w:t>
      </w:r>
    </w:p>
    <w:tbl>
      <w:tblPr>
        <w:tblW w:w="3966" w:type="dxa"/>
        <w:jc w:val="left"/>
        <w:tblInd w:w="0" w:type="dxa"/>
        <w:tblLayout w:type="fixed"/>
        <w:tblCellMar>
          <w:top w:w="0" w:type="dxa"/>
          <w:left w:w="0" w:type="dxa"/>
          <w:bottom w:w="0" w:type="dxa"/>
          <w:right w:w="0" w:type="dxa"/>
        </w:tblCellMar>
      </w:tblPr>
      <w:tblGrid>
        <w:gridCol w:w="124"/>
        <w:gridCol w:w="631"/>
        <w:gridCol w:w="321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Kevin Hykes</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Hykes</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950" w:name="cvrx-20240630xex32d2.htm"/>
      <w:bookmarkStart w:id="951" w:name="kscvrx20240630xex32d2"/>
      <w:bookmarkEnd w:id="950"/>
      <w:bookmarkEnd w:id="951"/>
      <w:r>
        <w:rPr/>
        <w:t>​</w:t>
      </w:r>
      <w:r>
        <w:br w:type="page"/>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CFO Pursuant to 18 U.S.C. Section 1350,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CVRx, Inc. (the “Company”) on Form 10-Q for the period ended June 30, 2024 (the “Report”), as filed with the Securities and Exchange Commission on the date hereof, I, the undersigned, certify, pursuant to 18 U.S.C. Section 1350, as adopted pursuant to Section 906 of the Sarbanes-Oxley Act of 2002, to the best of my knowledge, that: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 2024</w:t>
      </w:r>
    </w:p>
    <w:p>
      <w:pPr>
        <w:pStyle w:val="TextBody"/>
        <w:bidi w:val="0"/>
        <w:spacing w:before="0" w:after="0"/>
        <w:ind w:left="0" w:right="0" w:hanging="0"/>
        <w:jc w:val="left"/>
        <w:rPr/>
      </w:pPr>
      <w:r>
        <w:rPr/>
        <w:t>​</w:t>
      </w:r>
    </w:p>
    <w:tbl>
      <w:tblPr>
        <w:tblW w:w="2973" w:type="dxa"/>
        <w:jc w:val="left"/>
        <w:tblInd w:w="0" w:type="dxa"/>
        <w:tblLayout w:type="fixed"/>
        <w:tblCellMar>
          <w:top w:w="0" w:type="dxa"/>
          <w:left w:w="0" w:type="dxa"/>
          <w:bottom w:w="0" w:type="dxa"/>
          <w:right w:w="0" w:type="dxa"/>
        </w:tblCellMar>
      </w:tblPr>
      <w:tblGrid>
        <w:gridCol w:w="331"/>
        <w:gridCol w:w="631"/>
        <w:gridCol w:w="2011"/>
      </w:tblGrid>
      <w:tr>
        <w:trPr/>
        <w:tc>
          <w:tcPr>
            <w:tcW w:w="3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J. </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Jared Oasheim</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Jared Oasheim</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5912/000110465924069657/tm2416672d1_ex3-1.htm" TargetMode="External"/><Relationship Id="rId3" Type="http://schemas.openxmlformats.org/officeDocument/2006/relationships/hyperlink" Target="https://www.sec.gov/Archives/edgar/data/1235912/000110465921089779/tm2121505d1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16006</Words>
  <Characters>85942</Characters>
  <CharactersWithSpaces>102882</CharactersWithSpaces>
  <Paragraphs>4130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