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CVRx,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1A1A1A"/>
                <w:w w:val="99"/>
              </w:rPr>
              <w:t>001-40545</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41-1983744</w:t>
            </w:r>
          </w:p>
        </w:tc>
      </w:tr>
      <w:tr>
        <w:trPr>
          <w:trHeight w:val="216"/>
        </w:trPr>
        <w:tc>
          <w:tcPr>
            <w:tcW w:w="23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incorporation)</w:t>
            </w:r>
          </w:p>
        </w:tc>
        <w:tc>
          <w:tcPr>
            <w:tcW w:w="5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80" w:type="dxa"/>
            <w:vAlign w:val="bottom"/>
          </w:tcPr>
          <w:p>
            <w:pPr>
              <w:spacing w:after="0"/>
              <w:rPr>
                <w:sz w:val="24"/>
                <w:szCs w:val="24"/>
                <w:color w:val="auto"/>
              </w:rPr>
            </w:pPr>
          </w:p>
        </w:tc>
        <w:tc>
          <w:tcPr>
            <w:tcW w:w="5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9201 West Broadway Avenue, Suite 650</w:t>
            </w:r>
          </w:p>
        </w:tc>
        <w:tc>
          <w:tcPr>
            <w:tcW w:w="182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5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Minneapolis, MN 55445</w:t>
            </w:r>
          </w:p>
        </w:tc>
        <w:tc>
          <w:tcPr>
            <w:tcW w:w="182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5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82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5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(763) 416-2840</w:t>
            </w:r>
          </w:p>
        </w:tc>
        <w:tc>
          <w:tcPr>
            <w:tcW w:w="182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2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5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N/A</w:t>
            </w:r>
          </w:p>
        </w:tc>
        <w:tc>
          <w:tcPr>
            <w:tcW w:w="182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8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41"/>
        </w:trPr>
        <w:tc>
          <w:tcPr>
            <w:tcW w:w="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34"/>
        </w:trPr>
        <w:tc>
          <w:tcPr>
            <w:tcW w:w="4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6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37"/>
        </w:trPr>
        <w:tc>
          <w:tcPr>
            <w:tcW w:w="40" w:type="dxa"/>
            <w:vAlign w:val="bottom"/>
          </w:tcPr>
          <w:p>
            <w:pPr>
              <w:spacing w:after="0"/>
              <w:rPr>
                <w:sz w:val="20"/>
                <w:szCs w:val="20"/>
                <w:color w:val="auto"/>
              </w:rPr>
            </w:pPr>
          </w:p>
        </w:tc>
        <w:tc>
          <w:tcPr>
            <w:tcW w:w="452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9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CVRX</w:t>
            </w:r>
          </w:p>
        </w:tc>
        <w:tc>
          <w:tcPr>
            <w:tcW w:w="16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225" w:lineRule="exact"/>
        <w:rPr>
          <w:sz w:val="24"/>
          <w:szCs w:val="24"/>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3, 2025, CVRx, Inc. (the “Company”) held its 2025 annual meeting of stockholders (the “Annual Meeting”). Voting results for each matter submitted to a vote at the Annual Meeting are provided below.</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Election of Directors. The two nominees for Class I director were elected to serve until the 2028 annual meeting of stockholders and until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are duly elected and qualified, by the votes set forth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3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Ballinger</w:t>
            </w:r>
          </w:p>
        </w:tc>
        <w:tc>
          <w:tcPr>
            <w:tcW w:w="16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15,182,085</w:t>
            </w:r>
          </w:p>
        </w:tc>
        <w:tc>
          <w:tcPr>
            <w:tcW w:w="14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848,042</w:t>
            </w:r>
          </w:p>
        </w:tc>
        <w:tc>
          <w:tcPr>
            <w:tcW w:w="16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6,965,421</w:t>
            </w:r>
          </w:p>
        </w:tc>
        <w:tc>
          <w:tcPr>
            <w:tcW w:w="160" w:type="dxa"/>
            <w:vAlign w:val="bottom"/>
            <w:tcBorders>
              <w:top w:val="single" w:sz="8" w:color="CCEEFF"/>
            </w:tcBorders>
            <w:shd w:val="clear" w:color="auto" w:fill="CCEEFF"/>
          </w:tcPr>
          <w:p>
            <w:pPr>
              <w:spacing w:after="0"/>
              <w:rPr>
                <w:sz w:val="19"/>
                <w:szCs w:val="19"/>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Mitch Hill</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14,338,976</w:t>
            </w:r>
          </w:p>
        </w:tc>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1,691,151</w:t>
            </w:r>
          </w:p>
        </w:tc>
        <w:tc>
          <w:tcPr>
            <w:tcW w:w="16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6,965,421</w:t>
            </w:r>
          </w:p>
        </w:tc>
        <w:tc>
          <w:tcPr>
            <w:tcW w:w="160" w:type="dxa"/>
            <w:vAlign w:val="bottom"/>
          </w:tcPr>
          <w:p>
            <w:pPr>
              <w:spacing w:after="0"/>
              <w:rPr>
                <w:sz w:val="20"/>
                <w:szCs w:val="20"/>
                <w:color w:val="auto"/>
              </w:rPr>
            </w:pPr>
          </w:p>
        </w:tc>
      </w:tr>
    </w:tbl>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The stockholders ratified the appointment of Grant Thornton LLP as the Company’s independent registered public accounting firm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ending December 31, 2025, by the votes set forth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86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22,940,803</w:t>
            </w:r>
          </w:p>
        </w:tc>
        <w:tc>
          <w:tcPr>
            <w:tcW w:w="4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52,397</w:t>
            </w:r>
          </w:p>
        </w:tc>
        <w:tc>
          <w:tcPr>
            <w:tcW w:w="4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2,348</w:t>
            </w:r>
          </w:p>
        </w:tc>
        <w:tc>
          <w:tcPr>
            <w:tcW w:w="420" w:type="dxa"/>
            <w:vAlign w:val="bottom"/>
            <w:tcBorders>
              <w:top w:val="single" w:sz="8" w:color="CCEEFF"/>
            </w:tcBorders>
            <w:shd w:val="clear" w:color="auto" w:fill="CCEEFF"/>
          </w:tcPr>
          <w:p>
            <w:pPr>
              <w:spacing w:after="0"/>
              <w:rPr>
                <w:sz w:val="18"/>
                <w:szCs w:val="18"/>
                <w:color w:val="auto"/>
              </w:rPr>
            </w:pPr>
          </w:p>
        </w:tc>
      </w:tr>
      <w:tr>
        <w:trPr>
          <w:trHeight w:val="675"/>
        </w:trPr>
        <w:tc>
          <w:tcPr>
            <w:tcW w:w="3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CVRx,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2025</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Jared Oasheim</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Jared Oasheim</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Its: Chief Financial Officer</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2025-06-05T15:19:38Z</dcterms:created>
  <dcterms:modified xsi:type="dcterms:W3CDTF">2025-06-05T15:19:38Z</dcterms:modified>
</cp:coreProperties>
</file>