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109220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40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September 30, 2022</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1"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128905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CVRx,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00" w:type="dxa"/>
            <w:vAlign w:val="bottom"/>
            <w:gridSpan w:val="3"/>
          </w:tcPr>
          <w:p>
            <w:pPr>
              <w:jc w:val="center"/>
              <w:ind w:left="1402"/>
              <w:spacing w:after="0"/>
              <w:rPr>
                <w:sz w:val="20"/>
                <w:szCs w:val="20"/>
                <w:color w:val="auto"/>
              </w:rPr>
            </w:pPr>
            <w:r>
              <w:rPr>
                <w:rFonts w:ascii="Arial" w:cs="Arial" w:eastAsia="Arial" w:hAnsi="Arial"/>
                <w:sz w:val="16"/>
                <w:szCs w:val="16"/>
                <w:b w:val="1"/>
                <w:bCs w:val="1"/>
                <w:color w:val="auto"/>
                <w:w w:val="99"/>
              </w:rPr>
              <w:t>Delaware</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41-1983744</w:t>
            </w:r>
          </w:p>
        </w:tc>
      </w:tr>
      <w:tr>
        <w:trPr>
          <w:trHeight w:val="162"/>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(State or other jurisdiction of</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Pr>
          <w:p>
            <w:pPr>
              <w:jc w:val="center"/>
              <w:ind w:right="1404"/>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incorporation or organization)</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Identification No.)</w:t>
            </w:r>
          </w:p>
        </w:tc>
      </w:tr>
      <w:tr>
        <w:trPr>
          <w:trHeight w:val="250"/>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9201 West Broadway Avenue</w:t>
            </w:r>
          </w:p>
        </w:tc>
        <w:tc>
          <w:tcPr>
            <w:tcW w:w="322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Suite 650</w:t>
            </w:r>
          </w:p>
        </w:tc>
        <w:tc>
          <w:tcPr>
            <w:tcW w:w="322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Minneapolis, MN 55445</w:t>
            </w:r>
          </w:p>
        </w:tc>
        <w:tc>
          <w:tcPr>
            <w:tcW w:w="3220" w:type="dxa"/>
            <w:vAlign w:val="bottom"/>
          </w:tcPr>
          <w:p>
            <w:pPr>
              <w:spacing w:after="0"/>
              <w:rPr>
                <w:sz w:val="16"/>
                <w:szCs w:val="16"/>
                <w:color w:val="auto"/>
              </w:rPr>
            </w:pPr>
          </w:p>
        </w:tc>
      </w:tr>
      <w:tr>
        <w:trPr>
          <w:trHeight w:val="190"/>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(Address of Principal Executive Offices)</w:t>
            </w:r>
          </w:p>
        </w:tc>
        <w:tc>
          <w:tcPr>
            <w:tcW w:w="3220" w:type="dxa"/>
            <w:vAlign w:val="bottom"/>
          </w:tcPr>
          <w:p>
            <w:pPr>
              <w:spacing w:after="0"/>
              <w:rPr>
                <w:sz w:val="16"/>
                <w:szCs w:val="16"/>
                <w:color w:val="auto"/>
              </w:rPr>
            </w:pPr>
          </w:p>
        </w:tc>
      </w:tr>
      <w:tr>
        <w:trPr>
          <w:trHeight w:val="269"/>
        </w:trPr>
        <w:tc>
          <w:tcPr>
            <w:tcW w:w="3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20" w:type="dxa"/>
            <w:vAlign w:val="bottom"/>
            <w:gridSpan w:val="2"/>
          </w:tcPr>
          <w:p>
            <w:pPr>
              <w:jc w:val="center"/>
              <w:ind w:left="104"/>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190"/>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(Registrant’s telephone number)</w:t>
            </w:r>
          </w:p>
        </w:tc>
        <w:tc>
          <w:tcPr>
            <w:tcW w:w="3220" w:type="dxa"/>
            <w:vAlign w:val="bottom"/>
          </w:tcPr>
          <w:p>
            <w:pPr>
              <w:spacing w:after="0"/>
              <w:rPr>
                <w:sz w:val="16"/>
                <w:szCs w:val="16"/>
                <w:color w:val="auto"/>
              </w:rPr>
            </w:pPr>
          </w:p>
        </w:tc>
      </w:tr>
      <w:tr>
        <w:trPr>
          <w:trHeight w:val="194"/>
        </w:trPr>
        <w:tc>
          <w:tcPr>
            <w:tcW w:w="3860" w:type="dxa"/>
            <w:vAlign w:val="bottom"/>
            <w:gridSpan w:val="4"/>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0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r>
      <w:tr>
        <w:trPr>
          <w:trHeight w:val="372"/>
        </w:trPr>
        <w:tc>
          <w:tcPr>
            <w:tcW w:w="6820" w:type="dxa"/>
            <w:vAlign w:val="bottom"/>
            <w:gridSpan w:val="7"/>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3220" w:type="dxa"/>
            <w:vAlign w:val="bottom"/>
          </w:tcPr>
          <w:p>
            <w:pPr>
              <w:spacing w:after="0"/>
              <w:rPr>
                <w:sz w:val="24"/>
                <w:szCs w:val="24"/>
                <w:color w:val="auto"/>
              </w:rPr>
            </w:pPr>
          </w:p>
        </w:tc>
      </w:tr>
      <w:tr>
        <w:trPr>
          <w:trHeight w:val="399"/>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Name of each exchange</w:t>
            </w:r>
          </w:p>
        </w:tc>
      </w:tr>
      <w:tr>
        <w:trPr>
          <w:trHeight w:val="214"/>
        </w:trPr>
        <w:tc>
          <w:tcPr>
            <w:tcW w:w="3700" w:type="dxa"/>
            <w:vAlign w:val="bottom"/>
            <w:gridSpan w:val="3"/>
          </w:tcPr>
          <w:p>
            <w:pPr>
              <w:jc w:val="center"/>
              <w:ind w:right="500"/>
              <w:spacing w:after="0"/>
              <w:rPr>
                <w:sz w:val="20"/>
                <w:szCs w:val="20"/>
                <w:color w:val="auto"/>
              </w:rPr>
            </w:pPr>
            <w:r>
              <w:rPr>
                <w:rFonts w:ascii="Arial" w:cs="Arial" w:eastAsia="Arial" w:hAnsi="Arial"/>
                <w:sz w:val="16"/>
                <w:szCs w:val="16"/>
                <w:color w:val="auto"/>
                <w:w w:val="99"/>
              </w:rPr>
              <w:t>Title of each class</w:t>
            </w:r>
          </w:p>
        </w:tc>
        <w:tc>
          <w:tcPr>
            <w:tcW w:w="160" w:type="dxa"/>
            <w:vAlign w:val="bottom"/>
          </w:tcPr>
          <w:p>
            <w:pPr>
              <w:spacing w:after="0"/>
              <w:rPr>
                <w:sz w:val="18"/>
                <w:szCs w:val="18"/>
                <w:color w:val="auto"/>
              </w:rPr>
            </w:pPr>
          </w:p>
        </w:tc>
        <w:tc>
          <w:tcPr>
            <w:tcW w:w="2960" w:type="dxa"/>
            <w:vAlign w:val="bottom"/>
            <w:gridSpan w:val="3"/>
          </w:tcPr>
          <w:p>
            <w:pPr>
              <w:jc w:val="center"/>
              <w:ind w:right="640"/>
              <w:spacing w:after="0"/>
              <w:rPr>
                <w:sz w:val="20"/>
                <w:szCs w:val="20"/>
                <w:color w:val="auto"/>
              </w:rPr>
            </w:pPr>
            <w:r>
              <w:rPr>
                <w:rFonts w:ascii="Arial" w:cs="Arial" w:eastAsia="Arial" w:hAnsi="Arial"/>
                <w:sz w:val="16"/>
                <w:szCs w:val="16"/>
                <w:color w:val="auto"/>
              </w:rPr>
              <w:t>Trading Symbol(s)</w:t>
            </w:r>
          </w:p>
        </w:tc>
        <w:tc>
          <w:tcPr>
            <w:tcW w:w="3220" w:type="dxa"/>
            <w:vAlign w:val="bottom"/>
          </w:tcPr>
          <w:p>
            <w:pPr>
              <w:jc w:val="center"/>
              <w:spacing w:after="0"/>
              <w:rPr>
                <w:sz w:val="20"/>
                <w:szCs w:val="20"/>
                <w:color w:val="auto"/>
              </w:rPr>
            </w:pPr>
            <w:r>
              <w:rPr>
                <w:rFonts w:ascii="Arial" w:cs="Arial" w:eastAsia="Arial" w:hAnsi="Arial"/>
                <w:sz w:val="16"/>
                <w:szCs w:val="16"/>
                <w:color w:val="auto"/>
              </w:rPr>
              <w:t>on which registered</w:t>
            </w:r>
          </w:p>
        </w:tc>
      </w:tr>
      <w:tr>
        <w:trPr>
          <w:trHeight w:val="164"/>
        </w:trPr>
        <w:tc>
          <w:tcPr>
            <w:tcW w:w="31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jc w:val="center"/>
              <w:ind w:right="440"/>
              <w:spacing w:after="0" w:line="165"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322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The Nasdaq Global Select Market</w:t>
            </w:r>
          </w:p>
        </w:tc>
      </w:tr>
      <w:tr>
        <w:trPr>
          <w:trHeight w:val="215"/>
        </w:trPr>
        <w:tc>
          <w:tcPr>
            <w:tcW w:w="37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par value $0.01 per share</w:t>
            </w:r>
          </w:p>
        </w:tc>
        <w:tc>
          <w:tcPr>
            <w:tcW w:w="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r>
    </w:tbl>
    <w:p>
      <w:pPr>
        <w:spacing w:after="0" w:line="305" w:lineRule="exact"/>
        <w:rPr>
          <w:sz w:val="24"/>
          <w:szCs w:val="24"/>
          <w:color w:val="auto"/>
        </w:rPr>
      </w:pPr>
    </w:p>
    <w:p>
      <w:pPr>
        <w:ind w:left="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left="40" w:right="32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left="40" w:right="6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00" w:top="665" w:right="879" w:bottom="1440" w:gutter="0" w:footer="0" w:header="0"/>
        </w:sectPr>
      </w:pPr>
    </w:p>
    <w:p>
      <w:pPr>
        <w:spacing w:after="0" w:line="20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40" w:space="720"/>
            <w:col w:w="420" w:space="720"/>
            <w:col w:w="1920" w:space="720"/>
            <w:col w:w="4080"/>
          </w:cols>
          <w:pgMar w:left="800" w:top="665" w:right="879" w:bottom="1440" w:gutter="0" w:footer="0" w:header="0"/>
          <w:type w:val="continuous"/>
        </w:sectPr>
      </w:pPr>
    </w:p>
    <w:p>
      <w:pPr>
        <w:spacing w:after="0" w:line="5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9" w:lineRule="exact"/>
        <w:rPr>
          <w:sz w:val="24"/>
          <w:szCs w:val="24"/>
          <w:color w:val="auto"/>
        </w:rPr>
      </w:pPr>
    </w:p>
    <w:p>
      <w:pPr>
        <w:sectPr>
          <w:pgSz w:w="11900" w:h="16838" w:orient="portrait"/>
          <w:cols w:equalWidth="0" w:num="6">
            <w:col w:w="1640" w:space="720"/>
            <w:col w:w="420" w:space="720"/>
            <w:col w:w="1940" w:space="700"/>
            <w:col w:w="360" w:space="720"/>
            <w:col w:w="1920" w:space="560"/>
            <w:col w:w="520"/>
          </w:cols>
          <w:pgMar w:left="800" w:top="665" w:right="879" w:bottom="1440" w:gutter="0" w:footer="0" w:header="0"/>
          <w:type w:val="continuous"/>
        </w:sectPr>
      </w:pPr>
    </w:p>
    <w:p>
      <w:pPr>
        <w:ind w:left="40" w:right="2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ind w:left="40" w:right="84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28, 2022, there were 20,584,163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681990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81915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124460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00" w:top="665" w:right="87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80" w:type="dxa"/>
            <w:vAlign w:val="bottom"/>
            <w:gridSpan w:val="12"/>
          </w:tcPr>
          <w:p>
            <w:pPr>
              <w:ind w:left="240"/>
              <w:spacing w:after="0"/>
              <w:rPr>
                <w:sz w:val="20"/>
                <w:szCs w:val="20"/>
                <w:color w:val="auto"/>
              </w:rPr>
            </w:pPr>
            <w:r>
              <w:rPr>
                <w:rFonts w:ascii="Arial" w:cs="Arial" w:eastAsia="Arial" w:hAnsi="Arial"/>
                <w:sz w:val="18"/>
                <w:szCs w:val="18"/>
                <w:b w:val="1"/>
                <w:bCs w:val="1"/>
                <w:color w:val="auto"/>
              </w:rPr>
              <w:t>TABLE OF CONTENTS</w:t>
            </w:r>
          </w:p>
        </w:tc>
      </w:tr>
      <w:tr>
        <w:trPr>
          <w:trHeight w:val="823"/>
        </w:trPr>
        <w:tc>
          <w:tcPr>
            <w:tcW w:w="440" w:type="dxa"/>
            <w:vAlign w:val="bottom"/>
          </w:tcPr>
          <w:p>
            <w:pPr>
              <w:spacing w:after="0"/>
              <w:rPr>
                <w:sz w:val="20"/>
                <w:szCs w:val="20"/>
                <w:color w:val="auto"/>
              </w:rPr>
            </w:pPr>
            <w:r>
              <w:rPr>
                <w:rFonts w:ascii="Arial" w:cs="Arial" w:eastAsia="Arial" w:hAnsi="Arial"/>
                <w:sz w:val="18"/>
                <w:szCs w:val="18"/>
                <w:b w:val="1"/>
                <w:bCs w:val="1"/>
                <w:color w:val="0000EE"/>
                <w:w w:val="93"/>
              </w:rPr>
              <w:t>Part I</w:t>
            </w:r>
          </w:p>
        </w:tc>
        <w:tc>
          <w:tcPr>
            <w:tcW w:w="800" w:type="dxa"/>
            <w:vAlign w:val="bottom"/>
            <w:gridSpan w:val="6"/>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b w:val="1"/>
                <w:bCs w:val="1"/>
                <w:color w:val="0000EE"/>
              </w:rPr>
              <w:t>Financial Information</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Arial" w:cs="Arial" w:eastAsia="Arial" w:hAnsi="Arial"/>
                <w:sz w:val="18"/>
                <w:szCs w:val="18"/>
                <w:color w:val="0000EE"/>
                <w:w w:val="79"/>
              </w:rPr>
              <w:t>Item 1.</w:t>
            </w:r>
          </w:p>
        </w:tc>
        <w:tc>
          <w:tcPr>
            <w:tcW w:w="760" w:type="dxa"/>
            <w:vAlign w:val="bottom"/>
            <w:gridSpan w:val="5"/>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Financial Statements</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9"/>
              </w:rPr>
              <w:t>Condensed Consolidated Balance Sheets as of September 30, 2022 and December 31,</w:t>
            </w: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9"/>
              </w:rPr>
              <w:t>2021 (Unaudited)</w:t>
            </w:r>
          </w:p>
        </w:tc>
        <w:tc>
          <w:tcPr>
            <w:tcW w:w="5440" w:type="dxa"/>
            <w:vAlign w:val="bottom"/>
            <w:gridSpan w:val="16"/>
          </w:tcPr>
          <w:p>
            <w:pPr>
              <w:spacing w:after="0"/>
              <w:rPr>
                <w:sz w:val="17"/>
                <w:szCs w:val="17"/>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Operations and Comprehensive Loss for the</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62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three and nine months ended September 30, 2022 and 2021 (Unaudited)</w:t>
            </w:r>
          </w:p>
        </w:tc>
        <w:tc>
          <w:tcPr>
            <w:tcW w:w="220" w:type="dxa"/>
            <w:vAlign w:val="bottom"/>
            <w:gridSpan w:val="2"/>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Convertible Preferred Stock and Stockholders’</w:t>
            </w: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600" w:type="dxa"/>
            <w:vAlign w:val="bottom"/>
            <w:tcBorders>
              <w:top w:val="single" w:sz="8" w:color="0000EE"/>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9"/>
              </w:rPr>
              <w:t>Equity (Deficit) for the three and nine months ended September 30, 2022 and 2021</w:t>
            </w:r>
          </w:p>
        </w:tc>
        <w:tc>
          <w:tcPr>
            <w:tcW w:w="200" w:type="dxa"/>
            <w:vAlign w:val="bottom"/>
            <w:tcBorders>
              <w:top w:val="single" w:sz="8" w:color="0000EE"/>
            </w:tcBorders>
            <w:gridSpan w:val="2"/>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7"/>
              </w:rPr>
              <w:t>(Unaudited)</w:t>
            </w:r>
          </w:p>
        </w:tc>
        <w:tc>
          <w:tcPr>
            <w:tcW w:w="5900" w:type="dxa"/>
            <w:vAlign w:val="bottom"/>
            <w:gridSpan w:val="19"/>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Condensed Consolidated Statements of Cash Flows for the nine months ended</w:t>
            </w:r>
          </w:p>
        </w:tc>
        <w:tc>
          <w:tcPr>
            <w:tcW w:w="660" w:type="dxa"/>
            <w:vAlign w:val="bottom"/>
            <w:gridSpan w:val="4"/>
          </w:tcPr>
          <w:p>
            <w:pPr>
              <w:spacing w:after="0"/>
              <w:rPr>
                <w:sz w:val="24"/>
                <w:szCs w:val="24"/>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tcBorders>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9"/>
              </w:rPr>
              <w:t>September 30, 2022 and 2021 (Unaudited)</w:t>
            </w:r>
          </w:p>
        </w:tc>
        <w:tc>
          <w:tcPr>
            <w:tcW w:w="3420" w:type="dxa"/>
            <w:vAlign w:val="bottom"/>
            <w:gridSpan w:val="10"/>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Notes to Condensed Consolidated Financial Statements (Unaudited)</w:t>
            </w:r>
          </w:p>
        </w:tc>
      </w:tr>
      <w:tr>
        <w:trPr>
          <w:trHeight w:val="20"/>
        </w:trPr>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r>
      <w:tr>
        <w:trPr>
          <w:trHeight w:val="399"/>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2.</w:t>
            </w:r>
          </w:p>
        </w:tc>
        <w:tc>
          <w:tcPr>
            <w:tcW w:w="760" w:type="dxa"/>
            <w:vAlign w:val="bottom"/>
            <w:gridSpan w:val="5"/>
          </w:tcPr>
          <w:p>
            <w:pPr>
              <w:spacing w:after="0"/>
              <w:rPr>
                <w:sz w:val="24"/>
                <w:szCs w:val="24"/>
                <w:color w:val="auto"/>
              </w:rPr>
            </w:pPr>
          </w:p>
        </w:tc>
        <w:tc>
          <w:tcPr>
            <w:tcW w:w="61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rPr>
              <w:t>Management’s Discussion and Analysis of Financial Condition and Results of</w:t>
            </w:r>
          </w:p>
        </w:tc>
        <w:tc>
          <w:tcPr>
            <w:tcW w:w="800" w:type="dxa"/>
            <w:vAlign w:val="bottom"/>
            <w:gridSpan w:val="5"/>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Operations</w:t>
            </w:r>
          </w:p>
        </w:tc>
        <w:tc>
          <w:tcPr>
            <w:tcW w:w="5960" w:type="dxa"/>
            <w:vAlign w:val="bottom"/>
            <w:gridSpan w:val="20"/>
          </w:tcPr>
          <w:p>
            <w:pPr>
              <w:spacing w:after="0"/>
              <w:rPr>
                <w:sz w:val="17"/>
                <w:szCs w:val="17"/>
                <w:color w:val="auto"/>
              </w:rPr>
            </w:pPr>
          </w:p>
        </w:tc>
      </w:tr>
      <w:tr>
        <w:trPr>
          <w:trHeight w:val="385"/>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7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260" w:type="dxa"/>
            <w:vAlign w:val="bottom"/>
            <w:gridSpan w:val="9"/>
          </w:tcPr>
          <w:p>
            <w:pPr>
              <w:spacing w:after="0"/>
              <w:rPr>
                <w:sz w:val="24"/>
                <w:szCs w:val="24"/>
                <w:color w:val="auto"/>
              </w:rPr>
            </w:pPr>
          </w:p>
        </w:tc>
      </w:tr>
      <w:tr>
        <w:trPr>
          <w:trHeight w:val="399"/>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4.</w:t>
            </w:r>
          </w:p>
        </w:tc>
        <w:tc>
          <w:tcPr>
            <w:tcW w:w="760" w:type="dxa"/>
            <w:vAlign w:val="bottom"/>
            <w:gridSpan w:val="5"/>
          </w:tcPr>
          <w:p>
            <w:pPr>
              <w:spacing w:after="0"/>
              <w:rPr>
                <w:sz w:val="24"/>
                <w:szCs w:val="24"/>
                <w:color w:val="auto"/>
              </w:rPr>
            </w:pPr>
          </w:p>
        </w:tc>
        <w:tc>
          <w:tcPr>
            <w:tcW w:w="20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Controls and Procedures</w:t>
            </w:r>
          </w:p>
        </w:tc>
        <w:tc>
          <w:tcPr>
            <w:tcW w:w="4980" w:type="dxa"/>
            <w:vAlign w:val="bottom"/>
            <w:gridSpan w:val="12"/>
          </w:tcPr>
          <w:p>
            <w:pPr>
              <w:spacing w:after="0"/>
              <w:rPr>
                <w:sz w:val="24"/>
                <w:szCs w:val="24"/>
                <w:color w:val="auto"/>
              </w:rPr>
            </w:pPr>
          </w:p>
        </w:tc>
      </w:tr>
      <w:tr>
        <w:trPr>
          <w:trHeight w:val="398"/>
        </w:trPr>
        <w:tc>
          <w:tcPr>
            <w:tcW w:w="1240" w:type="dxa"/>
            <w:vAlign w:val="bottom"/>
            <w:gridSpan w:val="7"/>
          </w:tcPr>
          <w:p>
            <w:pPr>
              <w:spacing w:after="0"/>
              <w:rPr>
                <w:sz w:val="20"/>
                <w:szCs w:val="20"/>
                <w:color w:val="auto"/>
              </w:rPr>
            </w:pPr>
            <w:r>
              <w:rPr>
                <w:rFonts w:ascii="Arial" w:cs="Arial" w:eastAsia="Arial" w:hAnsi="Arial"/>
                <w:sz w:val="18"/>
                <w:szCs w:val="18"/>
                <w:b w:val="1"/>
                <w:bCs w:val="1"/>
                <w:color w:val="0000EE"/>
              </w:rPr>
              <w:t>Part II</w:t>
            </w:r>
          </w:p>
        </w:tc>
        <w:tc>
          <w:tcPr>
            <w:tcW w:w="6980" w:type="dxa"/>
            <w:vAlign w:val="bottom"/>
            <w:gridSpan w:val="24"/>
          </w:tcPr>
          <w:p>
            <w:pPr>
              <w:spacing w:after="0"/>
              <w:rPr>
                <w:sz w:val="20"/>
                <w:szCs w:val="20"/>
                <w:color w:val="auto"/>
              </w:rPr>
            </w:pPr>
            <w:r>
              <w:rPr>
                <w:rFonts w:ascii="Arial" w:cs="Arial" w:eastAsia="Arial" w:hAnsi="Arial"/>
                <w:sz w:val="18"/>
                <w:szCs w:val="18"/>
                <w:b w:val="1"/>
                <w:bCs w:val="1"/>
                <w:color w:val="0000EE"/>
              </w:rPr>
              <w:t>Other Information</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1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Legal Proceedings</w:t>
            </w:r>
          </w:p>
        </w:tc>
        <w:tc>
          <w:tcPr>
            <w:tcW w:w="5460" w:type="dxa"/>
            <w:vAlign w:val="bottom"/>
            <w:gridSpan w:val="17"/>
          </w:tcPr>
          <w:p>
            <w:pPr>
              <w:spacing w:after="0"/>
              <w:rPr>
                <w:sz w:val="24"/>
                <w:szCs w:val="24"/>
                <w:color w:val="auto"/>
              </w:rPr>
            </w:pPr>
          </w:p>
        </w:tc>
      </w:tr>
      <w:tr>
        <w:trPr>
          <w:trHeight w:val="399"/>
        </w:trPr>
        <w:tc>
          <w:tcPr>
            <w:tcW w:w="660" w:type="dxa"/>
            <w:vAlign w:val="bottom"/>
            <w:gridSpan w:val="4"/>
          </w:tcPr>
          <w:p>
            <w:pPr>
              <w:spacing w:after="0"/>
              <w:rPr>
                <w:sz w:val="20"/>
                <w:szCs w:val="20"/>
                <w:color w:val="auto"/>
              </w:rPr>
            </w:pPr>
            <w:r>
              <w:rPr>
                <w:rFonts w:ascii="Arial" w:cs="Arial" w:eastAsia="Arial" w:hAnsi="Arial"/>
                <w:sz w:val="18"/>
                <w:szCs w:val="18"/>
                <w:color w:val="0000EE"/>
                <w:w w:val="95"/>
              </w:rPr>
              <w:t>Item 1A.</w:t>
            </w:r>
          </w:p>
        </w:tc>
        <w:tc>
          <w:tcPr>
            <w:tcW w:w="580" w:type="dxa"/>
            <w:vAlign w:val="bottom"/>
            <w:gridSpan w:val="3"/>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Risk Factors</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2.</w:t>
            </w:r>
          </w:p>
        </w:tc>
        <w:tc>
          <w:tcPr>
            <w:tcW w:w="10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48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Unregistered Sales of Equity Securities and Use of Proceeds</w:t>
            </w:r>
          </w:p>
        </w:tc>
        <w:tc>
          <w:tcPr>
            <w:tcW w:w="2120" w:type="dxa"/>
            <w:vAlign w:val="bottom"/>
            <w:gridSpan w:val="8"/>
          </w:tcPr>
          <w:p>
            <w:pPr>
              <w:spacing w:after="0"/>
              <w:rPr>
                <w:sz w:val="24"/>
                <w:szCs w:val="24"/>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25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Defaults Upon Senior Securities</w:t>
            </w:r>
          </w:p>
        </w:tc>
        <w:tc>
          <w:tcPr>
            <w:tcW w:w="4420" w:type="dxa"/>
            <w:vAlign w:val="bottom"/>
            <w:gridSpan w:val="11"/>
          </w:tcPr>
          <w:p>
            <w:pPr>
              <w:spacing w:after="0"/>
              <w:rPr>
                <w:sz w:val="24"/>
                <w:szCs w:val="24"/>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19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Mine Safety Disclosures</w:t>
            </w:r>
          </w:p>
        </w:tc>
        <w:tc>
          <w:tcPr>
            <w:tcW w:w="5040" w:type="dxa"/>
            <w:vAlign w:val="bottom"/>
            <w:gridSpan w:val="13"/>
          </w:tcPr>
          <w:p>
            <w:pPr>
              <w:spacing w:after="0"/>
              <w:rPr>
                <w:sz w:val="24"/>
                <w:szCs w:val="24"/>
                <w:color w:val="auto"/>
              </w:rPr>
            </w:pPr>
          </w:p>
        </w:tc>
      </w:tr>
      <w:tr>
        <w:trPr>
          <w:trHeight w:val="399"/>
        </w:trPr>
        <w:tc>
          <w:tcPr>
            <w:tcW w:w="560" w:type="dxa"/>
            <w:vAlign w:val="bottom"/>
            <w:gridSpan w:val="3"/>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Other Information</w:t>
            </w:r>
          </w:p>
        </w:tc>
      </w:tr>
      <w:tr>
        <w:trPr>
          <w:trHeight w:val="398"/>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79"/>
              </w:rPr>
              <w:t>Item 6.</w:t>
            </w:r>
          </w:p>
        </w:tc>
        <w:tc>
          <w:tcPr>
            <w:tcW w:w="80" w:type="dxa"/>
            <w:vAlign w:val="bottom"/>
            <w:tcBorders>
              <w:top w:val="single" w:sz="8" w:color="0000EE"/>
            </w:tcBorders>
          </w:tcPr>
          <w:p>
            <w:pPr>
              <w:spacing w:after="0"/>
              <w:rPr>
                <w:sz w:val="24"/>
                <w:szCs w:val="24"/>
                <w:color w:val="auto"/>
              </w:rPr>
            </w:pPr>
          </w:p>
        </w:tc>
        <w:tc>
          <w:tcPr>
            <w:tcW w:w="680" w:type="dxa"/>
            <w:vAlign w:val="bottom"/>
            <w:gridSpan w:val="4"/>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EE"/>
            </w:tcBorders>
            <w:gridSpan w:val="4"/>
          </w:tcPr>
          <w:p>
            <w:pPr>
              <w:spacing w:after="0"/>
              <w:rPr>
                <w:sz w:val="24"/>
                <w:szCs w:val="24"/>
                <w:color w:val="auto"/>
              </w:rPr>
            </w:pPr>
          </w:p>
        </w:tc>
        <w:tc>
          <w:tcPr>
            <w:tcW w:w="5580" w:type="dxa"/>
            <w:vAlign w:val="bottom"/>
            <w:gridSpan w:val="18"/>
          </w:tcPr>
          <w:p>
            <w:pPr>
              <w:spacing w:after="0"/>
              <w:rPr>
                <w:sz w:val="24"/>
                <w:szCs w:val="24"/>
                <w:color w:val="auto"/>
              </w:rPr>
            </w:pPr>
          </w:p>
        </w:tc>
      </w:tr>
      <w:tr>
        <w:trPr>
          <w:trHeight w:val="398"/>
        </w:trPr>
        <w:tc>
          <w:tcPr>
            <w:tcW w:w="1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Exhibit Index</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9"/>
        </w:trPr>
        <w:tc>
          <w:tcPr>
            <w:tcW w:w="1240" w:type="dxa"/>
            <w:vAlign w:val="bottom"/>
            <w:gridSpan w:val="7"/>
          </w:tcPr>
          <w:p>
            <w:pPr>
              <w:spacing w:after="0"/>
              <w:rPr>
                <w:sz w:val="20"/>
                <w:szCs w:val="20"/>
                <w:color w:val="auto"/>
              </w:rPr>
            </w:pPr>
            <w:r>
              <w:rPr>
                <w:rFonts w:ascii="Arial" w:cs="Arial" w:eastAsia="Arial" w:hAnsi="Arial"/>
                <w:sz w:val="18"/>
                <w:szCs w:val="18"/>
                <w:color w:val="0000EE"/>
              </w:rPr>
              <w:t>Signatures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60"/>
        </w:trPr>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14"/>
          </w:tcPr>
          <w:p>
            <w:pPr>
              <w:ind w:left="316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9</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20</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34</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34</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34</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34</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34</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34</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2">
            <w:col w:w="8280" w:space="300"/>
            <w:col w:w="43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the impact of the ongoing and global COVID-19 pandemic on our business, financial results and financial position, clinical trial results, prospective products, product approvals, research and development costs, timing and likelihood of success, and the plans and objectives of management for future operations.</w:t>
      </w:r>
    </w:p>
    <w:p>
      <w:pPr>
        <w:spacing w:after="0" w:line="20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2021, which are summarized below. Moreover, we operate in an evolving environment. New risk factors and uncertainties may emerge from time to time, and it is not possible for management to predict all risk factors and uncertainties.</w:t>
      </w:r>
    </w:p>
    <w:p>
      <w:pPr>
        <w:spacing w:after="0" w:line="204"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212"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our Annual Report on Form 10-K for the year ended December 31, 2021. You should carefully consider these risks and uncertainties when investing in our common stock. The principal risks and uncertainties affecting our business include, but are not limited to, the following:</w:t>
      </w:r>
    </w:p>
    <w:p>
      <w:pPr>
        <w:spacing w:after="0" w:line="205" w:lineRule="exact"/>
        <w:rPr>
          <w:sz w:val="20"/>
          <w:szCs w:val="20"/>
          <w:color w:val="auto"/>
        </w:rPr>
      </w:pPr>
    </w:p>
    <w:p>
      <w:pPr>
        <w:ind w:left="720" w:right="719" w:hanging="319"/>
        <w:spacing w:after="0" w:line="24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88" w:lineRule="exact"/>
        <w:rPr>
          <w:rFonts w:ascii="Arial" w:cs="Arial" w:eastAsia="Arial" w:hAnsi="Arial"/>
          <w:sz w:val="18"/>
          <w:szCs w:val="18"/>
          <w:color w:val="auto"/>
        </w:rPr>
      </w:pPr>
    </w:p>
    <w:p>
      <w:pPr>
        <w:ind w:left="720" w:right="63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principal stockholders, management and directors (four of whom are affiliated with our principal stockholders) own a significant percentage of our stock and are able to exert significant control over matters subject to stockholder approval;</w:t>
      </w:r>
    </w:p>
    <w:p>
      <w:pPr>
        <w:spacing w:after="0" w:line="94" w:lineRule="exact"/>
        <w:rPr>
          <w:rFonts w:ascii="Arial" w:cs="Arial" w:eastAsia="Arial" w:hAnsi="Arial"/>
          <w:sz w:val="18"/>
          <w:szCs w:val="18"/>
          <w:color w:val="auto"/>
        </w:rPr>
      </w:pPr>
    </w:p>
    <w:p>
      <w:pPr>
        <w:jc w:val="both"/>
        <w:ind w:left="720" w:right="89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obtain market acceptance in the U.S. for Barostim would negatively impact our business, liquidity and results of operations;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959" w:hanging="319"/>
        <w:spacing w:after="0" w:line="261"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limited commercial sales experience marketing and selling Barostim, and if we are unable to establish and maintain sales and marketing capabilities, we will be unable to successfully commercialize Barostim or generate sustained and increasing product revenue;</w:t>
      </w:r>
    </w:p>
    <w:p>
      <w:pPr>
        <w:spacing w:after="0" w:line="77" w:lineRule="exact"/>
        <w:rPr>
          <w:rFonts w:ascii="Arial" w:cs="Arial" w:eastAsia="Arial" w:hAnsi="Arial"/>
          <w:sz w:val="17"/>
          <w:szCs w:val="17"/>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demonstrate to physicians and patients the merits of Barostim;</w:t>
      </w:r>
    </w:p>
    <w:p>
      <w:pPr>
        <w:spacing w:after="0" w:line="117" w:lineRule="exact"/>
        <w:rPr>
          <w:rFonts w:ascii="Arial" w:cs="Arial" w:eastAsia="Arial" w:hAnsi="Arial"/>
          <w:sz w:val="18"/>
          <w:szCs w:val="18"/>
          <w:color w:val="auto"/>
        </w:rPr>
      </w:pPr>
    </w:p>
    <w:p>
      <w:pPr>
        <w:ind w:left="720" w:right="12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third-party payors do not provide adequate coverage and reimbursement for the use of Barostim, our revenue will be negatively impacted;</w:t>
      </w:r>
    </w:p>
    <w:p>
      <w:pPr>
        <w:spacing w:after="0" w:line="88" w:lineRule="exact"/>
        <w:rPr>
          <w:rFonts w:ascii="Arial" w:cs="Arial" w:eastAsia="Arial" w:hAnsi="Arial"/>
          <w:sz w:val="18"/>
          <w:szCs w:val="18"/>
          <w:color w:val="auto"/>
        </w:rPr>
      </w:pPr>
    </w:p>
    <w:p>
      <w:pPr>
        <w:ind w:left="720" w:right="73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9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receive access to hospitals, our sales may decrease;</w:t>
      </w:r>
    </w:p>
    <w:p>
      <w:pPr>
        <w:spacing w:after="0" w:line="117" w:lineRule="exact"/>
        <w:rPr>
          <w:rFonts w:ascii="Arial" w:cs="Arial" w:eastAsia="Arial" w:hAnsi="Arial"/>
          <w:sz w:val="18"/>
          <w:szCs w:val="18"/>
          <w:color w:val="auto"/>
        </w:rPr>
      </w:pPr>
    </w:p>
    <w:p>
      <w:pPr>
        <w:ind w:left="720" w:right="899"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and price fluctuations, which could harm our business;</w:t>
      </w:r>
    </w:p>
    <w:p>
      <w:pPr>
        <w:spacing w:after="0" w:line="94" w:lineRule="exact"/>
        <w:rPr>
          <w:rFonts w:ascii="Arial" w:cs="Arial" w:eastAsia="Arial" w:hAnsi="Arial"/>
          <w:sz w:val="18"/>
          <w:szCs w:val="18"/>
          <w:color w:val="auto"/>
        </w:rPr>
      </w:pPr>
    </w:p>
    <w:p>
      <w:pPr>
        <w:ind w:left="720" w:right="5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88" w:lineRule="exact"/>
        <w:rPr>
          <w:rFonts w:ascii="Arial" w:cs="Arial" w:eastAsia="Arial" w:hAnsi="Arial"/>
          <w:sz w:val="18"/>
          <w:szCs w:val="18"/>
          <w:color w:val="auto"/>
        </w:rPr>
      </w:pPr>
    </w:p>
    <w:p>
      <w:pPr>
        <w:ind w:left="720" w:right="599"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in the U.S. or worldwide, including the outbreak of the novel strain of coronavirus disease, COVID-19, could adversely affect our business;</w:t>
      </w:r>
    </w:p>
    <w:p>
      <w:pPr>
        <w:spacing w:after="0" w:line="94" w:lineRule="exact"/>
        <w:rPr>
          <w:rFonts w:ascii="Arial" w:cs="Arial" w:eastAsia="Arial" w:hAnsi="Arial"/>
          <w:sz w:val="18"/>
          <w:szCs w:val="18"/>
          <w:color w:val="auto"/>
        </w:rPr>
      </w:pPr>
    </w:p>
    <w:p>
      <w:pPr>
        <w:ind w:left="720" w:right="59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88" w:lineRule="exact"/>
        <w:rPr>
          <w:rFonts w:ascii="Arial" w:cs="Arial" w:eastAsia="Arial" w:hAnsi="Arial"/>
          <w:sz w:val="18"/>
          <w:szCs w:val="18"/>
          <w:color w:val="auto"/>
        </w:rPr>
      </w:pPr>
    </w:p>
    <w:p>
      <w:pPr>
        <w:ind w:left="720" w:right="51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w:t>
      </w:r>
    </w:p>
    <w:p>
      <w:pPr>
        <w:spacing w:after="0" w:line="96" w:lineRule="exact"/>
        <w:rPr>
          <w:rFonts w:ascii="Arial" w:cs="Arial" w:eastAsia="Arial" w:hAnsi="Arial"/>
          <w:sz w:val="18"/>
          <w:szCs w:val="18"/>
          <w:color w:val="auto"/>
        </w:rPr>
      </w:pPr>
    </w:p>
    <w:p>
      <w:pPr>
        <w:ind w:left="720" w:right="679" w:hanging="319"/>
        <w:spacing w:after="0" w:line="274"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66" w:lineRule="exact"/>
        <w:rPr>
          <w:rFonts w:ascii="Arial" w:cs="Arial" w:eastAsia="Arial" w:hAnsi="Arial"/>
          <w:sz w:val="17"/>
          <w:szCs w:val="17"/>
          <w:color w:val="auto"/>
        </w:rPr>
      </w:pPr>
    </w:p>
    <w:p>
      <w:pPr>
        <w:ind w:left="720" w:right="53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continue to obtain long-term clinical data regarding the safety and efficacy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109,985</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142,072</w:t>
            </w:r>
          </w:p>
        </w:tc>
        <w:tc>
          <w:tcPr>
            <w:tcW w:w="0" w:type="dxa"/>
            <w:vAlign w:val="bottom"/>
          </w:tcPr>
          <w:p>
            <w:pPr>
              <w:spacing w:after="0"/>
              <w:rPr>
                <w:sz w:val="1"/>
                <w:szCs w:val="1"/>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5,297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124,412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151,097</w:t>
            </w: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1,747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126,576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152,548</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1,276</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6,120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196"/>
        </w:trPr>
        <w:tc>
          <w:tcPr>
            <w:tcW w:w="660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7,396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Commitments and contingencies (Notes 5 and 10)</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0" w:type="dxa"/>
            <w:vAlign w:val="bottom"/>
          </w:tcPr>
          <w:p>
            <w:pPr>
              <w:spacing w:after="0" w:line="201" w:lineRule="exact"/>
              <w:rPr>
                <w:sz w:val="20"/>
                <w:szCs w:val="20"/>
                <w:color w:val="auto"/>
              </w:rPr>
            </w:pPr>
            <w:r>
              <w:rPr>
                <w:rFonts w:ascii="Arial" w:cs="Arial" w:eastAsia="Arial" w:hAnsi="Arial"/>
                <w:sz w:val="18"/>
                <w:szCs w:val="18"/>
                <w:color w:val="auto"/>
              </w:rPr>
              <w:t>Common stock, $0.01 par value, 200,000,000 authorized as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September 30, 2022 and December 31, 2021; 20,578,963 and 20,399,337 shares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issued and outstanding as of September 30, 2022 and December 31, 2021,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line="203" w:lineRule="exact"/>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206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543,903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540,707</w:t>
            </w: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(425,646)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(394,754)</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118,244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145,959</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126,576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152,548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3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6,186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3,395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15,293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9,378</w:t>
            </w:r>
          </w:p>
        </w:tc>
      </w:tr>
      <w:tr>
        <w:trPr>
          <w:trHeight w:val="203"/>
        </w:trPr>
        <w:tc>
          <w:tcPr>
            <w:tcW w:w="37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2,656</w:t>
            </w:r>
          </w:p>
        </w:tc>
      </w:tr>
      <w:tr>
        <w:trPr>
          <w:trHeight w:val="196"/>
        </w:trPr>
        <w:tc>
          <w:tcPr>
            <w:tcW w:w="37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4,846</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11,803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6,722</w:t>
            </w:r>
          </w:p>
        </w:tc>
      </w:tr>
      <w:tr>
        <w:trPr>
          <w:trHeight w:val="196"/>
        </w:trPr>
        <w:tc>
          <w:tcPr>
            <w:tcW w:w="37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5,704</w:t>
            </w:r>
          </w:p>
        </w:tc>
      </w:tr>
      <w:tr>
        <w:trPr>
          <w:trHeight w:val="203"/>
        </w:trPr>
        <w:tc>
          <w:tcPr>
            <w:tcW w:w="37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12,679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8,111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35,945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18,198</w:t>
            </w:r>
          </w:p>
        </w:tc>
      </w:tr>
      <w:tr>
        <w:trPr>
          <w:trHeight w:val="196"/>
        </w:trPr>
        <w:tc>
          <w:tcPr>
            <w:tcW w:w="37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14,972</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9,810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42,851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23,902</w:t>
            </w:r>
          </w:p>
        </w:tc>
      </w:tr>
      <w:tr>
        <w:trPr>
          <w:trHeight w:val="196"/>
        </w:trPr>
        <w:tc>
          <w:tcPr>
            <w:tcW w:w="374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(10,126)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(7,291)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(31,048)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(17,180)</w:t>
            </w: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(1,823)</w:t>
            </w:r>
          </w:p>
        </w:tc>
      </w:tr>
      <w:tr>
        <w:trPr>
          <w:trHeight w:val="203"/>
        </w:trPr>
        <w:tc>
          <w:tcPr>
            <w:tcW w:w="37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(13,439)</w:t>
            </w:r>
          </w:p>
        </w:tc>
      </w:tr>
      <w:tr>
        <w:trPr>
          <w:trHeight w:val="196"/>
        </w:trPr>
        <w:tc>
          <w:tcPr>
            <w:tcW w:w="37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(9,798)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(30,811)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(32,442)</w:t>
            </w:r>
          </w:p>
        </w:tc>
      </w:tr>
      <w:tr>
        <w:trPr>
          <w:trHeight w:val="203"/>
        </w:trPr>
        <w:tc>
          <w:tcPr>
            <w:tcW w:w="37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w:t>
            </w:r>
          </w:p>
        </w:tc>
      </w:tr>
      <w:tr>
        <w:trPr>
          <w:trHeight w:val="196"/>
        </w:trPr>
        <w:tc>
          <w:tcPr>
            <w:tcW w:w="37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(6,133)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(30,892)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(32,508)</w:t>
            </w:r>
          </w:p>
        </w:tc>
      </w:tr>
      <w:tr>
        <w:trPr>
          <w:trHeight w:val="203"/>
        </w:trPr>
        <w:tc>
          <w:tcPr>
            <w:tcW w:w="37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6"/>
        </w:trPr>
        <w:tc>
          <w:tcPr>
            <w:tcW w:w="37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(9,838)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(6,136)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(30,913)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(32,516)</w:t>
            </w:r>
          </w:p>
        </w:tc>
      </w:tr>
      <w:tr>
        <w:trPr>
          <w:trHeight w:val="196"/>
        </w:trPr>
        <w:tc>
          <w:tcPr>
            <w:tcW w:w="374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(0.48)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(0.30)</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(4.66)</w:t>
            </w: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used to</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7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compute net loss per share, basic and diluted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20,576,838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20,126,672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20,512,254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6,975,386</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780" w:type="dxa"/>
            <w:vAlign w:val="bottom"/>
            <w:gridSpan w:val="5"/>
          </w:tcPr>
          <w:p>
            <w:pPr>
              <w:jc w:val="right"/>
              <w:ind w:right="600"/>
              <w:spacing w:after="0" w:line="135" w:lineRule="exact"/>
              <w:rPr>
                <w:sz w:val="20"/>
                <w:szCs w:val="20"/>
                <w:color w:val="auto"/>
              </w:rPr>
            </w:pPr>
            <w:r>
              <w:rPr>
                <w:rFonts w:ascii="Arial" w:cs="Arial" w:eastAsia="Arial" w:hAnsi="Arial"/>
                <w:sz w:val="13"/>
                <w:szCs w:val="13"/>
                <w:b w:val="1"/>
                <w:bCs w:val="1"/>
                <w:color w:val="auto"/>
              </w:rPr>
              <w:t>Convertible</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other</w:t>
            </w:r>
          </w:p>
        </w:tc>
        <w:tc>
          <w:tcPr>
            <w:tcW w:w="8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57"/>
        </w:trPr>
        <w:tc>
          <w:tcPr>
            <w:tcW w:w="1880" w:type="dxa"/>
            <w:vAlign w:val="bottom"/>
          </w:tcPr>
          <w:p>
            <w:pPr>
              <w:spacing w:after="0"/>
              <w:rPr>
                <w:sz w:val="13"/>
                <w:szCs w:val="13"/>
                <w:color w:val="auto"/>
              </w:rPr>
            </w:pPr>
          </w:p>
        </w:tc>
        <w:tc>
          <w:tcPr>
            <w:tcW w:w="178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preferred stock</w:t>
            </w:r>
          </w:p>
        </w:tc>
        <w:tc>
          <w:tcPr>
            <w:tcW w:w="1580" w:type="dxa"/>
            <w:vAlign w:val="bottom"/>
            <w:gridSpan w:val="5"/>
          </w:tcPr>
          <w:p>
            <w:pPr>
              <w:ind w:left="2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8"/>
              </w:rPr>
              <w:t>paid-in</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88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w w:val="97"/>
              </w:rPr>
              <w:t>capital</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2"/>
              </w:rPr>
              <w:t>loss</w:t>
            </w:r>
          </w:p>
        </w:tc>
        <w:tc>
          <w:tcPr>
            <w:tcW w:w="140" w:type="dxa"/>
            <w:vAlign w:val="bottom"/>
          </w:tcPr>
          <w:p>
            <w:pPr>
              <w:spacing w:after="0"/>
              <w:rPr>
                <w:sz w:val="11"/>
                <w:szCs w:val="11"/>
                <w:color w:val="auto"/>
              </w:rPr>
            </w:pPr>
          </w:p>
        </w:tc>
        <w:tc>
          <w:tcPr>
            <w:tcW w:w="7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3"/>
              </w:rPr>
              <w:t>(deficit)</w:t>
            </w:r>
          </w:p>
        </w:tc>
        <w:tc>
          <w:tcPr>
            <w:tcW w:w="0" w:type="dxa"/>
            <w:vAlign w:val="bottom"/>
          </w:tcPr>
          <w:p>
            <w:pPr>
              <w:spacing w:after="0"/>
              <w:rPr>
                <w:sz w:val="1"/>
                <w:szCs w:val="1"/>
                <w:color w:val="auto"/>
              </w:rPr>
            </w:pPr>
          </w:p>
        </w:tc>
      </w:tr>
      <w:tr>
        <w:trPr>
          <w:trHeight w:val="128"/>
        </w:trPr>
        <w:tc>
          <w:tcPr>
            <w:tcW w:w="18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June 30, 2022</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20,576,149</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542,967</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(415,816)</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(211)</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127,146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2,814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ind w:left="20"/>
              <w:spacing w:after="0" w:line="129" w:lineRule="exact"/>
              <w:rPr>
                <w:sz w:val="20"/>
                <w:szCs w:val="20"/>
                <w:color w:val="auto"/>
              </w:rPr>
            </w:pPr>
            <w:r>
              <w:rPr>
                <w:rFonts w:ascii="Arial" w:cs="Arial" w:eastAsia="Arial" w:hAnsi="Arial"/>
                <w:sz w:val="13"/>
                <w:szCs w:val="13"/>
                <w:color w:val="auto"/>
              </w:rPr>
              <w:t>Net loss for the three months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tcPr>
          <w:p>
            <w:pPr>
              <w:ind w:left="20"/>
              <w:spacing w:after="0" w:line="141" w:lineRule="exact"/>
              <w:rPr>
                <w:sz w:val="20"/>
                <w:szCs w:val="20"/>
                <w:color w:val="auto"/>
              </w:rPr>
            </w:pPr>
            <w:r>
              <w:rPr>
                <w:rFonts w:ascii="Arial" w:cs="Arial" w:eastAsia="Arial" w:hAnsi="Arial"/>
                <w:sz w:val="13"/>
                <w:szCs w:val="13"/>
                <w:color w:val="auto"/>
              </w:rPr>
              <w:t>ended September 30, 2022</w:t>
            </w:r>
          </w:p>
        </w:tc>
        <w:tc>
          <w:tcPr>
            <w:tcW w:w="9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(9,830)</w:t>
            </w: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(9,830)</w:t>
            </w: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Cumulative translation</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adjustment</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ind w:left="20"/>
              <w:spacing w:after="0" w:line="113" w:lineRule="exact"/>
              <w:rPr>
                <w:sz w:val="20"/>
                <w:szCs w:val="20"/>
                <w:color w:val="auto"/>
              </w:rPr>
            </w:pPr>
            <w:r>
              <w:rPr>
                <w:rFonts w:ascii="Arial" w:cs="Arial" w:eastAsia="Arial" w:hAnsi="Arial"/>
                <w:sz w:val="13"/>
                <w:szCs w:val="13"/>
                <w:b w:val="1"/>
                <w:bCs w:val="1"/>
                <w:color w:val="auto"/>
              </w:rPr>
              <w:t>Balances as of</w:t>
            </w: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880" w:type="dxa"/>
            <w:vAlign w:val="bottom"/>
            <w:vMerge w:val="continue"/>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vMerge w:val="restart"/>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vMerge w:val="restart"/>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20,578,963</w:t>
            </w:r>
          </w:p>
        </w:tc>
        <w:tc>
          <w:tcPr>
            <w:tcW w:w="16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206</w:t>
            </w:r>
          </w:p>
        </w:tc>
        <w:tc>
          <w:tcPr>
            <w:tcW w:w="140" w:type="dxa"/>
            <w:vAlign w:val="bottom"/>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543,903</w:t>
            </w:r>
          </w:p>
        </w:tc>
        <w:tc>
          <w:tcPr>
            <w:tcW w:w="140" w:type="dxa"/>
            <w:vAlign w:val="bottom"/>
          </w:tcPr>
          <w:p>
            <w:pPr>
              <w:spacing w:after="0"/>
              <w:rPr>
                <w:sz w:val="8"/>
                <w:szCs w:val="8"/>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(425,646)</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(219)</w:t>
            </w:r>
          </w:p>
        </w:tc>
        <w:tc>
          <w:tcPr>
            <w:tcW w:w="1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118,244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88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September 30, 2022</w:t>
            </w:r>
          </w:p>
        </w:tc>
        <w:tc>
          <w:tcPr>
            <w:tcW w:w="8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8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20"/>
              <w:spacing w:after="0" w:line="135" w:lineRule="exact"/>
              <w:rPr>
                <w:sz w:val="20"/>
                <w:szCs w:val="20"/>
                <w:color w:val="auto"/>
              </w:rPr>
            </w:pPr>
            <w:r>
              <w:rPr>
                <w:rFonts w:ascii="Arial" w:cs="Arial" w:eastAsia="Arial" w:hAnsi="Arial"/>
                <w:sz w:val="13"/>
                <w:szCs w:val="13"/>
                <w:color w:val="auto"/>
              </w:rPr>
              <w:t>Balances as of June 30, 2021</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223,541,754</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329,983</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366,342</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59,311</w:t>
            </w:r>
          </w:p>
        </w:tc>
        <w:tc>
          <w:tcPr>
            <w:tcW w:w="14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(378,051)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(195)</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(318,931)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5,853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474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common stock,</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net of offering costs</w:t>
            </w:r>
          </w:p>
        </w:tc>
        <w:tc>
          <w:tcPr>
            <w:tcW w:w="9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8,050,000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133,080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133,161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20"/>
              <w:spacing w:after="0" w:line="135" w:lineRule="exact"/>
              <w:rPr>
                <w:sz w:val="20"/>
                <w:szCs w:val="20"/>
                <w:color w:val="auto"/>
              </w:rPr>
            </w:pPr>
            <w:r>
              <w:rPr>
                <w:rFonts w:ascii="Arial" w:cs="Arial" w:eastAsia="Arial" w:hAnsi="Arial"/>
                <w:sz w:val="13"/>
                <w:szCs w:val="13"/>
                <w:color w:val="auto"/>
              </w:rPr>
              <w:t>Reverse stock split</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Conversion of Series G</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preferred stock</w:t>
            </w:r>
          </w:p>
        </w:tc>
        <w:tc>
          <w:tcPr>
            <w:tcW w:w="9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(223,541,754)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w w:val="96"/>
              </w:rPr>
              <w:t>(329,983)</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11,929,584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347,069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347,188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80" w:type="dxa"/>
            <w:vAlign w:val="bottom"/>
          </w:tcPr>
          <w:p>
            <w:pPr>
              <w:ind w:left="20"/>
              <w:spacing w:after="0" w:line="129" w:lineRule="exact"/>
              <w:rPr>
                <w:sz w:val="20"/>
                <w:szCs w:val="20"/>
                <w:color w:val="auto"/>
              </w:rPr>
            </w:pPr>
            <w:r>
              <w:rPr>
                <w:rFonts w:ascii="Arial" w:cs="Arial" w:eastAsia="Arial" w:hAnsi="Arial"/>
                <w:sz w:val="13"/>
                <w:szCs w:val="13"/>
                <w:color w:val="auto"/>
              </w:rPr>
              <w:t>Net loss for the three months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tcPr>
          <w:p>
            <w:pPr>
              <w:ind w:left="20"/>
              <w:spacing w:after="0" w:line="141" w:lineRule="exact"/>
              <w:rPr>
                <w:sz w:val="20"/>
                <w:szCs w:val="20"/>
                <w:color w:val="auto"/>
              </w:rPr>
            </w:pPr>
            <w:r>
              <w:rPr>
                <w:rFonts w:ascii="Arial" w:cs="Arial" w:eastAsia="Arial" w:hAnsi="Arial"/>
                <w:sz w:val="13"/>
                <w:szCs w:val="13"/>
                <w:color w:val="auto"/>
              </w:rPr>
              <w:t>ended September 30, 2021</w:t>
            </w:r>
          </w:p>
        </w:tc>
        <w:tc>
          <w:tcPr>
            <w:tcW w:w="9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(6,133)</w:t>
            </w: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(6,133)</w:t>
            </w: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Cumulative translation</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adjustment</w:t>
            </w:r>
          </w:p>
        </w:tc>
        <w:tc>
          <w:tcPr>
            <w:tcW w:w="9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88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Balances as of</w:t>
            </w:r>
          </w:p>
        </w:tc>
        <w:tc>
          <w:tcPr>
            <w:tcW w:w="8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September 30, 2021</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20,351,779</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204</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539,941</w:t>
            </w: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(384,184)</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(198)</w:t>
            </w:r>
          </w:p>
        </w:tc>
        <w:tc>
          <w:tcPr>
            <w:tcW w:w="140" w:type="dxa"/>
            <w:vAlign w:val="bottom"/>
          </w:tcPr>
          <w:p>
            <w:pPr>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155,763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17"/>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8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Convertible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7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5"/>
              </w:rPr>
              <w:t>preferred stock</w:t>
            </w:r>
          </w:p>
        </w:tc>
        <w:tc>
          <w:tcPr>
            <w:tcW w:w="144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b w:val="1"/>
                <w:bCs w:val="1"/>
                <w:color w:val="auto"/>
              </w:rPr>
              <w:t>paid-in</w:t>
            </w:r>
          </w:p>
        </w:tc>
        <w:tc>
          <w:tcPr>
            <w:tcW w:w="940" w:type="dxa"/>
            <w:vAlign w:val="bottom"/>
            <w:gridSpan w:val="3"/>
          </w:tcPr>
          <w:p>
            <w:pPr>
              <w:ind w:left="140"/>
              <w:spacing w:after="0"/>
              <w:rPr>
                <w:sz w:val="20"/>
                <w:szCs w:val="20"/>
                <w:color w:val="auto"/>
              </w:rPr>
            </w:pPr>
            <w:r>
              <w:rPr>
                <w:rFonts w:ascii="Arial" w:cs="Arial" w:eastAsia="Arial" w:hAnsi="Arial"/>
                <w:sz w:val="13"/>
                <w:szCs w:val="13"/>
                <w:b w:val="1"/>
                <w:bCs w:val="1"/>
                <w:color w:val="auto"/>
                <w:w w:val="95"/>
              </w:rPr>
              <w:t>Accumulated</w:t>
            </w:r>
          </w:p>
        </w:tc>
        <w:tc>
          <w:tcPr>
            <w:tcW w:w="1080" w:type="dxa"/>
            <w:vAlign w:val="bottom"/>
            <w:gridSpan w:val="3"/>
          </w:tcPr>
          <w:p>
            <w:pPr>
              <w:ind w:left="140"/>
              <w:spacing w:after="0"/>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7"/>
              <w:spacing w:after="0" w:line="129" w:lineRule="exact"/>
              <w:rPr>
                <w:sz w:val="20"/>
                <w:szCs w:val="20"/>
                <w:color w:val="auto"/>
              </w:rPr>
            </w:pPr>
            <w:r>
              <w:rPr>
                <w:rFonts w:ascii="Arial" w:cs="Arial" w:eastAsia="Arial" w:hAnsi="Arial"/>
                <w:sz w:val="13"/>
                <w:szCs w:val="13"/>
                <w:b w:val="1"/>
                <w:bCs w:val="1"/>
                <w:color w:val="auto"/>
                <w:w w:val="99"/>
              </w:rPr>
              <w:t>loss</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77"/>
              <w:spacing w:after="0" w:line="129" w:lineRule="exact"/>
              <w:rPr>
                <w:sz w:val="20"/>
                <w:szCs w:val="20"/>
                <w:color w:val="auto"/>
              </w:rPr>
            </w:pPr>
            <w:r>
              <w:rPr>
                <w:rFonts w:ascii="Arial" w:cs="Arial" w:eastAsia="Arial" w:hAnsi="Arial"/>
                <w:sz w:val="13"/>
                <w:szCs w:val="13"/>
                <w:b w:val="1"/>
                <w:bCs w:val="1"/>
                <w:color w:val="auto"/>
                <w:w w:val="97"/>
              </w:rPr>
              <w:t>(deficit)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Balances as of</w:t>
            </w: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December 31, 2021</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8"/>
              </w:rPr>
              <w:t>20,399,337</w:t>
            </w:r>
          </w:p>
        </w:tc>
        <w:tc>
          <w:tcPr>
            <w:tcW w:w="2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204</w:t>
            </w:r>
          </w:p>
        </w:tc>
        <w:tc>
          <w:tcPr>
            <w:tcW w:w="22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540,707</w:t>
            </w:r>
          </w:p>
        </w:tc>
        <w:tc>
          <w:tcPr>
            <w:tcW w:w="28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(394,754)</w:t>
            </w:r>
          </w:p>
        </w:tc>
        <w:tc>
          <w:tcPr>
            <w:tcW w:w="22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(198)</w:t>
            </w:r>
          </w:p>
        </w:tc>
        <w:tc>
          <w:tcPr>
            <w:tcW w:w="28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145,959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121,945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Proceeds from Employee</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Stock Purchase Plan</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57,681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294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line="135" w:lineRule="exact"/>
              <w:rPr>
                <w:sz w:val="20"/>
                <w:szCs w:val="20"/>
                <w:color w:val="auto"/>
              </w:rPr>
            </w:pPr>
            <w:r>
              <w:rPr>
                <w:rFonts w:ascii="Arial" w:cs="Arial" w:eastAsia="Arial" w:hAnsi="Arial"/>
                <w:sz w:val="13"/>
                <w:szCs w:val="13"/>
                <w:color w:val="auto"/>
              </w:rPr>
              <w:t>Employee stock compensation</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2,822</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2,822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loss for the nine months</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ended September 30, 2022</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(30,892)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(30,892)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line="129" w:lineRule="exact"/>
              <w:rPr>
                <w:sz w:val="20"/>
                <w:szCs w:val="20"/>
                <w:color w:val="auto"/>
              </w:rPr>
            </w:pPr>
            <w:r>
              <w:rPr>
                <w:rFonts w:ascii="Arial" w:cs="Arial" w:eastAsia="Arial" w:hAnsi="Arial"/>
                <w:sz w:val="13"/>
                <w:szCs w:val="13"/>
                <w:color w:val="auto"/>
              </w:rPr>
              <w:t>Cumulative translation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gridSpan w:val="2"/>
          </w:tcPr>
          <w:p>
            <w:pPr>
              <w:spacing w:after="0" w:line="141" w:lineRule="exact"/>
              <w:rPr>
                <w:sz w:val="20"/>
                <w:szCs w:val="20"/>
                <w:color w:val="auto"/>
              </w:rPr>
            </w:pPr>
            <w:r>
              <w:rPr>
                <w:rFonts w:ascii="Arial" w:cs="Arial" w:eastAsia="Arial" w:hAnsi="Arial"/>
                <w:sz w:val="13"/>
                <w:szCs w:val="13"/>
                <w:color w:val="auto"/>
              </w:rPr>
              <w:t>adjustment</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Balances as of</w:t>
            </w: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1860" w:type="dxa"/>
            <w:vAlign w:val="bottom"/>
            <w:vMerge w:val="continue"/>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20,578,963</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206</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543,903</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(425,646)</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(219)</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118,244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September 30, 2022</w:t>
            </w:r>
          </w:p>
        </w:tc>
        <w:tc>
          <w:tcPr>
            <w:tcW w:w="8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Balances as of</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December 31, 2020</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223,541,754</w:t>
            </w:r>
          </w:p>
        </w:tc>
        <w:tc>
          <w:tcPr>
            <w:tcW w:w="24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329,983</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360,412</w:t>
            </w:r>
          </w:p>
        </w:tc>
        <w:tc>
          <w:tcPr>
            <w:tcW w:w="2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w:t>
            </w:r>
          </w:p>
        </w:tc>
        <w:tc>
          <w:tcPr>
            <w:tcW w:w="22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58,624</w:t>
            </w:r>
          </w:p>
        </w:tc>
        <w:tc>
          <w:tcPr>
            <w:tcW w:w="28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(351,676)</w:t>
            </w:r>
          </w:p>
        </w:tc>
        <w:tc>
          <w:tcPr>
            <w:tcW w:w="22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(190)</w:t>
            </w:r>
          </w:p>
        </w:tc>
        <w:tc>
          <w:tcPr>
            <w:tcW w:w="28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(293,238)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11,783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 stock compensation</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line="129" w:lineRule="exact"/>
              <w:rPr>
                <w:sz w:val="20"/>
                <w:szCs w:val="20"/>
                <w:color w:val="auto"/>
              </w:rPr>
            </w:pPr>
            <w:r>
              <w:rPr>
                <w:rFonts w:ascii="Arial" w:cs="Arial" w:eastAsia="Arial" w:hAnsi="Arial"/>
                <w:sz w:val="13"/>
                <w:szCs w:val="13"/>
                <w:color w:val="auto"/>
              </w:rPr>
              <w:t>Issuance of common stock,</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gridSpan w:val="2"/>
          </w:tcPr>
          <w:p>
            <w:pPr>
              <w:spacing w:after="0" w:line="141" w:lineRule="exact"/>
              <w:rPr>
                <w:sz w:val="20"/>
                <w:szCs w:val="20"/>
                <w:color w:val="auto"/>
              </w:rPr>
            </w:pPr>
            <w:r>
              <w:rPr>
                <w:rFonts w:ascii="Arial" w:cs="Arial" w:eastAsia="Arial" w:hAnsi="Arial"/>
                <w:sz w:val="13"/>
                <w:szCs w:val="13"/>
                <w:color w:val="auto"/>
              </w:rPr>
              <w:t>net of offering costs</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8,050,000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133,080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133,161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Reverse stock split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line="129" w:lineRule="exact"/>
              <w:rPr>
                <w:sz w:val="20"/>
                <w:szCs w:val="20"/>
                <w:color w:val="auto"/>
              </w:rPr>
            </w:pPr>
            <w:r>
              <w:rPr>
                <w:rFonts w:ascii="Arial" w:cs="Arial" w:eastAsia="Arial" w:hAnsi="Arial"/>
                <w:sz w:val="13"/>
                <w:szCs w:val="13"/>
                <w:color w:val="auto"/>
              </w:rPr>
              <w:t>Conversion of Series G</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gridSpan w:val="2"/>
          </w:tcPr>
          <w:p>
            <w:pPr>
              <w:spacing w:after="0" w:line="141" w:lineRule="exact"/>
              <w:rPr>
                <w:sz w:val="20"/>
                <w:szCs w:val="20"/>
                <w:color w:val="auto"/>
              </w:rPr>
            </w:pPr>
            <w:r>
              <w:rPr>
                <w:rFonts w:ascii="Arial" w:cs="Arial" w:eastAsia="Arial" w:hAnsi="Arial"/>
                <w:sz w:val="13"/>
                <w:szCs w:val="13"/>
                <w:color w:val="auto"/>
              </w:rPr>
              <w:t>preferred stock</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w w:val="98"/>
              </w:rPr>
              <w:t>(223,541,754)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w w:val="96"/>
              </w:rPr>
              <w:t>(329,983)</w:t>
            </w: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w w:val="98"/>
              </w:rPr>
              <w:t>11,929,584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119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347,069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347,188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loss for the nine months</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ended September 30, 2021</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(32,508)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(32,508)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line="129" w:lineRule="exact"/>
              <w:rPr>
                <w:sz w:val="20"/>
                <w:szCs w:val="20"/>
                <w:color w:val="auto"/>
              </w:rPr>
            </w:pPr>
            <w:r>
              <w:rPr>
                <w:rFonts w:ascii="Arial" w:cs="Arial" w:eastAsia="Arial" w:hAnsi="Arial"/>
                <w:sz w:val="13"/>
                <w:szCs w:val="13"/>
                <w:color w:val="auto"/>
              </w:rPr>
              <w:t>Cumulative translation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gridSpan w:val="2"/>
          </w:tcPr>
          <w:p>
            <w:pPr>
              <w:spacing w:after="0" w:line="141" w:lineRule="exact"/>
              <w:rPr>
                <w:sz w:val="20"/>
                <w:szCs w:val="20"/>
                <w:color w:val="auto"/>
              </w:rPr>
            </w:pPr>
            <w:r>
              <w:rPr>
                <w:rFonts w:ascii="Arial" w:cs="Arial" w:eastAsia="Arial" w:hAnsi="Arial"/>
                <w:sz w:val="13"/>
                <w:szCs w:val="13"/>
                <w:color w:val="auto"/>
              </w:rPr>
              <w:t>adjustment</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86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Balances as of</w:t>
            </w: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20,351,779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539,941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(384,184)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155,763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2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(30,892)</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(32,508)</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1,159</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Changes in fair value of convertible preferred stock warrants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13,294</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(2,140)</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(2,184)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(2,359)</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766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1,558</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(31,836)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(20,717)</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(645)</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(645)</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Employee Stock Purchase Plan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related to reverse stock split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Proceeds from the issuance of common stock, net of offering costs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133,161</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133,170</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(32,087)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111,801</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142,072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59,112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109,985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170,913</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1,522</w:t>
            </w:r>
          </w:p>
        </w:tc>
      </w:tr>
      <w:tr>
        <w:trPr>
          <w:trHeight w:val="217"/>
        </w:trPr>
        <w:tc>
          <w:tcPr>
            <w:tcW w:w="6280" w:type="dxa"/>
            <w:vAlign w:val="bottom"/>
          </w:tcPr>
          <w:p>
            <w:pPr>
              <w:ind w:left="100"/>
              <w:spacing w:after="0"/>
              <w:rPr>
                <w:sz w:val="20"/>
                <w:szCs w:val="20"/>
                <w:color w:val="auto"/>
              </w:rPr>
            </w:pPr>
            <w:r>
              <w:rPr>
                <w:rFonts w:ascii="Arial" w:cs="Arial" w:eastAsia="Arial" w:hAnsi="Arial"/>
                <w:sz w:val="18"/>
                <w:szCs w:val="18"/>
                <w:color w:val="auto"/>
              </w:rPr>
              <w:t>Cash paid for income taxes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3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203"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spacing w:after="0" w:line="208" w:lineRule="exact"/>
        <w:rPr>
          <w:sz w:val="20"/>
          <w:szCs w:val="20"/>
          <w:color w:val="auto"/>
        </w:rPr>
      </w:pPr>
    </w:p>
    <w:p>
      <w:pPr>
        <w:ind w:left="60" w:right="419"/>
        <w:spacing w:after="0"/>
        <w:rPr>
          <w:sz w:val="20"/>
          <w:szCs w:val="20"/>
          <w:color w:val="auto"/>
        </w:rPr>
      </w:pPr>
      <w:r>
        <w:rPr>
          <w:rFonts w:ascii="Arial" w:cs="Arial" w:eastAsia="Arial" w:hAnsi="Arial"/>
          <w:sz w:val="18"/>
          <w:szCs w:val="18"/>
          <w:color w:val="auto"/>
        </w:rPr>
        <w:t>The condensed consolidated financial statements include the accounts of CVRx, Inc., its wholly owned subsidiary, CVRx Switzerland LLC, and its sales branch in Italy. All intercompany balances and transactions have been eliminated in consolidation.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The Company is an emerging growth company under the Jumpstart Our Business Startups Act of 2012 (the “JOBS Act”). As a result, the Company has elected to take advantage of certain exemptions from various reporting requirements that are applicable to other public companies that are not emerging growth companies.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34"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color w:val="auto"/>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September 30, 2022 and December 31, 2021, cash equivalents consisted of money market funds, which are stated at cost and approximate fair value.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do not record an allowance on our trade accounts receivable but monitor the collectability of individual customer accounts on an ongoing basis.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The Company regularly reviews inventory quantities in consideration of actual loss experiences, projected future demand and remaining shelf life to record a provision for excess and obsolete inventory when appropriate.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34"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ind w:left="60" w:right="299"/>
        <w:spacing w:after="0" w:line="261" w:lineRule="auto"/>
        <w:rPr>
          <w:sz w:val="20"/>
          <w:szCs w:val="20"/>
          <w:color w:val="auto"/>
        </w:rPr>
      </w:pPr>
      <w:r>
        <w:rPr>
          <w:rFonts w:ascii="Arial" w:cs="Arial" w:eastAsia="Arial" w:hAnsi="Arial"/>
          <w:sz w:val="17"/>
          <w:szCs w:val="17"/>
          <w:color w:val="auto"/>
        </w:rPr>
        <w:t>The Company sells its products primarily through a direct sales force and to a lesser extent through a combination of sales agents and independent distributors. The Company’s revenue consists primarily of the sale of its Barostim, which consists of two implantable components: a pulse generator and a stimulation lead.</w:t>
      </w:r>
    </w:p>
    <w:p>
      <w:pPr>
        <w:spacing w:after="0" w:line="168"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 xml:space="preserve">Under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The Company recognizes net revenue on product sales when the customer obtains control of the Company’s product, which generally occurs at a point in time upon delivery based on the contractual shipping terms of a contract.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34"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 We account for forfeitures as they occur. We expense the fair value of our equity-based compensation awards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granted to employees on a straight-line basis over the associated service period, which is generally the period in which the related services are received.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 xml:space="preserve">On January 1, 2022, the Company adopted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utilizing the alternative modified retrospective transition approach. Under the alternative modified retrospective transition approach, the reported results for 2022 reflect the application of Topic 842 guidance, whereas comparative periods and their respective disclosures prior to the adoption of Topic 842 are presented using the legacy guidance of ASC 840. As a result of adopting the new standard, the Company recognized ROU assets of $579,000 and lease liabilities of $561,000 as of January 1, 2022. The lease liabilities represent the present value of the remaining lease payments, discounted using the Company’s incremental borrowing rate as of January 1, 2022. The corresponding ROU assets are recorded based on the lease liabilities and the cumulative difference between rent expense and the amounts paid under the lease. The Company did not elect any practical expedients.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5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2,139</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1,593</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3,008</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6,064</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5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5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3,899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3,293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Depreciation expense was $127,000 and $42,000 for the three months ended September 30, 2022 and 2021, respectively, and $284,000 and $112,000 for the nine months ended September 30, 2022 and 2021, respectively.</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line="196" w:lineRule="exact"/>
              <w:rPr>
                <w:sz w:val="20"/>
                <w:szCs w:val="20"/>
                <w:color w:val="auto"/>
              </w:rPr>
            </w:pPr>
            <w:r>
              <w:rPr>
                <w:rFonts w:ascii="Arial" w:cs="Arial" w:eastAsia="Arial" w:hAnsi="Arial"/>
                <w:sz w:val="18"/>
                <w:szCs w:val="18"/>
                <w:color w:val="auto"/>
              </w:rPr>
              <w:t>Bonuses</w:t>
            </w:r>
          </w:p>
        </w:tc>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2,048</w:t>
            </w:r>
          </w:p>
        </w:tc>
        <w:tc>
          <w:tcPr>
            <w:tcW w:w="16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Clinical trial and other professional fees</w:t>
            </w:r>
          </w:p>
        </w:tc>
        <w:tc>
          <w:tcPr>
            <w:tcW w:w="2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Paid time off</w:t>
            </w:r>
          </w:p>
        </w:tc>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853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2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6,120</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00" w:type="dxa"/>
            <w:vAlign w:val="bottom"/>
            <w:vMerge w:val="restart"/>
          </w:tcPr>
          <w:p>
            <w:pPr>
              <w:jc w:val="right"/>
              <w:ind w:right="19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Fair value measurements</w:t>
      </w:r>
    </w:p>
    <w:p>
      <w:pPr>
        <w:spacing w:after="0" w:line="23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Fair value is defined as the price that would be received upon the sale of an asset or paid to transfer a liability in an orderly transaction between market participants on the measurement date. Valuation techniques used to measure fair value maximize the use of observable inputs and minimize the use of unobservable inputs. The fair value hierarchy defines a three-level valuation hierarchy for disclosure of fair value measurements as follows:</w:t>
      </w:r>
    </w:p>
    <w:p>
      <w:pPr>
        <w:spacing w:after="0" w:line="202"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are quoted prices in active markets for identical assets or liabilities.</w:t>
      </w:r>
    </w:p>
    <w:p>
      <w:pPr>
        <w:spacing w:after="0" w:line="225" w:lineRule="exact"/>
        <w:rPr>
          <w:rFonts w:ascii="Arial" w:cs="Arial" w:eastAsia="Arial" w:hAnsi="Arial"/>
          <w:sz w:val="18"/>
          <w:szCs w:val="18"/>
          <w:color w:val="auto"/>
        </w:rPr>
      </w:pPr>
    </w:p>
    <w:p>
      <w:pPr>
        <w:ind w:left="380" w:right="299"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202" w:lineRule="exact"/>
        <w:rPr>
          <w:rFonts w:ascii="Arial" w:cs="Arial" w:eastAsia="Arial" w:hAnsi="Arial"/>
          <w:sz w:val="18"/>
          <w:szCs w:val="18"/>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are unobservable for the asset or liability.</w:t>
      </w:r>
    </w:p>
    <w:p>
      <w:pPr>
        <w:spacing w:after="0" w:line="225" w:lineRule="exact"/>
        <w:rPr>
          <w:sz w:val="20"/>
          <w:szCs w:val="20"/>
          <w:color w:val="auto"/>
        </w:rPr>
      </w:pPr>
    </w:p>
    <w:p>
      <w:pPr>
        <w:ind w:left="60" w:right="419"/>
        <w:spacing w:after="0" w:line="246" w:lineRule="auto"/>
        <w:rPr>
          <w:sz w:val="20"/>
          <w:szCs w:val="20"/>
          <w:color w:val="auto"/>
        </w:rPr>
      </w:pPr>
      <w:r>
        <w:rPr>
          <w:rFonts w:ascii="Arial" w:cs="Arial" w:eastAsia="Arial" w:hAnsi="Arial"/>
          <w:sz w:val="18"/>
          <w:szCs w:val="18"/>
          <w:color w:val="auto"/>
        </w:rPr>
        <w:t>There was no convertible preferred stock warranty liability as of the periods ended September 30, 2022 and December 31, 2021.</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Company’s recurring fair value measurements using significant unobservable inputs (Level 3) related solely to the Company’s convertible preferred stock warrant liability. The convertible preferred stock warrant liability was remeasured at each financial reporting period with any changes in fair value being recognized as a component of other income (expense), net in the condensed consolidated statements of operations and comprehensive loss. In connection with the closing of the initial public offering (“IPO”), all of the outstanding convertible preferred stock warrants were converted to common stock warrants. The related liability was remeasured at the time of the IPO and reclassed to additional paid-in capital.</w:t>
      </w:r>
    </w:p>
    <w:p>
      <w:pPr>
        <w:spacing w:after="0" w:line="203"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The following table sets forth a summary of changes in the estimated fair value of the Company’s convertible preferred stock warrants during the nine months ended:</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8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68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of the period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03"/>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13,294</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Conversion to common stock warrants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(17,205)</w:t>
            </w:r>
          </w:p>
        </w:tc>
        <w:tc>
          <w:tcPr>
            <w:tcW w:w="0" w:type="dxa"/>
            <w:vAlign w:val="bottom"/>
          </w:tcPr>
          <w:p>
            <w:pPr>
              <w:spacing w:after="0"/>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End of the period</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8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spacing w:after="0" w:line="246" w:lineRule="auto"/>
        <w:rPr>
          <w:sz w:val="20"/>
          <w:szCs w:val="20"/>
          <w:color w:val="auto"/>
        </w:rPr>
      </w:pPr>
      <w:r>
        <w:rPr>
          <w:rFonts w:ascii="Arial" w:cs="Arial" w:eastAsia="Arial" w:hAnsi="Arial"/>
          <w:sz w:val="18"/>
          <w:szCs w:val="18"/>
          <w:color w:val="auto"/>
        </w:rPr>
        <w:t>There were no transfers in or out of Level 1, Level 2 or Level 3 fair value measurements during the periods ended September 30, 2022 and 2021.</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38"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We lease 23,890 square feet of office space in Minneapolis, Minnesota, which houses our principal executive offices and our manufacturing facility. We lease this space under an operating lease agreement that commenced December 1, 2008 and expires July 31, 2024. We intend to add new facilities as we grow, and we believe that suitable additional or substitute space will be available as needed to accommodate any such expansion of our operations. Our operating lease agreement includes an option to renew for one additional period of five years. The exercise of the lease renewal option is at our sole discretion and was not included in the lease term for the calculation of the ROU asset and lease liability upon adoption of ASC 842 on January 1, 2022, as it is not reasonably certain of exercise.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addition to base rent, we will also pay our proportionate share of operating expenses, as defined in the lease. These payments will be made monthly and will be adjusted annually to reflect actual charges incurred for operating expenses, such as common area maintenance, taxes and insurance.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7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w:t>
            </w:r>
          </w:p>
        </w:tc>
        <w:tc>
          <w:tcPr>
            <w:tcW w:w="4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76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20"/>
              <w:spacing w:after="0"/>
              <w:rPr>
                <w:sz w:val="20"/>
                <w:szCs w:val="20"/>
                <w:color w:val="auto"/>
              </w:rPr>
            </w:pPr>
            <w:r>
              <w:rPr>
                <w:rFonts w:ascii="Arial" w:cs="Arial" w:eastAsia="Arial" w:hAnsi="Arial"/>
                <w:sz w:val="18"/>
                <w:szCs w:val="18"/>
                <w:color w:val="auto"/>
              </w:rPr>
              <w:t>Maturities of our lease liability for our operating lease are as follows as of September 30, 2022:</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6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76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73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2022</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76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76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22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As of September 30, 2022, the remaining lease term was 1.8 years and the discount rate was 5.0%. The operating cash outflows from our operating lease were $0.3 million for the nine months ended September 30, 2022.</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July 2, 2021, the Company closed its IPO of 8,050,000 shares of its common stock at a public offering price of $18.00 per share, which included 1,050,000 shares of common stock issued upon the exercise in full by the underwriters of their option to purchase additional shares, for net proceeds from the IPO, after deducting the underwriting discount and other offering expenses payable by the Company totaling $1.6 million, of $133.2 million.</w:t>
      </w:r>
    </w:p>
    <w:p>
      <w:pPr>
        <w:spacing w:after="0" w:line="20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Upon the closing of the IPO, all shares of convertible preferred stock were automatically converted into common stock. Series G convertible preferred stock was converted into common stock on a 15.819-for-1 basis, and all other shares of convertible preferred stock were automatically converted into common stock on a 39.548-for-1 basis. The conversion of the outstanding preferred stock resulted in an aggregate of 11,929,584 shares of common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Reverse Stock Split</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connection with the IPO, the Company’s Board of Directors and stockholders approved a 1-for-39.548 reverse stock split of the Company’s common stock. The reverse stock split became effective on June 22, 2021. The par value of the common stock was not adjusted as a result of the reverse stock split. Adjustments corresponding to the reverse stock split were made to the ratio at which the convertible preferred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converted into common stock in connection with the closing of the IPO. Accordingly, all share and per-share amounts for all periods presented in these financial statements and notes thereto have been adjusted retroactively, where applicable, to reflect the reverse stock split and the adjustment of the conversion ratio of the convertible preferred stock.</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connection with the IPO, the warrants to purchase shares of convertible preferred stock automatically converted into warrants to purchase common stock, resulting in the reclassification of the related convertible preferred stock warrant liability to additional paid-in capital. Upon the closing of the IPO, these warrants to purchase convertible preferred stock became exercisable for 716,131 shares of common stock upon conversion at a weighted average exercise price of $2.39 per share.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In June 2001, the Company’s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202"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In connection with the IPO in 2021, the Company’s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will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annual increase resulted in an additional 1,019,967 shares being reserved for issuance under the 2021 Plan as of January 1, 2022.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September 30, 2022, there were 1,576,113 shares available for future issuance under the 2021 Plan.</w:t>
      </w:r>
    </w:p>
    <w:p>
      <w:pPr>
        <w:spacing w:after="0" w:line="213"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the Company’s common stock on the date of grant.</w:t>
      </w:r>
    </w:p>
    <w:p>
      <w:pPr>
        <w:spacing w:after="0" w:line="197"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During the years 2008 through September 30, 2022, the Board of Directors authorized the grant of stock options for the purchase of shares of common stock to the employers of certain non-employee directors. The options were not granted under the 2001 Plan or the 2021 Plan, but terms are substantially the same as the Company’s standard form of option agreement for non-employee directors as they have an exercise price not less than the fair market value on the grant date and vest over 48 months from the date of grant.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140" w:type="dxa"/>
            <w:vAlign w:val="bottom"/>
            <w:gridSpan w:val="2"/>
          </w:tcPr>
          <w:p>
            <w:pPr>
              <w:jc w:val="center"/>
              <w:ind w:left="466"/>
              <w:spacing w:after="0"/>
              <w:rPr>
                <w:sz w:val="20"/>
                <w:szCs w:val="20"/>
                <w:color w:val="auto"/>
              </w:rPr>
            </w:pPr>
            <w:r>
              <w:rPr>
                <w:rFonts w:ascii="Arial" w:cs="Arial" w:eastAsia="Arial" w:hAnsi="Arial"/>
                <w:sz w:val="14"/>
                <w:szCs w:val="14"/>
                <w:b w:val="1"/>
                <w:bCs w:val="1"/>
                <w:color w:val="auto"/>
              </w:rPr>
              <w:t>Intrinsic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7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w:t>
            </w:r>
          </w:p>
        </w:tc>
        <w:tc>
          <w:tcPr>
            <w:tcW w:w="660" w:type="dxa"/>
            <w:vAlign w:val="bottom"/>
          </w:tcPr>
          <w:p>
            <w:pPr>
              <w:spacing w:after="0"/>
              <w:rPr>
                <w:sz w:val="17"/>
                <w:szCs w:val="17"/>
                <w:color w:val="auto"/>
              </w:rPr>
            </w:pPr>
          </w:p>
        </w:tc>
        <w:tc>
          <w:tcPr>
            <w:tcW w:w="480" w:type="dxa"/>
            <w:vAlign w:val="bottom"/>
          </w:tcPr>
          <w:p>
            <w:pPr>
              <w:jc w:val="center"/>
              <w:ind w:right="24"/>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2,749,441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spacing w:after="0"/>
              <w:rPr>
                <w:sz w:val="20"/>
                <w:szCs w:val="20"/>
                <w:color w:val="auto"/>
              </w:rPr>
            </w:pPr>
            <w:r>
              <w:rPr>
                <w:rFonts w:ascii="Arial" w:cs="Arial" w:eastAsia="Arial" w:hAnsi="Arial"/>
                <w:sz w:val="16"/>
                <w:szCs w:val="16"/>
                <w:color w:val="auto"/>
              </w:rPr>
              <w:t>1,406,783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7.87</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Cancelled / Forfeited</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(310,780)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(121,945)</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0.67</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Balance as of September 30, 2022</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3,723,499</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auto"/>
            </w:tcBorders>
            <w:shd w:val="clear" w:color="auto" w:fill="CCEEFF"/>
          </w:tcPr>
          <w:p>
            <w:pPr>
              <w:jc w:val="right"/>
              <w:ind w:right="304"/>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10,623</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Arial" w:cs="Arial" w:eastAsia="Arial" w:hAnsi="Arial"/>
                <w:sz w:val="16"/>
                <w:szCs w:val="16"/>
                <w:color w:val="auto"/>
              </w:rPr>
              <w:t>Options exercisable as of September 30, 2022</w:t>
            </w: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5.96</w:t>
            </w: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80" w:type="dxa"/>
            <w:vAlign w:val="bottom"/>
            <w:vMerge w:val="continue"/>
          </w:tcPr>
          <w:p>
            <w:pPr>
              <w:spacing w:after="0"/>
              <w:rPr>
                <w:sz w:val="15"/>
                <w:szCs w:val="15"/>
                <w:color w:val="auto"/>
              </w:rPr>
            </w:pPr>
          </w:p>
        </w:tc>
        <w:tc>
          <w:tcPr>
            <w:tcW w:w="1020" w:type="dxa"/>
            <w:vAlign w:val="bottom"/>
          </w:tcPr>
          <w:p>
            <w:pPr>
              <w:jc w:val="right"/>
              <w:spacing w:after="0" w:line="177" w:lineRule="exact"/>
              <w:rPr>
                <w:sz w:val="20"/>
                <w:szCs w:val="20"/>
                <w:color w:val="auto"/>
              </w:rPr>
            </w:pPr>
            <w:r>
              <w:rPr>
                <w:rFonts w:ascii="Arial" w:cs="Arial" w:eastAsia="Arial" w:hAnsi="Arial"/>
                <w:sz w:val="16"/>
                <w:szCs w:val="16"/>
                <w:color w:val="auto"/>
              </w:rPr>
              <w:t>1,547,838</w:t>
            </w:r>
          </w:p>
        </w:tc>
        <w:tc>
          <w:tcPr>
            <w:tcW w:w="2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304"/>
              <w:spacing w:after="0" w:line="177"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77" w:lineRule="exact"/>
              <w:rPr>
                <w:sz w:val="20"/>
                <w:szCs w:val="20"/>
                <w:color w:val="auto"/>
              </w:rPr>
            </w:pPr>
            <w:r>
              <w:rPr>
                <w:rFonts w:ascii="Arial" w:cs="Arial" w:eastAsia="Arial" w:hAnsi="Arial"/>
                <w:sz w:val="16"/>
                <w:szCs w:val="16"/>
                <w:color w:val="auto"/>
              </w:rPr>
              <w:t>7,581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As of September 30, 2022, stock options outstanding included 8,796 options that were not granted under the 2001 Plan or the 2021 Plan. For options outstanding as of September 30, 2022, the weighted average remaining contractual life was 8.0 years. For options exercisable as of September 30, 2022, the weighted average remaining contractual life was 6.7 years.</w:t>
      </w:r>
    </w:p>
    <w:p>
      <w:pPr>
        <w:spacing w:after="0" w:line="20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connection with the IPO, the Company’s Board of Directors and stockholders also established an Employee Stock Purchase Plan (the “ESPP”). The number of shares of common stock initially reserved for issuance under the ESPP was 278,170. The shares available for issuance under the ESPP will automatically increase on the first day of each year, commencing January 1, 2022, and ending on (and including) January 1, 2031, in an amount equal to 1% of the total number of shares of the Company’s common stock outstanding on the last day of the calendar month before the date of each automatic increase, or such lesser number of shares as determined by the Board of Directors. The annual increase resulted in an additional 203,993 shares being reserved for issuance under the ESPP as of January 1, 2022. The ESPP will permit certain of the Company’s U.S. employees to purchase shares of the Company’s common stock at a price per share not less than 85% of the lower of (i) the closing market price per share of the Company’s common stock on the first day of the applicable purchase period or (ii) the closing market price per share of the Company’s common stock on the purchase date at the end of the applicable six-month purchase period. The first purchase date under the ESPP was June 30, 2022. Accordingly, as of September 30, 2022, 57,681 shares of common stock have been purchased under the ESPP for $0.3 million of employee contributions. As of September 30, 2022, there were 424,482 shares available for issuance under the ESPP.</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uses the Black-Scholes option pricing model to determine the fair value of stock options and ESPP purchase rights on the grant date. The Company measures stock-based compensation expense based on the grant date fair value of the award and recognizes compensation expense over the requisite service period, which is generally the vesting period for stock options and the offering period for ESPP purchase rights. The amount of stock-based compensation expense recognized for stock option awards during a period is based on the portion of the awards that are ultimately expected to vest. The amount of stock-based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59"/>
        <w:spacing w:after="0" w:line="246" w:lineRule="auto"/>
        <w:rPr>
          <w:sz w:val="20"/>
          <w:szCs w:val="20"/>
          <w:color w:val="auto"/>
        </w:rPr>
      </w:pPr>
      <w:r>
        <w:rPr>
          <w:rFonts w:ascii="Arial" w:cs="Arial" w:eastAsia="Arial" w:hAnsi="Arial"/>
          <w:sz w:val="18"/>
          <w:szCs w:val="18"/>
          <w:color w:val="auto"/>
        </w:rPr>
        <w:t>compensation expense recognized for ESPP purchase rights during a period is based on the estimated purchase rights as of the grant date. The Company accounts for forfeitures as they occur.</w:t>
      </w:r>
    </w:p>
    <w:p>
      <w:pPr>
        <w:spacing w:after="0" w:line="197"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The following table provides the weighted average fair value of options granted to employees and the related assumptions used in the Black-Scholes option pricing model for the nine months ended September 30, 2022 and 2021:</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59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options granted</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 to 6.1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2.7 to 6.1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to 6.1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r>
    </w:tbl>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Arial" w:cs="Arial" w:eastAsia="Arial" w:hAnsi="Arial"/>
                <w:sz w:val="18"/>
                <w:szCs w:val="18"/>
                <w:color w:val="auto"/>
              </w:rPr>
              <w:t>Expected volatility</w:t>
            </w:r>
          </w:p>
        </w:tc>
        <w:tc>
          <w:tcPr>
            <w:tcW w:w="3500" w:type="dxa"/>
            <w:vAlign w:val="bottom"/>
          </w:tcPr>
          <w:p>
            <w:pPr>
              <w:jc w:val="right"/>
              <w:spacing w:after="0"/>
              <w:rPr>
                <w:sz w:val="20"/>
                <w:szCs w:val="20"/>
                <w:color w:val="auto"/>
              </w:rPr>
            </w:pPr>
            <w:r>
              <w:rPr>
                <w:rFonts w:ascii="Arial" w:cs="Arial" w:eastAsia="Arial" w:hAnsi="Arial"/>
                <w:sz w:val="18"/>
                <w:szCs w:val="18"/>
                <w:color w:val="auto"/>
              </w:rPr>
              <w:t>56.3% to 58.6 %</w:t>
            </w:r>
          </w:p>
        </w:tc>
        <w:tc>
          <w:tcPr>
            <w:tcW w:w="1400" w:type="dxa"/>
            <w:vAlign w:val="bottom"/>
          </w:tcPr>
          <w:p>
            <w:pPr>
              <w:jc w:val="right"/>
              <w:spacing w:after="0"/>
              <w:rPr>
                <w:sz w:val="20"/>
                <w:szCs w:val="20"/>
                <w:color w:val="auto"/>
              </w:rPr>
            </w:pPr>
            <w:r>
              <w:rPr>
                <w:rFonts w:ascii="Arial" w:cs="Arial" w:eastAsia="Arial" w:hAnsi="Arial"/>
                <w:sz w:val="18"/>
                <w:szCs w:val="18"/>
                <w:color w:val="auto"/>
              </w:rPr>
              <w:t>56.1% to 63.4 %</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00" w:type="dxa"/>
            <w:vAlign w:val="bottom"/>
          </w:tcPr>
          <w:p>
            <w:pPr>
              <w:jc w:val="right"/>
              <w:spacing w:after="0"/>
              <w:rPr>
                <w:sz w:val="20"/>
                <w:szCs w:val="20"/>
                <w:color w:val="auto"/>
              </w:rPr>
            </w:pPr>
            <w:r>
              <w:rPr>
                <w:rFonts w:ascii="Arial" w:cs="Arial" w:eastAsia="Arial" w:hAnsi="Arial"/>
                <w:sz w:val="18"/>
                <w:szCs w:val="18"/>
                <w:color w:val="auto"/>
              </w:rPr>
              <w:t>1.75% to 3.97 %</w:t>
            </w:r>
          </w:p>
        </w:tc>
        <w:tc>
          <w:tcPr>
            <w:tcW w:w="1400" w:type="dxa"/>
            <w:vAlign w:val="bottom"/>
          </w:tcPr>
          <w:p>
            <w:pPr>
              <w:jc w:val="right"/>
              <w:spacing w:after="0"/>
              <w:rPr>
                <w:sz w:val="20"/>
                <w:szCs w:val="20"/>
                <w:color w:val="auto"/>
              </w:rPr>
            </w:pPr>
            <w:r>
              <w:rPr>
                <w:rFonts w:ascii="Arial" w:cs="Arial" w:eastAsia="Arial" w:hAnsi="Arial"/>
                <w:sz w:val="18"/>
                <w:szCs w:val="18"/>
                <w:color w:val="auto"/>
              </w:rPr>
              <w:t>0.17% to 0.47 %</w:t>
            </w:r>
          </w:p>
        </w:tc>
      </w:tr>
    </w:tbl>
    <w:p>
      <w:pPr>
        <w:spacing w:after="0" w:line="391" w:lineRule="exact"/>
        <w:rPr>
          <w:sz w:val="20"/>
          <w:szCs w:val="20"/>
          <w:color w:val="auto"/>
        </w:rPr>
      </w:pPr>
    </w:p>
    <w:p>
      <w:pPr>
        <w:ind w:left="60" w:right="299"/>
        <w:spacing w:after="0" w:line="274" w:lineRule="auto"/>
        <w:rPr>
          <w:sz w:val="20"/>
          <w:szCs w:val="20"/>
          <w:color w:val="auto"/>
        </w:rPr>
      </w:pPr>
      <w:r>
        <w:rPr>
          <w:rFonts w:ascii="Arial" w:cs="Arial" w:eastAsia="Arial" w:hAnsi="Arial"/>
          <w:sz w:val="17"/>
          <w:szCs w:val="17"/>
          <w:color w:val="auto"/>
        </w:rPr>
        <w:t>The following table provides the weighted average fair value of ESPP purchase rights and the related assumptions used in the Black-Scholes option pricing model for the nine months ended September 30, 2022:</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7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r>
      <w:tr>
        <w:trPr>
          <w:trHeight w:val="196"/>
        </w:trPr>
        <w:tc>
          <w:tcPr>
            <w:tcW w:w="7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fair value per ESPP purchase right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17"/>
                <w:szCs w:val="17"/>
                <w:color w:val="auto"/>
              </w:rPr>
            </w:pPr>
          </w:p>
        </w:tc>
      </w:tr>
      <w:tr>
        <w:trPr>
          <w:trHeight w:val="202"/>
        </w:trPr>
        <w:tc>
          <w:tcPr>
            <w:tcW w:w="742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Expected term (in years) </w:t>
            </w: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180" w:type="dxa"/>
            <w:vAlign w:val="bottom"/>
          </w:tcPr>
          <w:p>
            <w:pPr>
              <w:spacing w:after="0"/>
              <w:rPr>
                <w:sz w:val="17"/>
                <w:szCs w:val="17"/>
                <w:color w:val="auto"/>
              </w:rPr>
            </w:pPr>
          </w:p>
        </w:tc>
      </w:tr>
      <w:tr>
        <w:trPr>
          <w:trHeight w:val="203"/>
        </w:trPr>
        <w:tc>
          <w:tcPr>
            <w:tcW w:w="7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51.3% to 62.9 %</w:t>
            </w:r>
          </w:p>
        </w:tc>
      </w:tr>
      <w:tr>
        <w:trPr>
          <w:trHeight w:val="203"/>
        </w:trPr>
        <w:tc>
          <w:tcPr>
            <w:tcW w:w="742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203"/>
        </w:trPr>
        <w:tc>
          <w:tcPr>
            <w:tcW w:w="7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0.22% to 2.52 %</w:t>
            </w:r>
          </w:p>
        </w:tc>
      </w:tr>
      <w:tr>
        <w:trPr>
          <w:trHeight w:val="419"/>
        </w:trPr>
        <w:tc>
          <w:tcPr>
            <w:tcW w:w="7420" w:type="dxa"/>
            <w:vAlign w:val="bottom"/>
          </w:tcPr>
          <w:p>
            <w:pPr>
              <w:ind w:left="20"/>
              <w:spacing w:after="0"/>
              <w:rPr>
                <w:sz w:val="20"/>
                <w:szCs w:val="20"/>
                <w:color w:val="auto"/>
              </w:rPr>
            </w:pPr>
            <w:r>
              <w:rPr>
                <w:rFonts w:ascii="Arial" w:cs="Arial" w:eastAsia="Arial" w:hAnsi="Arial"/>
                <w:sz w:val="18"/>
                <w:szCs w:val="18"/>
                <w:color w:val="auto"/>
              </w:rPr>
              <w:t>There were no ESPP purchase rights for the nine months ended September 30, 2021.</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2"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Company reviews these assumptions on a periodic basis and adjusts them, as necessary. The expected term of a stock option award was determined based on the Company’s analysis of historical exercise behavior while taking into consideration various participant demographics and option characteristics. The expected term of an ESPP purchase right is based on the offering period. We utilize the simplified method to develop the estimate of the expected term. The expected volatility is based upon observed volatility of comparable public companies. The expected dividend yield is assumed to be zero, as the Company has never paid dividends and has no current plans to do so. The risk-free interest rate is based on the yield on U.S. Treasury securities for a period approximating the expected term of the options being valued.</w:t>
      </w:r>
    </w:p>
    <w:p>
      <w:pPr>
        <w:spacing w:after="0" w:line="208"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periods indicated: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38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384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2,822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Selling, general &amp; administrative</w:t>
            </w:r>
          </w:p>
        </w:tc>
        <w:tc>
          <w:tcPr>
            <w:tcW w:w="1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929</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2,822</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0" w:type="dxa"/>
            <w:vAlign w:val="bottom"/>
            <w:vMerge w:val="restart"/>
          </w:tcPr>
          <w:p>
            <w:pPr>
              <w:jc w:val="right"/>
              <w:ind w:right="59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8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As of September 30, 2022, unrecognized compensation expense related to unvested stock-based compensation arrangements was $9.2 million. As of September 30, 2022, the related weighted average period over which the expense is expected to be recognized is approximately 2.7 years.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Early exercise of stock options</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Under the 2001 Plan, the Company has issued options to certain executive officers with early-exercise provisions. The options may be exercised by the holder any time after they are granted. The Company has the right to repurchase, at the original option exercise price, shares issued pursuant to such early-exercise provisions, upon the termination of employment or death of the stockholder. This repurchase right expires based upon the original option vesting schedule. As of September 30, 2022 and 2021, there have been no early exercises and therefore there is no liability recorded for the early exercise of stock options.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3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As of September 30, 2022 and December 31, 2021, a valuation allowance was recorded against all deferred tax assets due to the Company’s cumulative net loss position. Provision for income taxes for the three months ended September 30, 2022 and 2021 was $32,000 and $23,000, respectively. Provision for income taxes for the nine months ended September 30, 2022 and 2021 was $81,000 and $66,000, respectively.</w:t>
      </w:r>
    </w:p>
    <w:p>
      <w:pPr>
        <w:spacing w:after="0" w:line="205"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As of December 31, 2021, the Company had federal and state net operating loss carryforwards (“NOLs”) of approximately $324.8 million and $6.5 million, respectively. The federal NOLs began expiring in 2021 and the state NOLs began expiring in 2020. As of December 31, 2021, the Company had federal and state tax credit carryforwards of approximately $8.9 million and $1.6 million, respectively. The federal tax credit carryforwards began expiring in 2021 and the state tax credit carryforwards will begin expiring in 2028.</w:t>
      </w:r>
    </w:p>
    <w:p>
      <w:pPr>
        <w:spacing w:after="0" w:line="202"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and similar state provisions. The Company has not performed a detailed analysis to determine whether an ownership change has occurred. Such a change of ownership would limit the Company’s utilization of the NOLs and could be triggered by subsequent sales of securities by the Company or its stockholders.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Earnings Per Share</w:t>
      </w:r>
    </w:p>
    <w:p>
      <w:pPr>
        <w:spacing w:after="0" w:line="238"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Numerator:</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ind w:left="40"/>
        <w:spacing w:after="0" w:line="234" w:lineRule="auto"/>
        <w:rPr>
          <w:sz w:val="20"/>
          <w:szCs w:val="20"/>
          <w:color w:val="auto"/>
        </w:rPr>
      </w:pPr>
      <w:r>
        <w:rPr>
          <w:rFonts w:ascii="Arial" w:cs="Arial" w:eastAsia="Arial" w:hAnsi="Arial"/>
          <w:sz w:val="18"/>
          <w:szCs w:val="18"/>
          <w:b w:val="1"/>
          <w:bCs w:val="1"/>
          <w:color w:val="auto"/>
        </w:rPr>
        <w:t>Denominator:</w:t>
      </w:r>
    </w:p>
    <w:p>
      <w:pPr>
        <w:spacing w:after="0" w:line="1"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Weighted average common shares outstanding — basic and diluted</w:t>
      </w:r>
    </w:p>
    <w:p>
      <w:pPr>
        <w:spacing w:after="0" w:line="1" w:lineRule="exact"/>
        <w:rPr>
          <w:sz w:val="20"/>
          <w:szCs w:val="20"/>
          <w:color w:val="auto"/>
        </w:rPr>
      </w:pPr>
    </w:p>
    <w:p>
      <w:pPr>
        <w:ind w:left="40" w:right="540"/>
        <w:spacing w:after="0" w:line="274" w:lineRule="auto"/>
        <w:rPr>
          <w:sz w:val="20"/>
          <w:szCs w:val="20"/>
          <w:color w:val="auto"/>
        </w:rPr>
      </w:pPr>
      <w:r>
        <w:rPr>
          <w:rFonts w:ascii="Arial" w:cs="Arial" w:eastAsia="Arial" w:hAnsi="Arial"/>
          <w:sz w:val="17"/>
          <w:szCs w:val="17"/>
          <w:color w:val="auto"/>
        </w:rPr>
        <w:t>Net loss per share attributable to common stockholders — basic and diluted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3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10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r>
      <w:tr>
        <w:trPr>
          <w:trHeight w:val="412"/>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(9,830)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(6,133)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(30,892)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(32,508)</w:t>
            </w:r>
          </w:p>
        </w:tc>
      </w:tr>
      <w:tr>
        <w:trPr>
          <w:trHeight w:val="580"/>
        </w:trPr>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20,576,838</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20,126,672</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20,512,254</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6,975,386</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45"/>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(0.30)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-925195</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-659765</wp:posOffset>
            </wp:positionV>
            <wp:extent cx="564896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-273685</wp:posOffset>
            </wp:positionV>
            <wp:extent cx="5648960"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920" w:space="300"/>
            <w:col w:w="4799"/>
          </w:cols>
          <w:pgMar w:left="1440" w:top="517" w:right="1440" w:bottom="1440" w:gutter="0" w:footer="0" w:header="0"/>
          <w:type w:val="continuous"/>
        </w:sectPr>
      </w:pPr>
    </w:p>
    <w:p>
      <w:pPr>
        <w:ind w:left="60" w:right="79"/>
        <w:spacing w:after="0" w:line="237" w:lineRule="auto"/>
        <w:rPr>
          <w:sz w:val="20"/>
          <w:szCs w:val="20"/>
          <w:color w:val="auto"/>
        </w:rPr>
      </w:pPr>
      <w:r>
        <w:rPr>
          <w:rFonts w:ascii="Arial" w:cs="Arial" w:eastAsia="Arial" w:hAnsi="Arial"/>
          <w:sz w:val="18"/>
          <w:szCs w:val="18"/>
          <w:color w:val="auto"/>
        </w:rPr>
        <w:t>The Company’s potentially dilutive securities, which include stock options, shares of convertible preferred stock, warrants to purchase shares of convertible preferred stock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w:t>
      </w:r>
    </w:p>
    <w:p>
      <w:pPr>
        <w:sectPr>
          <w:pgSz w:w="11900" w:h="16838" w:orient="portrait"/>
          <w:cols w:equalWidth="0" w:num="1">
            <w:col w:w="9019"/>
          </w:cols>
          <w:pgMar w:left="1440" w:top="517" w:right="1440" w:bottom="1440" w:gutter="0" w:footer="0" w:header="0"/>
          <w:type w:val="continuous"/>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79"/>
        <w:spacing w:after="0" w:line="246" w:lineRule="auto"/>
        <w:rPr>
          <w:sz w:val="20"/>
          <w:szCs w:val="20"/>
          <w:color w:val="auto"/>
        </w:rPr>
      </w:pPr>
      <w:r>
        <w:rPr>
          <w:rFonts w:ascii="Arial" w:cs="Arial" w:eastAsia="Arial" w:hAnsi="Arial"/>
          <w:sz w:val="18"/>
          <w:szCs w:val="18"/>
          <w:color w:val="auto"/>
        </w:rPr>
        <w:t>end, from the computation of diluted net loss per share attributable to common stockholders for the periods indicated because including them would have had an anti-dilutive effect:</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206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84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68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3,723,499</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2,657,333</w:t>
            </w:r>
          </w:p>
        </w:tc>
      </w:tr>
      <w:tr>
        <w:trPr>
          <w:trHeight w:val="203"/>
        </w:trPr>
        <w:tc>
          <w:tcPr>
            <w:tcW w:w="6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716,131</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716,131</w:t>
            </w:r>
          </w:p>
        </w:tc>
      </w:tr>
      <w:tr>
        <w:trPr>
          <w:trHeight w:val="196"/>
        </w:trPr>
        <w:tc>
          <w:tcPr>
            <w:tcW w:w="68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4,439,630</w:t>
            </w: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3,373,464</w:t>
            </w:r>
          </w:p>
        </w:tc>
      </w:tr>
      <w:tr>
        <w:trPr>
          <w:trHeight w:val="20"/>
        </w:trPr>
        <w:tc>
          <w:tcPr>
            <w:tcW w:w="6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38"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There have been no contingent liabilities requiring accrual or disclosure as of September 30, 2022 or December 31, 2021.</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11.Employee benefit plans</w:t>
      </w:r>
    </w:p>
    <w:p>
      <w:pPr>
        <w:spacing w:after="0" w:line="23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sponsors a voluntary defined-contribution employee retirement plan (the “401(k) plan”) for its U.S. employees. The 401(k) plan provides that each participant may contribute pre-tax or post-tax compensation up to the statutory limit allowable. Under the 401(k) plan, each participant is fully vested in his or her deferred salary contributions when contributed. The Company does not provide matching contributions to employees.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3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 and its Chief Executive Officer evaluate performance based primarily on revenue in the geographic locations in which the Company operates.</w:t>
      </w:r>
    </w:p>
    <w:p>
      <w:pPr>
        <w:spacing w:after="0" w:line="20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Company derives all its revenues from sales to customers in Europe and the U.S. The following table provides revenue by country for each location accounting for more than 10% of the total revenue for the periods indicated (in thousands):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680" w:type="dxa"/>
            <w:vAlign w:val="bottom"/>
          </w:tcPr>
          <w:p>
            <w:pPr>
              <w:spacing w:after="0"/>
              <w:rPr>
                <w:sz w:val="15"/>
                <w:szCs w:val="15"/>
                <w:color w:val="auto"/>
              </w:rPr>
            </w:pPr>
          </w:p>
        </w:tc>
        <w:tc>
          <w:tcPr>
            <w:tcW w:w="16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68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5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$ 5,039</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$ 2,572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$ 12,035</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$ 6,289</w:t>
            </w: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933</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682</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2,744</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2,589</w:t>
            </w:r>
          </w:p>
        </w:tc>
      </w:tr>
      <w:tr>
        <w:trPr>
          <w:trHeight w:val="203"/>
        </w:trPr>
        <w:tc>
          <w:tcPr>
            <w:tcW w:w="5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r>
      <w:tr>
        <w:trPr>
          <w:trHeight w:val="196"/>
        </w:trPr>
        <w:tc>
          <w:tcPr>
            <w:tcW w:w="568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$ 6,186</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$ 3,395</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$ 15,293</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$ 9,378</w:t>
            </w:r>
          </w:p>
        </w:tc>
      </w:tr>
      <w:tr>
        <w:trPr>
          <w:trHeight w:val="20"/>
        </w:trPr>
        <w:tc>
          <w:tcPr>
            <w:tcW w:w="5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2022 and December 31, 2021, long-lived assets were located primarily in the U.S.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13. Subsequent events</w:t>
      </w:r>
    </w:p>
    <w:p>
      <w:pPr>
        <w:spacing w:after="0" w:line="22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October 31, 2022, the Company entered into a Loan and Security Agreement (the “Loan Agreement”) with Innovatus Life Sciences Fund I, LP, as the collateral agent and a lender, under which the Company may borrow, subject to the Company’s achievement of certain milestones, up to a total of $50.0 million in a series of term loans. On the closing date, the Company borrowed the minimum amount of $7.5 million under the Loan Agreement. The terms loans advanced pursuant to the Loan Agreement (collectively, the “Term Loans”) will bear interest at a floating rate per annum equal to the sum of (a) the greater of (i) the prime rate and (ii) 5.50% plus (b) 2.65%. The Term Loans mature on January 31, 2028 and require interest-only payments until November 1, 2027. The Term Loans are secured by substantially all of the personal property of the Company. The remaining amount of the facility will be available to be drawn in three separate tranches prior to December 2024.</w:t>
      </w:r>
    </w:p>
    <w:p>
      <w:pPr>
        <w:spacing w:after="0" w:line="363" w:lineRule="exact"/>
        <w:rPr>
          <w:sz w:val="20"/>
          <w:szCs w:val="20"/>
          <w:color w:val="auto"/>
        </w:rPr>
      </w:pPr>
    </w:p>
    <w:p>
      <w:pPr>
        <w:ind w:left="60" w:right="259"/>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3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 with reduced Ejection Fraction (“HFrEF”)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approved by the U.S. Food and Drug Administration (the “FDA”) to improve the symptoms of patients with HFrEF and is CE Marked for HFrEF and resistant hypertension.</w:t>
      </w:r>
    </w:p>
    <w:p>
      <w:pPr>
        <w:spacing w:after="0" w:line="20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Since our inception we have generated minimal revenue, as our activities have consisted primarily of developing Barostim Therapy, conducting our BeAT-HF pre-market and post-market pivotal studies in the U.S. and filing for regulatory approvals. Our ability to generate revenue from product sales and become profitable will depend on our ability to successfully commercialize Barostim and any product enhancements we may advance in the future. We expect to derive future revenue by expanding our own dedicated salesforce and increasing awareness of Barostim among payors, physicians and patients.</w:t>
      </w:r>
    </w:p>
    <w:p>
      <w:pPr>
        <w:spacing w:after="0" w:line="205" w:lineRule="exact"/>
        <w:rPr>
          <w:sz w:val="20"/>
          <w:szCs w:val="20"/>
          <w:color w:val="auto"/>
        </w:rPr>
      </w:pPr>
    </w:p>
    <w:p>
      <w:pPr>
        <w:ind w:left="60" w:right="319"/>
        <w:spacing w:after="0" w:line="237" w:lineRule="auto"/>
        <w:rPr>
          <w:sz w:val="20"/>
          <w:szCs w:val="20"/>
          <w:color w:val="auto"/>
        </w:rPr>
      </w:pPr>
      <w:r>
        <w:rPr>
          <w:rFonts w:ascii="Arial" w:cs="Arial" w:eastAsia="Arial" w:hAnsi="Arial"/>
          <w:sz w:val="18"/>
          <w:szCs w:val="18"/>
          <w:color w:val="auto"/>
        </w:rPr>
        <w:t>Our sales and marketing efforts are directed at electrophysiologists, HF specialists,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costs for the device and implantation procedure are reimbursed through various third-party payors, such as government agencies and commercial payors. In the U.S., we estimate that 67% of our target patient population is Medicare-eligible based on the age demographic of the HFrEF patient population indicated for Barostim. As a result, we have prioritized coverage by the Centers for Medicare and Medicaid Services (“CMS”) while simultaneously developing processes to engage commercial payors. All Medicare Administrative Contractors have retired automatic coverage denial policies for our Current Procedural Terminology codes, thereby allowing hospitals to be paid for the Barostim procedure. Our reimbursement strategy involves continuing to broaden our current coverage and build our in-house market access team to assist patients and physicians in obtaining appropriate prior authorization approvals in advance of treatment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on a case-by-case basis where positive coverage policies currently do not exist. Outside the U.S., reimbursement levels vary by country and within some countries by region. Barostim is eligible for reimbursement in certain countries in the European Union (“EU”), such as Germany, where annual healthcare budgets for the hospital generally determine the number of patients to be treated and the prices to be paid for the related devices that may be purchased.</w:t>
      </w:r>
    </w:p>
    <w:p>
      <w:pPr>
        <w:spacing w:after="0" w:line="202"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194"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From our inception until the IPO, we financed our operations primarily through preferred stock financings, and additionally, from sales of our Barostim products and amounts borrowed under our past credit facilities. We have devoted substantially all of our resources to research and development activities related to Barostim Therapy, including clinical and regulatory initiatives to obtain marketing approval and sales and marketing activities.</w:t>
      </w:r>
    </w:p>
    <w:p>
      <w:pPr>
        <w:spacing w:after="0" w:line="20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intend to use a portion of the IPO proceeds to continue funding the expansion of our direct sales force and commercial organization related to Barostim in the U.S. We also intend to continue investing in research and development in the near term to improve clinical outcomes, optimize patient adoption and comfort, increase patient access and enhance the physician and patient experience. Longer term, we plan to explore Barostim’s potential to expand its indications for use to other cardiovascular diseases. On October 31, 2022, we entered into a loan and security agreement under which we may borrow, subject to our achievement of certain milestones, up to a total of $50.0 million in a series of term loans described in Note 13 to our consolidated financial statements included elsewhere in this Quarterly Report on Form 10-Q and we borrowed $7.5 million of such total on that date to fund our commercial and investment efforts. As a result of these investments and our commercialization efforts, we expect to continue to incur net losses for the next several years, which may require additional funding and could include future equity and debt financings.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3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Since it was reported to have surfaced in December 2019, a novel strain of coronavirus (“COVID-19”) has spread across the world and has been declared a pandemic by the World Health Organization. Efforts to contain the spread of COVID-19 have been significant and governments around the world, including in the U.S., have implemented severe travel restrictions, social distancing requirements, quarantines, stay-at-home orders and other significant restrictions. As a result, the current COVID-19 pandemic has presented a substantial public health and economic challenge and is affecting hospitals, physicians, patients, communities and business operations, as well as contributing to significant volatility and negative pressure on the U.S. and world economy and in financial markets.</w:t>
      </w:r>
    </w:p>
    <w:p>
      <w:pPr>
        <w:spacing w:after="0" w:line="208"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The COVID-19 pandemic has negatively impacted our business, financial condition and results of operations by decreasing and delaying procedures performed to implant Barostim, and we expect the pandemic will continue to negatively impact our business, financial condition and results of operations. Beginning in March 2020, our revenue was negatively impacted by COVID-19 as healthcare facilities and clinics began restricting in-person access to their clinicians, reducing patient consultations and treatments or temporarily closing their facilities. As a result, substantially all of our then-scheduled procedures were postponed, and numerous other cases could not be scheduled. During May 2020, the widespread shutdown resulted in key physician-society conferences being moved to a virtual setting, which directly impacted our planned commercial launch in the 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19"/>
        <w:spacing w:after="0"/>
        <w:rPr>
          <w:sz w:val="20"/>
          <w:szCs w:val="20"/>
          <w:color w:val="auto"/>
        </w:rPr>
      </w:pPr>
      <w:r>
        <w:rPr>
          <w:rFonts w:ascii="Arial" w:cs="Arial" w:eastAsia="Arial" w:hAnsi="Arial"/>
          <w:sz w:val="18"/>
          <w:szCs w:val="18"/>
          <w:color w:val="auto"/>
        </w:rPr>
        <w:t>In response to the COVID-19 pandemic, we have implemented a variety of measures intended to help us manage its impact while maintaining business continuity to support our customers and patients. These measures include:</w:t>
      </w:r>
    </w:p>
    <w:p>
      <w:pPr>
        <w:spacing w:after="0" w:line="203" w:lineRule="exact"/>
        <w:rPr>
          <w:sz w:val="20"/>
          <w:szCs w:val="20"/>
          <w:color w:val="auto"/>
        </w:rPr>
      </w:pPr>
    </w:p>
    <w:p>
      <w:pPr>
        <w:ind w:left="380" w:right="879" w:hanging="330"/>
        <w:spacing w:after="0" w:line="246" w:lineRule="auto"/>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Establishing safety protocols, facility enhancements and work-from-home strategies to protect our employees;</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Ensuring that our manufacturing and supply chain operations remain intact and operational;</w:t>
      </w:r>
    </w:p>
    <w:p>
      <w:pPr>
        <w:spacing w:after="0" w:line="225" w:lineRule="exact"/>
        <w:rPr>
          <w:rFonts w:ascii="Arial" w:cs="Arial" w:eastAsia="Arial" w:hAnsi="Arial"/>
          <w:sz w:val="18"/>
          <w:szCs w:val="18"/>
          <w:color w:val="231F20"/>
        </w:rPr>
      </w:pPr>
    </w:p>
    <w:p>
      <w:pPr>
        <w:ind w:left="380" w:right="459" w:hanging="330"/>
        <w:spacing w:after="0" w:line="246" w:lineRule="auto"/>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Keeping our workforce intact, including our experienced and specialized U.S. sales and clinical support team;</w:t>
      </w:r>
    </w:p>
    <w:p>
      <w:pPr>
        <w:spacing w:after="0" w:line="196" w:lineRule="exact"/>
        <w:rPr>
          <w:rFonts w:ascii="Arial" w:cs="Arial" w:eastAsia="Arial" w:hAnsi="Arial"/>
          <w:sz w:val="18"/>
          <w:szCs w:val="18"/>
          <w:color w:val="231F20"/>
        </w:rPr>
      </w:pPr>
    </w:p>
    <w:p>
      <w:pPr>
        <w:ind w:left="380" w:right="79" w:hanging="330"/>
        <w:spacing w:after="0" w:line="246" w:lineRule="auto"/>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Implementing virtual physician education programs to support opening new accounts with minimal in person interaction; and</w:t>
      </w:r>
    </w:p>
    <w:p>
      <w:pPr>
        <w:spacing w:after="0" w:line="196" w:lineRule="exact"/>
        <w:rPr>
          <w:rFonts w:ascii="Arial" w:cs="Arial" w:eastAsia="Arial" w:hAnsi="Arial"/>
          <w:sz w:val="18"/>
          <w:szCs w:val="18"/>
          <w:color w:val="231F20"/>
        </w:rPr>
      </w:pPr>
    </w:p>
    <w:p>
      <w:pPr>
        <w:ind w:left="380" w:right="619" w:hanging="330"/>
        <w:spacing w:after="0" w:line="246"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Increasing our capital resources through the completion of the IPO, which resulted in net proceeds of $133.2 million.</w:t>
      </w:r>
    </w:p>
    <w:p>
      <w:pPr>
        <w:spacing w:after="0" w:line="197" w:lineRule="exact"/>
        <w:rPr>
          <w:sz w:val="20"/>
          <w:szCs w:val="20"/>
          <w:color w:val="auto"/>
        </w:rPr>
      </w:pPr>
    </w:p>
    <w:p>
      <w:pPr>
        <w:ind w:left="60" w:right="99"/>
        <w:spacing w:after="0" w:line="274" w:lineRule="auto"/>
        <w:rPr>
          <w:sz w:val="20"/>
          <w:szCs w:val="20"/>
          <w:color w:val="auto"/>
        </w:rPr>
      </w:pPr>
      <w:r>
        <w:rPr>
          <w:rFonts w:ascii="Arial" w:cs="Arial" w:eastAsia="Arial" w:hAnsi="Arial"/>
          <w:sz w:val="17"/>
          <w:szCs w:val="17"/>
          <w:color w:val="auto"/>
        </w:rPr>
        <w:t>Our hospital customers in the U.S. and Europe began to gradually perform elective procedures again during the fourth quarter of 2020. As the pandemic eased throughout 2021, we experienced the following positive trends:</w:t>
      </w:r>
    </w:p>
    <w:p>
      <w:pPr>
        <w:spacing w:after="0" w:line="175"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Strong physician participation in our virtual educational events;</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Expansion into new accounts;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Hospitals accepting patients for elective procedures at closer to pre-pandemic levels in the U.S.</w:t>
      </w:r>
    </w:p>
    <w:p>
      <w:pPr>
        <w:spacing w:after="0" w:line="225"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However, procedure volumes were again negatively impacted by the Delta and Omicron variants of COVID-19 in the third and fourth quarters of 2021 and continuing into the first quarter of 2022. By March 2022, and continuing into the second and third quarters of 2022, implant centers resumed procedures at more normal levels. We believe the challenges resulting from COVID-19 will likely continue for the duration of the pandemic. The extent to which the COVID-19 pandemic impacts our business will depend on future developments, which are highly uncertain and cannot be predicted, including new information that may emerge concerning the severity and spread of COVID-19 and its variants and the actions to contain the spread of COVID-19 and its variants or treat its impact.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38"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97"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Growing and supporting our U.S. commercial organization;</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Promoting awareness among physicians, hospitals and patients to accelerate adoption of Barostim;</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Raising awareness among payors to build upon reimbursement for Barostim;</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Investing in research and development to foster innovation and further simplify the Barostim procedure;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Leveraging our manufacturing capacity to further improve our gross margins.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jc w:val="both"/>
        <w:ind w:left="60" w:right="219"/>
        <w:spacing w:after="0" w:line="238" w:lineRule="auto"/>
        <w:rPr>
          <w:sz w:val="20"/>
          <w:szCs w:val="20"/>
          <w:color w:val="auto"/>
        </w:rPr>
      </w:pPr>
      <w:r>
        <w:rPr>
          <w:rFonts w:ascii="Arial" w:cs="Arial" w:eastAsia="Arial" w:hAnsi="Arial"/>
          <w:sz w:val="18"/>
          <w:szCs w:val="18"/>
          <w:color w:val="auto"/>
        </w:rPr>
        <w:t>Our U.S. sales have increased since the pre-market approval of Barostim by the FDA in August 2019, and the subsequent reimbursement changes in 2020. We expect to continue to drive increases in revenue through our efforts to increase awareness of Barostim among physicians, patients and payors and by the expansion of our U.S. sales force. As a result, we expect that U.S. sales will continue to account for the majority of our revenue going forward.</w:t>
      </w:r>
    </w:p>
    <w:p>
      <w:pPr>
        <w:spacing w:after="0" w:line="20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202" w:lineRule="exact"/>
        <w:rPr>
          <w:sz w:val="20"/>
          <w:szCs w:val="20"/>
          <w:color w:val="auto"/>
        </w:rPr>
      </w:pPr>
    </w:p>
    <w:p>
      <w:pPr>
        <w:ind w:left="60" w:right="199"/>
        <w:spacing w:after="0" w:line="234"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products and adopt new manufacturing processes and technologies.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 related to Barostim in HFrEF.</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4" w:lineRule="exact"/>
        <w:rPr>
          <w:sz w:val="20"/>
          <w:szCs w:val="20"/>
          <w:color w:val="auto"/>
        </w:rPr>
      </w:pPr>
    </w:p>
    <w:p>
      <w:pPr>
        <w:ind w:left="60" w:right="299"/>
        <w:spacing w:after="0" w:line="261" w:lineRule="auto"/>
        <w:rPr>
          <w:sz w:val="20"/>
          <w:szCs w:val="20"/>
          <w:color w:val="auto"/>
        </w:rPr>
      </w:pPr>
      <w:r>
        <w:rPr>
          <w:rFonts w:ascii="Arial" w:cs="Arial" w:eastAsia="Arial" w:hAnsi="Arial"/>
          <w:sz w:val="17"/>
          <w:szCs w:val="17"/>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20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debt discount.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Other income (expense), net consists primarily of the fair value adjustments related to our formerly outstanding convertible preferred stock warrants, which were accounted for as a liability and marked-to-market at each reporting period. The final fair value adjustment of the warrant liability was recorded upon the closing of the IPO in connection with the conversion of the warrants to common stock warrants. Other items include losses on the extinguishment of debt, interest income earned on our cash and cash equivalents and the effect of exchange rates on our foreign currency-denominated asset and liability balances.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4" w:lineRule="exact"/>
        <w:rPr>
          <w:sz w:val="20"/>
          <w:szCs w:val="20"/>
          <w:color w:val="auto"/>
        </w:rPr>
      </w:pPr>
    </w:p>
    <w:p>
      <w:pPr>
        <w:ind w:left="60" w:right="479"/>
        <w:spacing w:after="0"/>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6"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b w:val="1"/>
          <w:bCs w:val="1"/>
          <w:i w:val="1"/>
          <w:iCs w:val="1"/>
          <w:color w:val="auto"/>
        </w:rPr>
        <w:t>Consolidated results of operations for the three months ended September 30, 2022, compared to the three months ended September 30, 2021</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7"/>
          </w:tcPr>
          <w:p>
            <w:pPr>
              <w:jc w:val="center"/>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920" w:type="dxa"/>
            <w:vAlign w:val="bottom"/>
            <w:gridSpan w:val="4"/>
          </w:tcPr>
          <w:p>
            <w:pPr>
              <w:ind w:left="400"/>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6,186</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3,395</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2,791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1,340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464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4,846</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2,519</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2,327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2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78</w:t>
            </w:r>
          </w:p>
        </w:tc>
        <w:tc>
          <w:tcPr>
            <w:tcW w:w="20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2,293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1,699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594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12,679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8,111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4,568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14,972</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9,810</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5,162</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(10,126)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(7,291)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(2,835)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(614)</w:t>
            </w:r>
          </w:p>
        </w:tc>
        <w:tc>
          <w:tcPr>
            <w:tcW w:w="12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614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1,795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(1,467)</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52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Loss before income taxes</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(9,798)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(6,110)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(3,688)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0"/>
        </w:trPr>
        <w:tc>
          <w:tcPr>
            <w:tcW w:w="528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(9,830)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 (6,133)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 (3,697)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1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NM – Not meaningful</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The following table provides revenue by geography:</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2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920" w:type="dxa"/>
            <w:vAlign w:val="bottom"/>
            <w:gridSpan w:val="4"/>
          </w:tcPr>
          <w:p>
            <w:pPr>
              <w:ind w:left="34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70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gridSpan w:val="2"/>
          </w:tcPr>
          <w:p>
            <w:pPr>
              <w:jc w:val="right"/>
              <w:ind w:right="236"/>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$ 5,039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$ 2,572</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$ 2,467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1,147</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196"/>
        </w:trPr>
        <w:tc>
          <w:tcPr>
            <w:tcW w:w="52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$ 6,186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$ 3,395</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$ 2,791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Revenue was $6.2 million for the three months ended September 30, 2022, an increase of $2.8 million, or 82%, over the three months ended September 30, 2021.</w:t>
      </w:r>
    </w:p>
    <w:p>
      <w:pPr>
        <w:spacing w:after="0" w:line="197" w:lineRule="exact"/>
        <w:rPr>
          <w:sz w:val="20"/>
          <w:szCs w:val="20"/>
          <w:color w:val="auto"/>
        </w:rPr>
      </w:pPr>
    </w:p>
    <w:p>
      <w:pPr>
        <w:jc w:val="both"/>
        <w:ind w:left="60" w:right="239"/>
        <w:spacing w:after="0"/>
        <w:rPr>
          <w:sz w:val="20"/>
          <w:szCs w:val="20"/>
          <w:color w:val="auto"/>
        </w:rPr>
      </w:pPr>
      <w:r>
        <w:rPr>
          <w:rFonts w:ascii="Arial" w:cs="Arial" w:eastAsia="Arial" w:hAnsi="Arial"/>
          <w:sz w:val="18"/>
          <w:szCs w:val="18"/>
          <w:color w:val="auto"/>
        </w:rPr>
        <w:t>Revenue generated in the U.S. was $ 5.0 million for the three months ended September 30, 2022, an increase of $2.5 million, or 96%, over the three months ended September 30, 2021. Total HF revenue units in the U.S. totaled 167 and 84 for the three months ended September 30, 2022 and 2021, respectively.</w:t>
      </w:r>
    </w:p>
    <w:p>
      <w:pPr>
        <w:spacing w:after="0" w:line="20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HF revenue in the U.S. totaled $4.9 million for the three months ended September 30, 2022, an increase of $2.4 million, or 99%, over the three months ended September 30, 2021. The increase was primarily driven by continued growth as a result of the expansion into new sales territories and new accounts, as well as increased physician and patient awareness of Barostim.</w:t>
      </w:r>
    </w:p>
    <w:p>
      <w:pPr>
        <w:spacing w:after="0" w:line="205" w:lineRule="exact"/>
        <w:rPr>
          <w:sz w:val="20"/>
          <w:szCs w:val="20"/>
          <w:color w:val="auto"/>
        </w:rPr>
      </w:pPr>
    </w:p>
    <w:p>
      <w:pPr>
        <w:jc w:val="both"/>
        <w:ind w:left="60" w:right="239"/>
        <w:spacing w:after="0" w:line="238" w:lineRule="auto"/>
        <w:rPr>
          <w:sz w:val="20"/>
          <w:szCs w:val="20"/>
          <w:color w:val="auto"/>
        </w:rPr>
      </w:pPr>
      <w:r>
        <w:rPr>
          <w:rFonts w:ascii="Arial" w:cs="Arial" w:eastAsia="Arial" w:hAnsi="Arial"/>
          <w:sz w:val="18"/>
          <w:szCs w:val="18"/>
          <w:color w:val="auto"/>
        </w:rPr>
        <w:t>As of September 30, 2022, we had a total of 91 active implanting centers as compared to 38 as of September 30, 2021. Active implanting centers are customers that have completed at least one commercial HF implant in the last 12 months. As of September 30, 2022, the Company had a total of 23 sales territories as compared to 11 as of September 30, 2021.</w:t>
      </w:r>
    </w:p>
    <w:p>
      <w:pPr>
        <w:spacing w:after="0" w:line="20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Revenue generated in Europe was $1.1 million for the three months ended September 30, 2022, an increase of $0.3 million, or 39%, over the three months ended September 30, 2021. Total revenue units in Europe were 61 for the three months ended September 30, 2022 as compared to 38 in the prior year period. The revenue increase was primarily due to the lessening impact of the COVID-19 pandemic in Europe, partially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offset by an unfavorable currency impact on net sales. As of September 30, 2022, we had a total of six sales territories in Europe.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p>
      <w:pPr>
        <w:ind w:left="60" w:right="359"/>
        <w:spacing w:after="0"/>
        <w:rPr>
          <w:sz w:val="20"/>
          <w:szCs w:val="20"/>
          <w:color w:val="auto"/>
        </w:rPr>
      </w:pPr>
      <w:r>
        <w:rPr>
          <w:rFonts w:ascii="Arial" w:cs="Arial" w:eastAsia="Arial" w:hAnsi="Arial"/>
          <w:sz w:val="18"/>
          <w:szCs w:val="18"/>
          <w:color w:val="auto"/>
        </w:rPr>
        <w:t>Cost of goods sold increased $0.5 million, or 53%, to $1.3 million for the three months ended September 30, 2022, compared to the three months ended September 30, 2021. This increase was primarily due to higher sales of Barostim.</w:t>
      </w:r>
    </w:p>
    <w:p>
      <w:pPr>
        <w:spacing w:after="0" w:line="203" w:lineRule="exact"/>
        <w:rPr>
          <w:sz w:val="20"/>
          <w:szCs w:val="20"/>
          <w:color w:val="auto"/>
        </w:rPr>
      </w:pPr>
    </w:p>
    <w:p>
      <w:pPr>
        <w:ind w:left="60" w:right="199"/>
        <w:spacing w:after="0" w:line="253" w:lineRule="auto"/>
        <w:rPr>
          <w:sz w:val="20"/>
          <w:szCs w:val="20"/>
          <w:color w:val="auto"/>
        </w:rPr>
      </w:pPr>
      <w:r>
        <w:rPr>
          <w:rFonts w:ascii="Arial" w:cs="Arial" w:eastAsia="Arial" w:hAnsi="Arial"/>
          <w:sz w:val="17"/>
          <w:szCs w:val="17"/>
          <w:color w:val="auto"/>
        </w:rPr>
        <w:t>Gross profit was $4.8 million for the three months ended September 30, 2022, an increase of $2.3 million, or 92%, over the three months ended September 30, 2021. Gross margin increased to 78% for the three months ended September 30, 2022, compared to 74% for the three months ended September 30, 2021. Gross margin for the three months ended September 30, 2022 was higher due to a decrease in the cost per unit. This was partially offset by a decrease in the average selling price and a larger percentage of our revenue units coming from full systems versus battery replacements. New patients receive a full system that includes an IPG and a stimulation lead, which has a lower gross margin than a stand-alone IPG used for a battery replacement.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R&amp;D expenses increased $0.6 million, or 35%, to $2.3 million for the three months ended September 30, 2022, compared to the three months ended September 30, 2021. This change was primarily driven by a $0.5 million increase in compensation expenses, mainly as a result of increased headcount, and a $0.1 million increase in non-cash stock-based compensation expense, partially offset by a $0.1 million decrease in clinical study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SG&amp;A expenses increased $ 4.6 million, or 56%, to $12.7 million for the three months ended September 30, 2022, compared to the three months ended September 30, 2021. This was primarily driven by a $3.2 million increase in compensation expenses, mainly as a result of increased headcount, a $ 0.5 million increase in travel expenses, a $0.4 million increase in non-cash stock-based compensation expense, a $ 0.3 million increase in marketing and advertising expenses associated with the commercialization of Barostim in the U.S. and a $0.2 million increase in professional fees.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Interest expense decreased $0.6 million for the three months ended September 30, 2022, compared to the three months ended September 30, 2021. This decrease was driven by the repayment of the outstanding debt under the loan agreement with Horizon Technology Finance Corporation (the “Horizon loan agreement”) in November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3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Other income, net was $0.3 million for the three months ended September 30, 2022, compared to $1.8 million for the three months ended September 30, 2021. The income in the third quarter of 2021 reflects $1.5 million of income related to the change in the fair value of our convertible preferred stock warrants from June 30, 2021 to July 2, 2021, which is the date the warrants converted to common stock warrants. As these preferred stock warrants converted to common stock warrants upon the IPO, there is no longer a change in fair value recorded in other income, net.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p>
      <w:pPr>
        <w:ind w:left="60" w:right="879"/>
        <w:spacing w:after="0" w:line="246" w:lineRule="auto"/>
        <w:rPr>
          <w:sz w:val="20"/>
          <w:szCs w:val="20"/>
          <w:color w:val="auto"/>
        </w:rPr>
      </w:pPr>
      <w:r>
        <w:rPr>
          <w:rFonts w:ascii="Arial" w:cs="Arial" w:eastAsia="Arial" w:hAnsi="Arial"/>
          <w:sz w:val="18"/>
          <w:szCs w:val="18"/>
          <w:color w:val="auto"/>
        </w:rPr>
        <w:t>Provision for income taxes was nominal for each of the three months ended September 30, 2022, and September 30, 2021.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b w:val="1"/>
          <w:bCs w:val="1"/>
          <w:i w:val="1"/>
          <w:iCs w:val="1"/>
          <w:color w:val="auto"/>
        </w:rPr>
        <w:t>Consolidated results of operations for the nine months ended September 30, 2022, compared to the nine months ended September 30, 2021</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10"/>
          </w:tcPr>
          <w:p>
            <w:pPr>
              <w:jc w:val="center"/>
              <w:ind w:right="2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420" w:type="dxa"/>
            <w:vAlign w:val="bottom"/>
          </w:tcPr>
          <w:p>
            <w:pPr>
              <w:spacing w:after="0"/>
              <w:rPr>
                <w:sz w:val="15"/>
                <w:szCs w:val="15"/>
                <w:color w:val="auto"/>
              </w:rPr>
            </w:pPr>
          </w:p>
        </w:tc>
        <w:tc>
          <w:tcPr>
            <w:tcW w:w="1840" w:type="dxa"/>
            <w:vAlign w:val="bottom"/>
            <w:gridSpan w:val="9"/>
          </w:tcPr>
          <w:p>
            <w:pPr>
              <w:jc w:val="center"/>
              <w:ind w:right="7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880" w:type="dxa"/>
            <w:vAlign w:val="bottom"/>
            <w:gridSpan w:val="4"/>
          </w:tcPr>
          <w:p>
            <w:pPr>
              <w:ind w:left="28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80" w:type="dxa"/>
            <w:vAlign w:val="bottom"/>
            <w:gridSpan w:val="2"/>
            <w:vMerge w:val="continue"/>
          </w:tcPr>
          <w:p>
            <w:pPr>
              <w:spacing w:after="0"/>
              <w:rPr>
                <w:sz w:val="13"/>
                <w:szCs w:val="13"/>
                <w:color w:val="auto"/>
              </w:rPr>
            </w:pPr>
          </w:p>
        </w:tc>
        <w:tc>
          <w:tcPr>
            <w:tcW w:w="860" w:type="dxa"/>
            <w:vAlign w:val="bottom"/>
            <w:tcBorders>
              <w:top w:val="single" w:sz="8" w:color="auto"/>
            </w:tcBorders>
            <w:gridSpan w:val="3"/>
          </w:tcPr>
          <w:p>
            <w:pPr>
              <w:jc w:val="right"/>
              <w:ind w:right="197"/>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3"/>
          </w:tcPr>
          <w:p>
            <w:pPr>
              <w:jc w:val="right"/>
              <w:ind w:right="170"/>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15,293</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9,378</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5,915</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3,490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2,656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8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11,803</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6,722</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5,081</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77</w:t>
            </w:r>
          </w:p>
        </w:tc>
        <w:tc>
          <w:tcPr>
            <w:tcW w:w="2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72</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6,906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5,704</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1,202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35,945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18,198</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17,747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42,851</w:t>
            </w:r>
          </w:p>
        </w:tc>
        <w:tc>
          <w:tcPr>
            <w:tcW w:w="2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23,902</w:t>
            </w:r>
          </w:p>
        </w:tc>
        <w:tc>
          <w:tcPr>
            <w:tcW w:w="2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18,949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8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(31,048)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(17,180)</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(13,868)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39"/>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20" w:type="dxa"/>
            <w:vAlign w:val="bottom"/>
            <w:gridSpan w:val="4"/>
          </w:tcPr>
          <w:p>
            <w:pPr>
              <w:jc w:val="right"/>
              <w:ind w:right="130"/>
              <w:spacing w:after="0" w:line="202" w:lineRule="exact"/>
              <w:rPr>
                <w:sz w:val="20"/>
                <w:szCs w:val="20"/>
                <w:color w:val="auto"/>
              </w:rPr>
            </w:pPr>
            <w:r>
              <w:rPr>
                <w:rFonts w:ascii="Arial" w:cs="Arial" w:eastAsia="Arial" w:hAnsi="Arial"/>
                <w:sz w:val="18"/>
                <w:szCs w:val="18"/>
                <w:color w:val="auto"/>
              </w:rPr>
              <w:t>(1,823)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(13,439)</w:t>
            </w:r>
          </w:p>
        </w:tc>
        <w:tc>
          <w:tcPr>
            <w:tcW w:w="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13,676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2"/>
            <w:vMerge w:val="continue"/>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(30,811)</w:t>
            </w:r>
          </w:p>
        </w:tc>
        <w:tc>
          <w:tcPr>
            <w:tcW w:w="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8"/>
              </w:rPr>
              <w:t>(32,442)</w:t>
            </w:r>
          </w:p>
        </w:tc>
        <w:tc>
          <w:tcPr>
            <w:tcW w:w="2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1,631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120" w:type="dxa"/>
            <w:vAlign w:val="bottom"/>
            <w:gridSpan w:val="4"/>
            <w:shd w:val="clear" w:color="auto" w:fill="CCEEFF"/>
          </w:tcPr>
          <w:p>
            <w:pPr>
              <w:jc w:val="right"/>
              <w:ind w:right="179"/>
              <w:spacing w:after="0" w:line="202" w:lineRule="exact"/>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0"/>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 (30,892)</w:t>
            </w:r>
          </w:p>
        </w:tc>
        <w:tc>
          <w:tcPr>
            <w:tcW w:w="260" w:type="dxa"/>
            <w:vAlign w:val="bottom"/>
          </w:tcPr>
          <w:p>
            <w:pPr>
              <w:spacing w:after="0"/>
              <w:rPr>
                <w:sz w:val="18"/>
                <w:szCs w:val="18"/>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 (32,508)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1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NM – Not meaningful</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The following table provides revenue by geography:</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8"/>
          </w:tcPr>
          <w:p>
            <w:pPr>
              <w:ind w:left="1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7"/>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880" w:type="dxa"/>
            <w:vAlign w:val="bottom"/>
            <w:gridSpan w:val="4"/>
          </w:tcPr>
          <w:p>
            <w:pPr>
              <w:ind w:left="30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80" w:type="dxa"/>
            <w:vAlign w:val="bottom"/>
            <w:gridSpan w:val="2"/>
            <w:vMerge w:val="continue"/>
          </w:tcPr>
          <w:p>
            <w:pPr>
              <w:spacing w:after="0"/>
              <w:rPr>
                <w:sz w:val="13"/>
                <w:szCs w:val="13"/>
                <w:color w:val="auto"/>
              </w:rPr>
            </w:pPr>
          </w:p>
        </w:tc>
        <w:tc>
          <w:tcPr>
            <w:tcW w:w="540" w:type="dxa"/>
            <w:vAlign w:val="bottom"/>
            <w:gridSpan w:val="2"/>
          </w:tcPr>
          <w:p>
            <w:pPr>
              <w:spacing w:after="0"/>
              <w:rPr>
                <w:sz w:val="13"/>
                <w:szCs w:val="13"/>
                <w:color w:val="auto"/>
              </w:rPr>
            </w:pPr>
          </w:p>
        </w:tc>
        <w:tc>
          <w:tcPr>
            <w:tcW w:w="5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4"/>
          </w:tcPr>
          <w:p>
            <w:pPr>
              <w:jc w:val="right"/>
              <w:ind w:right="11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United States</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$ 12,035</w:t>
            </w:r>
          </w:p>
        </w:tc>
        <w:tc>
          <w:tcPr>
            <w:tcW w:w="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$ 6,289</w:t>
            </w:r>
          </w:p>
        </w:tc>
        <w:tc>
          <w:tcPr>
            <w:tcW w:w="40" w:type="dxa"/>
            <w:vAlign w:val="bottom"/>
          </w:tcPr>
          <w:p>
            <w:pPr>
              <w:spacing w:after="0"/>
              <w:rPr>
                <w:sz w:val="17"/>
                <w:szCs w:val="17"/>
                <w:color w:val="auto"/>
              </w:rPr>
            </w:pPr>
          </w:p>
        </w:tc>
        <w:tc>
          <w:tcPr>
            <w:tcW w:w="7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$ 5,746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91</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Europe</w:t>
            </w:r>
          </w:p>
        </w:tc>
        <w:tc>
          <w:tcPr>
            <w:tcW w:w="13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3,258</w:t>
            </w: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3,089</w:t>
            </w:r>
          </w:p>
        </w:tc>
        <w:tc>
          <w:tcPr>
            <w:tcW w:w="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96"/>
        </w:trPr>
        <w:tc>
          <w:tcPr>
            <w:tcW w:w="50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Revenue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$ 15,293</w:t>
            </w: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$ 9,378</w:t>
            </w:r>
          </w:p>
        </w:tc>
        <w:tc>
          <w:tcPr>
            <w:tcW w:w="4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$ 5,915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Revenue was $15.3 million for the nine months ended September 30, 2022, an increase of $5.9 million, or 63%, over the nine months ended September 30, 2021.</w:t>
      </w:r>
    </w:p>
    <w:p>
      <w:pPr>
        <w:spacing w:after="0" w:line="197"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Revenue generated in the U.S. was $12.0 million for the nine months ended September 30, 2022, an increase of $5.7 million, or 91%, over the nine months ended September 30, 2021. Total HF revenue units in the U.S. totaled 394 and 195 for the nine months ended September 30, 2022 and 2021, respectively.</w:t>
      </w:r>
    </w:p>
    <w:p>
      <w:pPr>
        <w:spacing w:after="0" w:line="203"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HF revenue in the U.S. totaled $11.6 million for the nine months ended September 30, 2022, an increase of $5.9 million, or 103%, over the nine months ended September 30, 2021. The increase was primarily driven by continued growth as a result of the expansion into new sales territories, new accounts and increased physician and patient awareness of Barostim.</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Revenue generated in Europe was $3.3 million for the nine months ended September 30, 2022, an increase of $0.2 million, or 5%, over the nine months ended September 30, 2021. Total revenue units in Europe were 163 for the nine months ended September 30, 2022, as compared to 137 in the prior year period. The slight revenue increase was primarily due to the lessening impact of the COVID-19 pandemic in Europe, partially offset by an unfavorable currency impact on net sales. As of September 30, 2022, the Company had a total of six sales territories in Europe.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Cost of goods sold increased $0.8 million, or 31%, to $ 3.5 million for the nine months ended September 30, 2022, compared to the nine months ended September 30, 2021. This increase was primarily due to higher sales of Barostim.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Gross profit was $11.8 million for the nine months ended September 30, 2022, an increase of $ 5.1 million, or 76%, over the nine months ended September 30, 2021. Gross margin increased to 77% for the nine months ended September 30, 2022, compared to 72% for the nine months ended September 30, 2021. Gross margin for the nine months ended September 30, 2022 was higher due to a decrease in the cost per unit and an increase in the average selling price. This was partially offset by a larger percentage of our revenue units coming from full systems versus battery replacements.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R&amp;D expenses increased $1.2 million, or 21%, to $6.9 million for the nine months ended September 30, 2022, compared to the nine months ended September 30, 2021. This change was primarily driven by a $1.3 million increase in compensation expenses, mainly as a result of increased headcount, partially offset by a $0.1 million decrease in clinical study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SG&amp;A expenses increased $17.7 million, or 98%, to $35.9 million for the nine months ended September 30, 2022, compared to the nine months ended September 30, 2021. This was primarily driven by a $9.9 million increase in compensation expenses, mainly as a result of increased headcount, a $ 1.8 million increase in travel expenses, a $1.6 million increase in non-cash stock-based compensation expense, a $ 1.5 million increase in marketing and advertising expenses associated with the commercialization of Barostim in the U.S., a $1.3 million increase in public company costs, and a $1.2 million increase in consulting fees.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jc w:val="both"/>
        <w:ind w:left="60" w:right="179"/>
        <w:spacing w:after="0"/>
        <w:rPr>
          <w:sz w:val="20"/>
          <w:szCs w:val="20"/>
          <w:color w:val="auto"/>
        </w:rPr>
      </w:pPr>
      <w:r>
        <w:rPr>
          <w:rFonts w:ascii="Arial" w:cs="Arial" w:eastAsia="Arial" w:hAnsi="Arial"/>
          <w:sz w:val="18"/>
          <w:szCs w:val="18"/>
          <w:color w:val="auto"/>
        </w:rPr>
        <w:t>Interest expense decreased $1.8 million for the nine months ended September 30, 2022, compared to the nine months ended September 30, 2021. This decrease was driven by the repayment of the outstanding debt under the Horizon loan agreement in November 2021.</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Other income, net was $0.2 million for the nine months ended September 30, 2022, compared to other expense, net of $13.4 million for the nine months ended September 30, 2021. The expense for the nine months ended September 30, 2021 was primarily driven by the increase in fair value of the convertible preferred stock warrant liability from December 31, 2020 to July 2, 2021, which is the date the warrants converted to common stock warrants. As these preferred stock warrants converted to common stock warrants upon the IPO, there is no longer a change in fair value recorded in other income (expense), net.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Provision for income taxes was nominal for each of the nine months ended September 30, 2022 and September 30,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38"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September 30, 2022 and December 31, 2021, we had cash and cash equivalents of $110.0 million and $142.1 million, respectively. For the three months ended September 30, 2022 and 2021, our net losses were $9.8 million and $6.1 million, respectively. For the nine months ended September 30, 2022 and 2021, our net losses were $30.9 million and $32.5 million, respectively. Our net cash used in operating activities for the nine months ended September 30, 2022 and 2021 was $31.8 million and $20.7 million, respectively.</w:t>
      </w:r>
    </w:p>
    <w:p>
      <w:pPr>
        <w:spacing w:after="0" w:line="203" w:lineRule="exact"/>
        <w:rPr>
          <w:sz w:val="20"/>
          <w:szCs w:val="20"/>
          <w:color w:val="auto"/>
        </w:rPr>
      </w:pPr>
    </w:p>
    <w:p>
      <w:pPr>
        <w:ind w:left="60" w:right="379"/>
        <w:spacing w:after="0" w:line="274" w:lineRule="auto"/>
        <w:rPr>
          <w:sz w:val="20"/>
          <w:szCs w:val="20"/>
          <w:color w:val="auto"/>
        </w:rPr>
      </w:pPr>
      <w:r>
        <w:rPr>
          <w:rFonts w:ascii="Arial" w:cs="Arial" w:eastAsia="Arial" w:hAnsi="Arial"/>
          <w:sz w:val="17"/>
          <w:szCs w:val="17"/>
          <w:color w:val="auto"/>
        </w:rPr>
        <w:t>Prior to the IPO, our operations were financed primarily by aggregate net proceeds from the sale of our convertible preferred stock of $383.1 million, as well as debt financings. In September 2019, we entered into</w:t>
      </w:r>
    </w:p>
    <w:p>
      <w:pPr>
        <w:sectPr>
          <w:pgSz w:w="11900" w:h="16838" w:orient="portrait"/>
          <w:cols w:equalWidth="0" w:num="1">
            <w:col w:w="9019"/>
          </w:cols>
          <w:pgMar w:left="1440" w:top="517" w:right="1440"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Horizon loan agreement to borrow $20.0 million, which was fully repaid on November 3, 2021. In July 2020, we completed an equity financing pursuant to which we issued 62,500,000 shares of Series G convertible preferred stock at a price of $0.80 per share, for net proceeds of $49.8 million after deducting offering expenses. On July 2, 2021, we closed our IPO for net proceeds from the offering, after deducting the underwriting discount and other offering expenses payable by us, of $133.2 million. On October 31, 2022, we entered into a loan and security agreement under which we may borrow, subject to our achievement of certain milestones, up to a total of $50.0 million in a series of term loans described in Note 13 to our consolidated financial statements included elsewhere in this Quarterly Report on Form 10-Q and we borrowed $7.5 million of such total on that date to fund our commercial and investment efforts.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our investment in our U.S. commercial infrastructure and sales forces;</w:t>
      </w:r>
    </w:p>
    <w:p>
      <w:pPr>
        <w:spacing w:after="0" w:line="225" w:lineRule="exact"/>
        <w:rPr>
          <w:rFonts w:ascii="Arial" w:cs="Arial" w:eastAsia="Arial" w:hAnsi="Arial"/>
          <w:sz w:val="18"/>
          <w:szCs w:val="18"/>
          <w:color w:val="231F20"/>
        </w:rPr>
      </w:pPr>
    </w:p>
    <w:p>
      <w:pPr>
        <w:ind w:left="380" w:right="999" w:hanging="330"/>
        <w:spacing w:after="0" w:line="246" w:lineRule="auto"/>
        <w:tabs>
          <w:tab w:leader="none" w:pos="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the costs of commercialization activities, including product sales, marketing, manufacturing and distribution;</w:t>
      </w:r>
    </w:p>
    <w:p>
      <w:pPr>
        <w:spacing w:after="0" w:line="236" w:lineRule="exact"/>
        <w:rPr>
          <w:rFonts w:ascii="Arial" w:cs="Arial" w:eastAsia="Arial" w:hAnsi="Arial"/>
          <w:sz w:val="17"/>
          <w:szCs w:val="17"/>
          <w:color w:val="231F20"/>
        </w:rPr>
      </w:pPr>
    </w:p>
    <w:p>
      <w:pPr>
        <w:ind w:left="380" w:hanging="330"/>
        <w:spacing w:after="0"/>
        <w:tabs>
          <w:tab w:leader="none" w:pos="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5" w:lineRule="exact"/>
        <w:rPr>
          <w:rFonts w:ascii="Arial" w:cs="Arial" w:eastAsia="Arial" w:hAnsi="Arial"/>
          <w:sz w:val="18"/>
          <w:szCs w:val="18"/>
          <w:color w:val="231F20"/>
        </w:rPr>
      </w:pPr>
    </w:p>
    <w:p>
      <w:pPr>
        <w:ind w:left="380" w:right="379" w:hanging="330"/>
        <w:spacing w:after="0" w:line="246" w:lineRule="auto"/>
        <w:tabs>
          <w:tab w:leader="none" w:pos="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our need to implement additional infrastructure and internal systems;</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5"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We believe that our existing cash resources and term loan facility together with revenue will be sufficient to meet our forecasted requirements for operating liquidity, capital expenditures and debt services for at least the next three years. If these sources are insufficient to satisfy our liquidity requirements, however, we may seek to sell additional equity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spacing w:after="0" w:line="20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indicated below:</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center"/>
              <w:ind w:right="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6"/>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center"/>
              <w:ind w:right="5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53"/>
              <w:spacing w:after="0"/>
              <w:rPr>
                <w:sz w:val="20"/>
                <w:szCs w:val="20"/>
                <w:color w:val="auto"/>
              </w:rPr>
            </w:pPr>
            <w:r>
              <w:rPr>
                <w:rFonts w:ascii="Arial" w:cs="Arial" w:eastAsia="Arial" w:hAnsi="Arial"/>
                <w:sz w:val="14"/>
                <w:szCs w:val="14"/>
                <w:i w:val="1"/>
                <w:iCs w:val="1"/>
                <w:color w:val="auto"/>
              </w:rPr>
              <w:t>(unaudited)</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(31,836)</w:t>
            </w:r>
          </w:p>
        </w:tc>
        <w:tc>
          <w:tcPr>
            <w:tcW w:w="140" w:type="dxa"/>
            <w:vAlign w:val="bottom"/>
          </w:tcPr>
          <w:p>
            <w:pPr>
              <w:spacing w:after="0"/>
              <w:rPr>
                <w:sz w:val="17"/>
                <w:szCs w:val="17"/>
                <w:color w:val="auto"/>
              </w:rPr>
            </w:pPr>
          </w:p>
        </w:tc>
        <w:tc>
          <w:tcPr>
            <w:tcW w:w="1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(20,717)</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133,170</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(32,087)</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111,801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3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Net cash used in operating activities for the nine months ended September 30, 2022, was $31.8 million and consisted primarily of a net loss of $ 30.9 million and a decrease in net operating assets of $4.1 million, partially offset by a non-cash charge of $2.8 million related to stock-based compensation expense. Net operating assets consisted primarily of inventory, accounts receivable, prepaid expenses and other current assets, accounts payable and accrued expenses to support the growth of our operations.</w:t>
      </w:r>
    </w:p>
    <w:p>
      <w:pPr>
        <w:spacing w:after="0" w:line="20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Net cash used in operating activities for the nine months ended September 30, 2021 was $20.7 million and consisted primarily of a net loss of $ 32.5 million and a decrease in net operating assets of $3.0 million, partially offset by non-cash charges of $ 13.3 million related to the fair value adjustment to our convertible preferred stock warrants and $1.2 million from non-cash stock-based compensation expense. Net operating assets consisted primarily of inventory, accounts receivable and accrued expenses to support the growth of our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30"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Cash used in investing activities was $0.6 million for each of the nine months ended September 30, 2022 and 2021, and consisted of purchases of property and equipment.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3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Net cash provided by financing activities for the nine months ended September 30, 2022, was $0.4 million and consisted of $0.3 million related to proceeds from the ESPP and $0.1 million related to proceeds from the exercise of common stock options.</w:t>
      </w:r>
    </w:p>
    <w:p>
      <w:pPr>
        <w:spacing w:after="0" w:line="203"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Net cash provided by financing activities for the nine months ended September 30, 2021 was $133.2 million and consisted primarily of proceeds from the issuance of common stock of $133.2 million.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38"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There have been no material changes to our contractual obligations as of September 30, 2022, as compared to those disclosed in our Annual Report on Form 10-K for the year ended December 31,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our management to make estimates and judgments that affect the amounts reported in our condensed consolidated financial statements and accompanying notes included elsewhere in this Quarterly Report on Form 10-Q. We base our estimates on historical experience and on various other assumptions that we</w:t>
      </w:r>
    </w:p>
    <w:p>
      <w:pPr>
        <w:sectPr>
          <w:pgSz w:w="11900" w:h="16838" w:orient="portrait"/>
          <w:cols w:equalWidth="0" w:num="1">
            <w:col w:w="9019"/>
          </w:cols>
          <w:pgMar w:left="1440" w:top="517" w:right="1440"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believe to be reasonable and supportable under the circumstances. The results of this evaluation then form the basis for making judgments about the carrying values of assets and liabilities that are not readily apparent from other sources. Actual results may differ from these estimates under different assumptions or conditions, and such differences may be material to our condensed consolidated financial statements.</w:t>
      </w:r>
    </w:p>
    <w:p>
      <w:pPr>
        <w:spacing w:after="0" w:line="205" w:lineRule="exact"/>
        <w:rPr>
          <w:sz w:val="20"/>
          <w:szCs w:val="20"/>
          <w:color w:val="auto"/>
        </w:rPr>
      </w:pPr>
    </w:p>
    <w:p>
      <w:pPr>
        <w:ind w:left="60" w:right="539"/>
        <w:spacing w:after="0" w:line="238" w:lineRule="auto"/>
        <w:rPr>
          <w:sz w:val="20"/>
          <w:szCs w:val="20"/>
          <w:color w:val="auto"/>
        </w:rPr>
      </w:pPr>
      <w:r>
        <w:rPr>
          <w:rFonts w:ascii="Arial" w:cs="Arial" w:eastAsia="Arial" w:hAnsi="Arial"/>
          <w:sz w:val="18"/>
          <w:szCs w:val="18"/>
          <w:color w:val="auto"/>
        </w:rPr>
        <w:t>While our significant accounting policies are more fully described in Note 2 to our condensed consolidated financial statements included elsewhere in this Quarterly Report on Form 10-Q,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maintain an equity incentive plan that was adopted in 2001 to provide long-term incentives for employees, consultants, and members of the Board of Directors. The plan allows for the issuance of non-statutory and incentive stock options to employees and non-statutory stock options to consultants and non-employee directors. In connection with the IPO, we adopted the 2021 Plan under which we may grant equity incentive awards to eligible employees (including our named executive officers), non-employee directors and consultants in order to enable us to obtain and retain services of these individuals, which we deem as essential to our long-term success.</w:t>
      </w:r>
    </w:p>
    <w:p>
      <w:pPr>
        <w:spacing w:after="0" w:line="20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recognize equity-based compensation expense for awards of equity instruments to employees and non-employees based on the grant date fair value of those awards in accordance with ASC 718. ASC 718 requires all equity-based compensation awards to employees and non-employee directors, including grants of restricted shares and stock options, to be recognized as expense in the condensed consolidated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w:t>
      </w:r>
    </w:p>
    <w:p>
      <w:pPr>
        <w:spacing w:after="0" w:line="203"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The Black-Scholes option pricing model requires the input of certain subjective assumptions, including (i) the fair value of common stock, (ii) the expected share price volatility, (iii) the expected term of the award, (iv) the risk-free interest rate and (v) the expected dividend yield.</w:t>
      </w:r>
    </w:p>
    <w:p>
      <w:pPr>
        <w:spacing w:after="0" w:line="189" w:lineRule="exact"/>
        <w:rPr>
          <w:sz w:val="20"/>
          <w:szCs w:val="20"/>
          <w:color w:val="auto"/>
        </w:rPr>
      </w:pPr>
    </w:p>
    <w:p>
      <w:pPr>
        <w:ind w:left="380" w:right="99" w:hanging="330"/>
        <w:spacing w:after="0" w:line="234" w:lineRule="auto"/>
        <w:tabs>
          <w:tab w:leader="none" w:pos="380" w:val="left"/>
        </w:tabs>
        <w:numPr>
          <w:ilvl w:val="0"/>
          <w:numId w:val="10"/>
        </w:numPr>
        <w:rPr>
          <w:rFonts w:ascii="Arial" w:cs="Arial" w:eastAsia="Arial" w:hAnsi="Arial"/>
          <w:sz w:val="22"/>
          <w:szCs w:val="22"/>
          <w:color w:val="auto"/>
        </w:rPr>
      </w:pPr>
      <w:r>
        <w:rPr>
          <w:rFonts w:ascii="Arial" w:cs="Arial" w:eastAsia="Arial" w:hAnsi="Arial"/>
          <w:sz w:val="18"/>
          <w:szCs w:val="18"/>
          <w:color w:val="231F20"/>
        </w:rPr>
        <w:t>Fair value of common stock — Given the absence of a public trading market for our common stock prior to the IPO, the fair value of our common stock was determined by our Board of Directors with the assistance of an unrelated third-party valuation firm. The valuation was determined in accordance with the guidance provided by the American Institute of Certified Public Accountants Practice Guide, Valuation of Privately-Held Company Equity Securities Issued as Compensation. For the valuation as of the date of pricing of the IPO, the fair value of our common stock was determined by our Board of Directors to be the public offering price of the shares of common stock issued in the IPO. For valuations after the completion of the IPO, our Board of Directors determines the fair value of each share of common stock based on the closing price of our common stock as reported on the date of grant. Future expense amounts for any particular period could be affected by changes in our assumptions or market conditions.</w:t>
      </w:r>
    </w:p>
    <w:p>
      <w:pPr>
        <w:spacing w:after="0" w:line="191" w:lineRule="exact"/>
        <w:rPr>
          <w:rFonts w:ascii="Arial" w:cs="Arial" w:eastAsia="Arial" w:hAnsi="Arial"/>
          <w:sz w:val="22"/>
          <w:szCs w:val="22"/>
          <w:color w:val="auto"/>
        </w:rPr>
      </w:pPr>
    </w:p>
    <w:p>
      <w:pPr>
        <w:ind w:left="380" w:right="79" w:hanging="330"/>
        <w:spacing w:after="0" w:line="243"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 xml:space="preserve">Expected share price volatility — Due to the lack of a public market for the trading of our common stock and a lack of company-specific historical and implied volatility data, we have based our estimate of expected volatility on the historical volatility of a group of similar (guideline) companies that are publicly traded. The historical volatility is calculated based on a period of time commensurate with the expected term assumption. The group of guideline companies have characteristics similar to us, including stage of product development and focus </w:t>
      </w:r>
      <w:r>
        <w:rPr>
          <w:rFonts w:ascii="Arial" w:cs="Arial" w:eastAsia="Arial" w:hAnsi="Arial"/>
          <w:sz w:val="18"/>
          <w:szCs w:val="18"/>
          <w:color w:val="000000"/>
        </w:rPr>
        <w:t>on the life science industry.</w:t>
      </w:r>
    </w:p>
    <w:p>
      <w:pPr>
        <w:spacing w:after="0" w:line="187" w:lineRule="exact"/>
        <w:rPr>
          <w:rFonts w:ascii="Arial" w:cs="Arial" w:eastAsia="Arial" w:hAnsi="Arial"/>
          <w:sz w:val="18"/>
          <w:szCs w:val="18"/>
          <w:color w:val="auto"/>
        </w:rPr>
      </w:pPr>
    </w:p>
    <w:p>
      <w:pPr>
        <w:ind w:left="380" w:right="79" w:hanging="330"/>
        <w:spacing w:after="0" w:line="256" w:lineRule="auto"/>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Expected term of an award — Determined based on our analysis of historical exercise behavior while taking into consideration various participant demographics and option characteristics. We utilize the simplified method to develop the estimate of the expected term.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79" w:hanging="330"/>
        <w:spacing w:after="0" w:line="277" w:lineRule="auto"/>
        <w:tabs>
          <w:tab w:leader="none" w:pos="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Risk-free interest rate — Based on a treasury instrument whose term is consistent with the expected term of the stock options.</w:t>
      </w:r>
    </w:p>
    <w:p>
      <w:pPr>
        <w:spacing w:after="0" w:line="156" w:lineRule="exact"/>
        <w:rPr>
          <w:rFonts w:ascii="Arial" w:cs="Arial" w:eastAsia="Arial" w:hAnsi="Arial"/>
          <w:sz w:val="18"/>
          <w:szCs w:val="18"/>
          <w:color w:val="231F20"/>
        </w:rPr>
      </w:pPr>
    </w:p>
    <w:p>
      <w:pPr>
        <w:ind w:left="380" w:right="859" w:hanging="330"/>
        <w:spacing w:after="0" w:line="277" w:lineRule="auto"/>
        <w:tabs>
          <w:tab w:leader="none" w:pos="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Expected dividend yield — We assume an expected dividend yield of zero, as we have never paid dividends and have no current plans to pay any dividends on our common stock.</w:t>
      </w:r>
    </w:p>
    <w:p>
      <w:pPr>
        <w:spacing w:after="0" w:line="170" w:lineRule="exact"/>
        <w:rPr>
          <w:sz w:val="20"/>
          <w:szCs w:val="20"/>
          <w:color w:val="auto"/>
        </w:rPr>
      </w:pPr>
    </w:p>
    <w:p>
      <w:pPr>
        <w:jc w:val="both"/>
        <w:ind w:left="60" w:right="239"/>
        <w:spacing w:after="0"/>
        <w:rPr>
          <w:sz w:val="20"/>
          <w:szCs w:val="20"/>
          <w:color w:val="auto"/>
        </w:rPr>
      </w:pPr>
      <w:r>
        <w:rPr>
          <w:rFonts w:ascii="Arial" w:cs="Arial" w:eastAsia="Arial" w:hAnsi="Arial"/>
          <w:sz w:val="18"/>
          <w:szCs w:val="18"/>
          <w:color w:val="auto"/>
        </w:rPr>
        <w:t>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3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38" w:lineRule="exact"/>
        <w:rPr>
          <w:sz w:val="20"/>
          <w:szCs w:val="20"/>
          <w:color w:val="auto"/>
        </w:rPr>
      </w:pPr>
    </w:p>
    <w:p>
      <w:pPr>
        <w:ind w:left="60" w:right="719"/>
        <w:spacing w:after="0" w:line="246" w:lineRule="auto"/>
        <w:rPr>
          <w:sz w:val="20"/>
          <w:szCs w:val="20"/>
          <w:color w:val="auto"/>
        </w:rPr>
      </w:pPr>
      <w:r>
        <w:rPr>
          <w:rFonts w:ascii="Arial" w:cs="Arial" w:eastAsia="Arial" w:hAnsi="Arial"/>
          <w:sz w:val="18"/>
          <w:szCs w:val="18"/>
          <w:color w:val="auto"/>
        </w:rPr>
        <w:t>A discussion of recent accounting pronouncements is included in Note 2 to our condensed consolidated financial statements included elsewhere in this Quarterly Report on Form 10-Q.</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4" w:lineRule="exact"/>
        <w:rPr>
          <w:sz w:val="20"/>
          <w:szCs w:val="20"/>
          <w:color w:val="auto"/>
        </w:rPr>
      </w:pPr>
    </w:p>
    <w:p>
      <w:pPr>
        <w:ind w:left="60" w:right="179"/>
        <w:spacing w:after="0" w:line="274" w:lineRule="auto"/>
        <w:rPr>
          <w:sz w:val="20"/>
          <w:szCs w:val="20"/>
          <w:color w:val="auto"/>
        </w:rPr>
      </w:pPr>
      <w:r>
        <w:rPr>
          <w:rFonts w:ascii="Arial" w:cs="Arial" w:eastAsia="Arial" w:hAnsi="Arial"/>
          <w:sz w:val="17"/>
          <w:szCs w:val="17"/>
          <w:color w:val="auto"/>
        </w:rPr>
        <w:t>The risk associated with fluctuating interest rates is primarily limited to our cash equivalents, which are carried at quoted market prices. We do not currently use or plan to use financial derivatives in our investment portfolio.</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34"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Portions of our revenue and operating expenses that are incurred outside the U.S. are thus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34" w:lineRule="exact"/>
        <w:rPr>
          <w:sz w:val="20"/>
          <w:szCs w:val="20"/>
          <w:color w:val="auto"/>
        </w:rPr>
      </w:pPr>
    </w:p>
    <w:p>
      <w:pPr>
        <w:ind w:left="60" w:right="239"/>
        <w:spacing w:after="0" w:line="248"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spacing w:after="0" w:line="2"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34"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As of September 30, 2022 and December 31, 2021, our cash and cash equivalents were maintained with one financial institution in the U.S., and our current deposits are likely in excess of insured limits. We believe this institution has sufficient assets and liquidity to conduct its operations in the ordinary course of business with little or no credit risk to us.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Controls and Procedures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0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Legal Proceedings</w:t>
      </w:r>
    </w:p>
    <w:p>
      <w:pPr>
        <w:spacing w:after="0" w:line="130"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1A. Risk Factors</w:t>
      </w:r>
    </w:p>
    <w:p>
      <w:pPr>
        <w:spacing w:after="0" w:line="143" w:lineRule="exact"/>
        <w:rPr>
          <w:sz w:val="20"/>
          <w:szCs w:val="20"/>
          <w:color w:val="auto"/>
        </w:rPr>
      </w:pPr>
    </w:p>
    <w:p>
      <w:pPr>
        <w:ind w:left="60" w:right="79"/>
        <w:spacing w:after="0" w:line="303" w:lineRule="auto"/>
        <w:rPr>
          <w:sz w:val="20"/>
          <w:szCs w:val="20"/>
          <w:color w:val="auto"/>
        </w:rPr>
      </w:pPr>
      <w:r>
        <w:rPr>
          <w:rFonts w:ascii="Arial" w:cs="Arial" w:eastAsia="Arial" w:hAnsi="Arial"/>
          <w:sz w:val="17"/>
          <w:szCs w:val="17"/>
          <w:color w:val="auto"/>
        </w:rPr>
        <w:t>For a discussion of our potential risks and uncertainties, see the information in Part I, Item IA. “Risk Factors” in our Annual Report on Form 10-K for the year ended December 31, 2021. There have been no material changes to the risk factors disclosed in our Annual Report on Form 10-K for the year ended December 31, 2021.</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5. Other Information</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Exhibits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gridSpan w:val="9"/>
          </w:tcPr>
          <w:p>
            <w:pPr>
              <w:jc w:val="center"/>
              <w:ind w:right="1000"/>
              <w:spacing w:after="0"/>
              <w:rPr>
                <w:sz w:val="20"/>
                <w:szCs w:val="20"/>
                <w:color w:val="auto"/>
              </w:rPr>
            </w:pPr>
            <w:r>
              <w:rPr>
                <w:rFonts w:ascii="Arial" w:cs="Arial" w:eastAsia="Arial" w:hAnsi="Arial"/>
                <w:sz w:val="22"/>
                <w:szCs w:val="22"/>
                <w:b w:val="1"/>
                <w:bCs w:val="1"/>
                <w:color w:val="auto"/>
                <w:w w:val="98"/>
              </w:rPr>
              <w:t>EXHIBIT INDEX</w:t>
            </w:r>
          </w:p>
        </w:tc>
      </w:tr>
      <w:tr>
        <w:trPr>
          <w:trHeight w:val="449"/>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0"/>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371"/>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7900" w:type="dxa"/>
            <w:vAlign w:val="bottom"/>
            <w:gridSpan w:val="9"/>
          </w:tcPr>
          <w:p>
            <w:pPr>
              <w:spacing w:after="0"/>
              <w:rPr>
                <w:rFonts w:ascii="Arial" w:cs="Arial" w:eastAsia="Arial" w:hAnsi="Arial"/>
                <w:sz w:val="18"/>
                <w:szCs w:val="18"/>
                <w:color w:val="0000EE"/>
              </w:rPr>
            </w:pPr>
            <w:hyperlink r:id="rId51">
              <w:r>
                <w:rPr>
                  <w:rFonts w:ascii="Arial" w:cs="Arial" w:eastAsia="Arial" w:hAnsi="Arial"/>
                  <w:sz w:val="18"/>
                  <w:szCs w:val="18"/>
                  <w:color w:val="0000EE"/>
                </w:rPr>
                <w:t>Amended and Restated Certificate of Incorporation of CVRx, Inc. (incorporated by reference to</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Exhibit 3.1 to the Company’s Current Report on Form 8-K filed on July 7, 2021)</w:t>
              </w:r>
            </w:hyperlink>
          </w:p>
        </w:tc>
        <w:tc>
          <w:tcPr>
            <w:tcW w:w="400" w:type="dxa"/>
            <w:vAlign w:val="bottom"/>
            <w:gridSpan w:val="4"/>
          </w:tcPr>
          <w:p>
            <w:pPr>
              <w:spacing w:after="0"/>
              <w:rPr>
                <w:sz w:val="15"/>
                <w:szCs w:val="15"/>
                <w:color w:val="auto"/>
              </w:rPr>
            </w:pPr>
          </w:p>
        </w:tc>
      </w:tr>
      <w:tr>
        <w:trPr>
          <w:trHeight w:val="20"/>
        </w:trPr>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7480" w:type="dxa"/>
            <w:vAlign w:val="bottom"/>
            <w:tcBorders>
              <w:bottom w:val="single" w:sz="8" w:color="0000EE"/>
            </w:tcBorders>
            <w:gridSpan w:val="4"/>
          </w:tcPr>
          <w:p>
            <w:pPr>
              <w:spacing w:after="0"/>
              <w:rPr>
                <w:rFonts w:ascii="Arial" w:cs="Arial" w:eastAsia="Arial" w:hAnsi="Arial"/>
                <w:sz w:val="18"/>
                <w:szCs w:val="18"/>
                <w:color w:val="0000EE"/>
                <w:w w:val="99"/>
              </w:rPr>
            </w:pPr>
            <w:hyperlink r:id="rId52">
              <w:r>
                <w:rPr>
                  <w:rFonts w:ascii="Arial" w:cs="Arial" w:eastAsia="Arial" w:hAnsi="Arial"/>
                  <w:sz w:val="18"/>
                  <w:szCs w:val="18"/>
                  <w:color w:val="0000EE"/>
                  <w:w w:val="99"/>
                </w:rPr>
                <w:t>Amended and Restated By-Laws of CVRx, Inc. (incorporated by reference to Exhibit 3.2 to the</w:t>
              </w:r>
            </w:hyperlink>
          </w:p>
        </w:tc>
        <w:tc>
          <w:tcPr>
            <w:tcW w:w="420" w:type="dxa"/>
            <w:vAlign w:val="bottom"/>
            <w:gridSpan w:val="5"/>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8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52">
              <w:r>
                <w:rPr>
                  <w:rFonts w:ascii="Arial" w:cs="Arial" w:eastAsia="Arial" w:hAnsi="Arial"/>
                  <w:sz w:val="18"/>
                  <w:szCs w:val="18"/>
                  <w:color w:val="0000EE"/>
                  <w:w w:val="99"/>
                </w:rPr>
                <w:t>Company’s Current Report on Form 8-K filed on July 7, 2021)</w:t>
              </w:r>
            </w:hyperlink>
          </w:p>
        </w:tc>
        <w:tc>
          <w:tcPr>
            <w:tcW w:w="3020" w:type="dxa"/>
            <w:vAlign w:val="bottom"/>
            <w:gridSpan w:val="7"/>
          </w:tcPr>
          <w:p>
            <w:pPr>
              <w:spacing w:after="0"/>
              <w:rPr>
                <w:sz w:val="15"/>
                <w:szCs w:val="15"/>
                <w:color w:val="auto"/>
              </w:rPr>
            </w:pPr>
          </w:p>
        </w:tc>
      </w:tr>
      <w:tr>
        <w:trPr>
          <w:trHeight w:val="42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77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Certification of Chief Executive Officer Pursuant to Section 302 of the Sarbanes-Oxley Act of 2002</w:t>
            </w:r>
          </w:p>
        </w:tc>
        <w:tc>
          <w:tcPr>
            <w:tcW w:w="120" w:type="dxa"/>
            <w:vAlign w:val="bottom"/>
            <w:gridSpan w:val="2"/>
          </w:tcPr>
          <w:p>
            <w:pPr>
              <w:spacing w:after="0"/>
              <w:rPr>
                <w:sz w:val="24"/>
                <w:szCs w:val="24"/>
                <w:color w:val="auto"/>
              </w:rPr>
            </w:pPr>
          </w:p>
        </w:tc>
      </w:tr>
      <w:tr>
        <w:trPr>
          <w:trHeight w:val="399"/>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77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Certification of Chief Financial Officer Pursuant to Section 302 of the Sarbanes-Oxley Act of 2002</w:t>
            </w:r>
          </w:p>
        </w:tc>
        <w:tc>
          <w:tcPr>
            <w:tcW w:w="180" w:type="dxa"/>
            <w:vAlign w:val="bottom"/>
            <w:gridSpan w:val="3"/>
          </w:tcPr>
          <w:p>
            <w:pPr>
              <w:spacing w:after="0"/>
              <w:rPr>
                <w:sz w:val="24"/>
                <w:szCs w:val="24"/>
                <w:color w:val="auto"/>
              </w:rPr>
            </w:pPr>
          </w:p>
        </w:tc>
      </w:tr>
      <w:tr>
        <w:trPr>
          <w:trHeight w:val="398"/>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0000EE"/>
              </w:rPr>
              <w:t>Certification of Chief Executive Officer Pursuant to 18 U.S.C. Section 1350, as adopted pursuant to</w:t>
            </w: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60" w:type="dxa"/>
            <w:vAlign w:val="bottom"/>
          </w:tcPr>
          <w:p>
            <w:pPr>
              <w:spacing w:after="0"/>
              <w:rPr>
                <w:sz w:val="17"/>
                <w:szCs w:val="17"/>
                <w:color w:val="auto"/>
              </w:rPr>
            </w:pPr>
          </w:p>
        </w:tc>
      </w:tr>
      <w:tr>
        <w:trPr>
          <w:trHeight w:val="65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tcBorders>
              <w:top w:val="single" w:sz="8" w:color="0000EE"/>
            </w:tcBorders>
          </w:tcPr>
          <w:p>
            <w:pPr>
              <w:jc w:val="right"/>
              <w:ind w:right="88"/>
              <w:spacing w:after="0"/>
              <w:rPr>
                <w:sz w:val="20"/>
                <w:szCs w:val="20"/>
                <w:color w:val="auto"/>
              </w:rPr>
            </w:pPr>
            <w:r>
              <w:rPr>
                <w:rFonts w:ascii="Arial" w:cs="Arial" w:eastAsia="Arial" w:hAnsi="Arial"/>
                <w:sz w:val="18"/>
                <w:szCs w:val="18"/>
                <w:color w:val="auto"/>
              </w:rPr>
              <w:t>34</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34"/>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99" w:hanging="969"/>
        <w:spacing w:after="0" w:line="261" w:lineRule="auto"/>
        <w:tabs>
          <w:tab w:leader="none" w:pos="10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EE"/>
        </w:rPr>
        <w:t>Certification of Chief Financial Officer Pursuant to 18 U.S.C. Section 1350, as adopted pursuant to Section 906 of the Sarbanes-Oxley Act of 2002</w:t>
      </w:r>
    </w:p>
    <w:p>
      <w:pPr>
        <w:spacing w:after="0" w:line="184" w:lineRule="exact"/>
        <w:rPr>
          <w:sz w:val="20"/>
          <w:szCs w:val="20"/>
          <w:color w:val="auto"/>
        </w:rPr>
      </w:pPr>
    </w:p>
    <w:p>
      <w:pPr>
        <w:ind w:left="1020" w:right="299" w:hanging="969"/>
        <w:spacing w:after="0" w:line="277" w:lineRule="auto"/>
        <w:tabs>
          <w:tab w:leader="none" w:pos="1000" w:val="left"/>
        </w:tabs>
        <w:rPr>
          <w:sz w:val="20"/>
          <w:szCs w:val="20"/>
          <w:color w:val="auto"/>
        </w:rPr>
      </w:pPr>
      <w:r>
        <w:rPr>
          <w:rFonts w:ascii="Arial" w:cs="Arial" w:eastAsia="Arial" w:hAnsi="Arial"/>
          <w:sz w:val="18"/>
          <w:szCs w:val="18"/>
          <w:color w:val="auto"/>
        </w:rPr>
        <w:t>101.INS†</w:t>
        <w:tab/>
        <w:t>Inline XBRL Instance Document – the instance document does not appear in the Interactive Data File because its XBRL tags are embedded within the Inline XBRL document</w:t>
      </w:r>
    </w:p>
    <w:p>
      <w:pPr>
        <w:spacing w:after="0" w:line="14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Inline XBRL Taxonomy Extension Schema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7"/>
          <w:szCs w:val="17"/>
          <w:color w:val="auto"/>
        </w:rPr>
        <w:t>Inline XBRL Taxonomy Extension Calculation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Inline XBRL Taxonomy Extension Definition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Inline XBRL Taxonomy Extension Label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83185</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5" w:lineRule="exact"/>
        <w:rPr>
          <w:sz w:val="20"/>
          <w:szCs w:val="20"/>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8"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4, 2022</w:t>
      </w:r>
    </w:p>
    <w:p>
      <w:pPr>
        <w:spacing w:after="0" w:line="20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CVRX, INC.</w:t>
      </w:r>
    </w:p>
    <w:p>
      <w:pPr>
        <w:spacing w:after="0" w:line="243"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Nadim Yared</w:t>
      </w:r>
    </w:p>
    <w:p>
      <w:pPr>
        <w:ind w:left="3940"/>
        <w:spacing w:after="0"/>
        <w:rPr>
          <w:sz w:val="20"/>
          <w:szCs w:val="20"/>
          <w:color w:val="auto"/>
        </w:rPr>
      </w:pPr>
      <w:r>
        <w:rPr>
          <w:rFonts w:ascii="Arial" w:cs="Arial" w:eastAsia="Arial" w:hAnsi="Arial"/>
          <w:sz w:val="18"/>
          <w:szCs w:val="18"/>
          <w:color w:val="auto"/>
        </w:rPr>
        <w:t>Name: Nadim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President and Chief Executive Officer</w:t>
      </w:r>
    </w:p>
    <w:p>
      <w:pPr>
        <w:ind w:left="4520"/>
        <w:spacing w:after="0"/>
        <w:rPr>
          <w:sz w:val="20"/>
          <w:szCs w:val="20"/>
          <w:color w:val="auto"/>
        </w:rPr>
      </w:pPr>
      <w:r>
        <w:rPr>
          <w:rFonts w:ascii="Arial" w:cs="Arial" w:eastAsia="Arial" w:hAnsi="Arial"/>
          <w:sz w:val="18"/>
          <w:szCs w:val="18"/>
          <w:color w:val="auto"/>
        </w:rPr>
        <w:t>(Principal Executive Officer)</w:t>
      </w:r>
    </w:p>
    <w:p>
      <w:pPr>
        <w:spacing w:after="0" w:line="212"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Nadim Yared, certify that:</w:t>
      </w:r>
    </w:p>
    <w:p>
      <w:pPr>
        <w:spacing w:after="0" w:line="117"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CVRx, Inc.;</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120" w:hanging="648"/>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80" w:right="300" w:hanging="648"/>
        <w:spacing w:after="0" w:line="28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620" w:right="320" w:hanging="640"/>
        <w:spacing w:after="0" w:line="259"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20" w:right="180" w:hanging="640"/>
        <w:spacing w:after="0" w:line="263"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980" w:right="240" w:hanging="648"/>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20" w:right="120" w:hanging="640"/>
        <w:spacing w:after="0" w:line="263"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20" w:right="200" w:hanging="640"/>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04,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ind w:left="516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/s/ Nadim Yared</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Arial" w:cs="Arial" w:eastAsia="Arial" w:hAnsi="Arial"/>
                <w:sz w:val="18"/>
                <w:szCs w:val="18"/>
                <w:color w:val="auto"/>
                <w:w w:val="90"/>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Nadim Yared</w:t>
            </w:r>
          </w:p>
        </w:tc>
        <w:tc>
          <w:tcPr>
            <w:tcW w:w="0" w:type="dxa"/>
            <w:vAlign w:val="bottom"/>
          </w:tcPr>
          <w:p>
            <w:pPr>
              <w:spacing w:after="0"/>
              <w:rPr>
                <w:sz w:val="1"/>
                <w:szCs w:val="1"/>
                <w:color w:val="auto"/>
              </w:rPr>
            </w:pPr>
          </w:p>
        </w:tc>
      </w:tr>
      <w:tr>
        <w:trPr>
          <w:trHeight w:val="230"/>
        </w:trPr>
        <w:tc>
          <w:tcPr>
            <w:tcW w:w="5660" w:type="dxa"/>
            <w:vAlign w:val="bottom"/>
          </w:tcPr>
          <w:p>
            <w:pPr>
              <w:ind w:left="5160"/>
              <w:spacing w:after="0"/>
              <w:rPr>
                <w:sz w:val="20"/>
                <w:szCs w:val="20"/>
                <w:color w:val="auto"/>
              </w:rPr>
            </w:pPr>
            <w:r>
              <w:rPr>
                <w:rFonts w:ascii="Arial" w:cs="Arial" w:eastAsia="Arial" w:hAnsi="Arial"/>
                <w:sz w:val="18"/>
                <w:szCs w:val="18"/>
                <w:color w:val="auto"/>
              </w:rPr>
              <w:t>Title:</w:t>
            </w: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CVRx, Inc.;</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120" w:hanging="648"/>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80" w:right="300" w:hanging="648"/>
        <w:spacing w:after="0" w:line="28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620" w:right="320" w:hanging="640"/>
        <w:spacing w:after="0" w:line="25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20" w:right="180" w:hanging="640"/>
        <w:spacing w:after="0" w:line="263"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980" w:right="240" w:hanging="648"/>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20" w:right="120" w:hanging="640"/>
        <w:spacing w:after="0" w:line="263"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20" w:right="200" w:hanging="640"/>
        <w:spacing w:after="0" w:line="277"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04, 2022</w:t>
      </w:r>
    </w:p>
    <w:p>
      <w:pPr>
        <w:spacing w:after="0" w:line="200" w:lineRule="exact"/>
        <w:rPr>
          <w:sz w:val="20"/>
          <w:szCs w:val="20"/>
          <w:color w:val="auto"/>
        </w:rPr>
      </w:pPr>
    </w:p>
    <w:p>
      <w:pPr>
        <w:spacing w:after="0" w:line="322"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-121920</wp:posOffset>
            </wp:positionV>
            <wp:extent cx="26657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7"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connection with the quarterly report of CVRx, Inc. (the “Company”) on Form 10-Q for the period ended September 30, 2022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41" w:lineRule="exact"/>
        <w:rPr>
          <w:sz w:val="20"/>
          <w:szCs w:val="20"/>
          <w:color w:val="auto"/>
        </w:rPr>
      </w:pPr>
    </w:p>
    <w:p>
      <w:pPr>
        <w:ind w:left="1300" w:right="2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04, 2022</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Nadim Yared</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Nadim Yared</w:t>
            </w:r>
          </w:p>
        </w:tc>
        <w:tc>
          <w:tcPr>
            <w:tcW w:w="0" w:type="dxa"/>
            <w:vAlign w:val="bottom"/>
          </w:tcPr>
          <w:p>
            <w:pPr>
              <w:spacing w:after="0"/>
              <w:rPr>
                <w:sz w:val="1"/>
                <w:szCs w:val="1"/>
                <w:color w:val="auto"/>
              </w:rPr>
            </w:pPr>
          </w:p>
        </w:tc>
      </w:t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5"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connection with the quarterly report of CVRx, Inc. (the “Company”) on Form 10-Q for the period ended September 30, 2022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41" w:lineRule="exact"/>
        <w:rPr>
          <w:sz w:val="20"/>
          <w:szCs w:val="20"/>
          <w:color w:val="auto"/>
        </w:rPr>
      </w:pPr>
    </w:p>
    <w:p>
      <w:pPr>
        <w:ind w:left="1300" w:right="2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04, 2022</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Jared Oasheim</w:t>
            </w:r>
          </w:p>
        </w:tc>
        <w:tc>
          <w:tcPr>
            <w:tcW w:w="0" w:type="dxa"/>
            <w:vAlign w:val="bottom"/>
          </w:tcPr>
          <w:p>
            <w:pPr>
              <w:spacing w:after="0"/>
              <w:rPr>
                <w:sz w:val="1"/>
                <w:szCs w:val="1"/>
                <w:color w:val="auto"/>
              </w:rPr>
            </w:pPr>
          </w:p>
        </w:tc>
      </w:t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1" Type="http://schemas.openxmlformats.org/officeDocument/2006/relationships/hyperlink" Target="https://www.sec.gov/Archives/edgar/data/1235912/000110465921089779/tm2121505d1_ex3-1.htm" TargetMode="External"/><Relationship Id="rId52" Type="http://schemas.openxmlformats.org/officeDocument/2006/relationships/hyperlink" Target="https://www.sec.gov/Archives/edgar/data/1235912/000110465921089779/tm212150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2022-11-04T15:38:57Z</dcterms:created>
  <dcterms:modified xsi:type="dcterms:W3CDTF">2022-11-04T15:38:57Z</dcterms:modified>
</cp:coreProperties>
</file>