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109220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June 30, 2021</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128905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CVRx,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6"/>
                <w:szCs w:val="16"/>
                <w:color w:val="auto"/>
              </w:rPr>
            </w:pPr>
          </w:p>
        </w:tc>
      </w:tr>
      <w:tr>
        <w:trPr>
          <w:trHeight w:val="269"/>
        </w:trPr>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6"/>
                <w:szCs w:val="16"/>
                <w:color w:val="auto"/>
              </w:rPr>
            </w:pPr>
          </w:p>
        </w:tc>
      </w:tr>
      <w:tr>
        <w:trPr>
          <w:trHeight w:val="19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2"/>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9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14"/>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18"/>
                <w:szCs w:val="18"/>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4"/>
        </w:trPr>
        <w:tc>
          <w:tcPr>
            <w:tcW w:w="31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5"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The Nasdaq Global Select Market</w:t>
            </w:r>
          </w:p>
        </w:tc>
      </w:tr>
      <w:tr>
        <w:trPr>
          <w:trHeight w:val="215"/>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305" w:lineRule="exact"/>
        <w:rPr>
          <w:sz w:val="24"/>
          <w:szCs w:val="24"/>
          <w:color w:val="auto"/>
        </w:rPr>
      </w:pPr>
    </w:p>
    <w:p>
      <w:pPr>
        <w:ind w:left="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3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00" w:top="665" w:right="879" w:bottom="1440" w:gutter="0" w:footer="0" w:header="0"/>
        </w:sect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40" w:space="720"/>
            <w:col w:w="420" w:space="720"/>
            <w:col w:w="1920" w:space="720"/>
            <w:col w:w="4080"/>
          </w:cols>
          <w:pgMar w:left="800" w:top="665" w:right="87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9" w:lineRule="exact"/>
        <w:rPr>
          <w:sz w:val="24"/>
          <w:szCs w:val="24"/>
          <w:color w:val="auto"/>
        </w:rPr>
      </w:pPr>
    </w:p>
    <w:p>
      <w:pPr>
        <w:sectPr>
          <w:pgSz w:w="11900" w:h="16838" w:orient="portrait"/>
          <w:cols w:equalWidth="0" w:num="6">
            <w:col w:w="1640" w:space="720"/>
            <w:col w:w="420" w:space="720"/>
            <w:col w:w="1940" w:space="700"/>
            <w:col w:w="360" w:space="720"/>
            <w:col w:w="1920" w:space="560"/>
            <w:col w:w="520"/>
          </w:cols>
          <w:pgMar w:left="800" w:top="665" w:right="879" w:bottom="1440" w:gutter="0" w:footer="0" w:header="0"/>
          <w:type w:val="continuous"/>
        </w:sectPr>
      </w:pPr>
    </w:p>
    <w:p>
      <w:pPr>
        <w:ind w:left="40" w:right="2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left="40" w:right="84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02, 2021, there were 20,345,926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681990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81915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124460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00" w:top="665" w:right="8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40" w:type="dxa"/>
            <w:vAlign w:val="bottom"/>
            <w:gridSpan w:val="11"/>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23"/>
        </w:trPr>
        <w:tc>
          <w:tcPr>
            <w:tcW w:w="440" w:type="dxa"/>
            <w:vAlign w:val="bottom"/>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Part I</w:t>
              </w:r>
            </w:hyperlink>
          </w:p>
        </w:tc>
        <w:tc>
          <w:tcPr>
            <w:tcW w:w="800" w:type="dxa"/>
            <w:vAlign w:val="bottom"/>
            <w:gridSpan w:val="6"/>
          </w:tcPr>
          <w:p>
            <w:pPr>
              <w:spacing w:after="0"/>
              <w:rPr>
                <w:sz w:val="24"/>
                <w:szCs w:val="24"/>
                <w:color w:val="auto"/>
              </w:rPr>
            </w:pPr>
          </w:p>
        </w:tc>
        <w:tc>
          <w:tcPr>
            <w:tcW w:w="694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Item 1.</w:t>
              </w:r>
            </w:hyperlink>
          </w:p>
        </w:tc>
        <w:tc>
          <w:tcPr>
            <w:tcW w:w="760" w:type="dxa"/>
            <w:vAlign w:val="bottom"/>
            <w:gridSpan w:val="5"/>
          </w:tcPr>
          <w:p>
            <w:pPr>
              <w:spacing w:after="0"/>
              <w:rPr>
                <w:sz w:val="24"/>
                <w:szCs w:val="24"/>
                <w:color w:val="auto"/>
              </w:rPr>
            </w:pPr>
          </w:p>
        </w:tc>
        <w:tc>
          <w:tcPr>
            <w:tcW w:w="69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Balance Sheets as of June 30, 2021 and December 31, 2020</w:t>
              </w:r>
            </w:hyperlink>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(Unaudited)</w:t>
              </w:r>
            </w:hyperlink>
          </w:p>
        </w:tc>
        <w:tc>
          <w:tcPr>
            <w:tcW w:w="5860" w:type="dxa"/>
            <w:vAlign w:val="bottom"/>
            <w:gridSpan w:val="17"/>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and Comprehensive Loss for the</w:t>
              </w:r>
            </w:hyperlink>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three and six months ended June 30, 2021 and 2020 (Unaudited)</w:t>
              </w:r>
            </w:hyperlink>
          </w:p>
        </w:tc>
        <w:tc>
          <w:tcPr>
            <w:tcW w:w="18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Convertible Preferred Stock and Stockholders’</w:t>
              </w:r>
            </w:hyperlink>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Deficit for the three and six months ended June 30, 2021 and 2020 (Unaudited)</w:t>
              </w:r>
            </w:hyperlink>
          </w:p>
        </w:tc>
        <w:tc>
          <w:tcPr>
            <w:tcW w:w="500" w:type="dxa"/>
            <w:vAlign w:val="bottom"/>
            <w:gridSpan w:val="3"/>
          </w:tcPr>
          <w:p>
            <w:pPr>
              <w:spacing w:after="0"/>
              <w:rPr>
                <w:sz w:val="17"/>
                <w:szCs w:val="17"/>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gridSpan w:val="2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for the six months ended June 30,</w:t>
              </w:r>
            </w:hyperlink>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and 2020 (Unaudited)</w:t>
              </w:r>
            </w:hyperlink>
          </w:p>
        </w:tc>
        <w:tc>
          <w:tcPr>
            <w:tcW w:w="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Item 2.</w:t>
              </w:r>
            </w:hyperlink>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w:t>
              </w:r>
            </w:hyperlink>
          </w:p>
        </w:tc>
        <w:tc>
          <w:tcPr>
            <w:tcW w:w="760" w:type="dxa"/>
            <w:vAlign w:val="bottom"/>
            <w:gridSpan w:val="4"/>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Operations</w:t>
              </w:r>
            </w:hyperlink>
          </w:p>
        </w:tc>
        <w:tc>
          <w:tcPr>
            <w:tcW w:w="5920" w:type="dxa"/>
            <w:vAlign w:val="bottom"/>
            <w:gridSpan w:val="18"/>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3.</w:t>
              </w:r>
            </w:hyperlink>
          </w:p>
        </w:tc>
        <w:tc>
          <w:tcPr>
            <w:tcW w:w="680" w:type="dxa"/>
            <w:vAlign w:val="bottom"/>
            <w:gridSpan w:val="4"/>
          </w:tcPr>
          <w:p>
            <w:pPr>
              <w:spacing w:after="0"/>
              <w:rPr>
                <w:sz w:val="24"/>
                <w:szCs w:val="24"/>
                <w:color w:val="auto"/>
              </w:rPr>
            </w:pPr>
          </w:p>
        </w:tc>
        <w:tc>
          <w:tcPr>
            <w:tcW w:w="47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Quantitative and Qualitative Disclosures About Market Risk</w:t>
              </w:r>
            </w:hyperlink>
          </w:p>
        </w:tc>
        <w:tc>
          <w:tcPr>
            <w:tcW w:w="2220" w:type="dxa"/>
            <w:vAlign w:val="bottom"/>
            <w:gridSpan w:val="8"/>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Item 4.</w:t>
              </w:r>
            </w:hyperlink>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Controls and Procedures</w:t>
              </w:r>
            </w:hyperlink>
          </w:p>
        </w:tc>
        <w:tc>
          <w:tcPr>
            <w:tcW w:w="4940" w:type="dxa"/>
            <w:vAlign w:val="bottom"/>
            <w:gridSpan w:val="11"/>
          </w:tcPr>
          <w:p>
            <w:pPr>
              <w:spacing w:after="0"/>
              <w:rPr>
                <w:sz w:val="24"/>
                <w:szCs w:val="24"/>
                <w:color w:val="auto"/>
              </w:rPr>
            </w:pPr>
          </w:p>
        </w:tc>
      </w:tr>
      <w:tr>
        <w:trPr>
          <w:trHeight w:val="398"/>
        </w:trPr>
        <w:tc>
          <w:tcPr>
            <w:tcW w:w="1240" w:type="dxa"/>
            <w:vAlign w:val="bottom"/>
            <w:gridSpan w:val="7"/>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694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1.</w:t>
              </w:r>
            </w:hyperlink>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Legal Proceedings</w:t>
              </w:r>
            </w:hyperlink>
          </w:p>
        </w:tc>
        <w:tc>
          <w:tcPr>
            <w:tcW w:w="5420" w:type="dxa"/>
            <w:vAlign w:val="bottom"/>
            <w:gridSpan w:val="15"/>
          </w:tcPr>
          <w:p>
            <w:pPr>
              <w:spacing w:after="0"/>
              <w:rPr>
                <w:sz w:val="24"/>
                <w:szCs w:val="24"/>
                <w:color w:val="auto"/>
              </w:rPr>
            </w:pPr>
          </w:p>
        </w:tc>
      </w:tr>
      <w:tr>
        <w:trPr>
          <w:trHeight w:val="399"/>
        </w:trPr>
        <w:tc>
          <w:tcPr>
            <w:tcW w:w="660" w:type="dxa"/>
            <w:vAlign w:val="bottom"/>
            <w:gridSpan w:val="4"/>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1A.</w:t>
              </w:r>
            </w:hyperlink>
          </w:p>
        </w:tc>
        <w:tc>
          <w:tcPr>
            <w:tcW w:w="580" w:type="dxa"/>
            <w:vAlign w:val="bottom"/>
            <w:gridSpan w:val="3"/>
          </w:tcPr>
          <w:p>
            <w:pPr>
              <w:spacing w:after="0"/>
              <w:rPr>
                <w:sz w:val="24"/>
                <w:szCs w:val="24"/>
                <w:color w:val="auto"/>
              </w:rPr>
            </w:pPr>
          </w:p>
        </w:tc>
        <w:tc>
          <w:tcPr>
            <w:tcW w:w="694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Item 2.</w:t>
              </w:r>
            </w:hyperlink>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Unregistered Sales of Equity Securities and Use of Proceeds</w:t>
              </w:r>
            </w:hyperlink>
          </w:p>
        </w:tc>
        <w:tc>
          <w:tcPr>
            <w:tcW w:w="2080" w:type="dxa"/>
            <w:vAlign w:val="bottom"/>
            <w:gridSpan w:val="7"/>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Item 3.</w:t>
              </w:r>
            </w:hyperlink>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Defaults Upon Senior Securities</w:t>
              </w:r>
            </w:hyperlink>
          </w:p>
        </w:tc>
        <w:tc>
          <w:tcPr>
            <w:tcW w:w="4380" w:type="dxa"/>
            <w:vAlign w:val="bottom"/>
            <w:gridSpan w:val="9"/>
          </w:tcPr>
          <w:p>
            <w:pPr>
              <w:spacing w:after="0"/>
              <w:rPr>
                <w:sz w:val="24"/>
                <w:szCs w:val="24"/>
                <w:color w:val="auto"/>
              </w:rPr>
            </w:pPr>
          </w:p>
        </w:tc>
      </w:tr>
      <w:tr>
        <w:trPr>
          <w:trHeight w:val="399"/>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Item 4.</w:t>
              </w:r>
            </w:hyperlink>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Mine Safety Disclosures</w:t>
              </w:r>
            </w:hyperlink>
          </w:p>
        </w:tc>
        <w:tc>
          <w:tcPr>
            <w:tcW w:w="5000" w:type="dxa"/>
            <w:vAlign w:val="bottom"/>
            <w:gridSpan w:val="12"/>
          </w:tcPr>
          <w:p>
            <w:pPr>
              <w:spacing w:after="0"/>
              <w:rPr>
                <w:sz w:val="24"/>
                <w:szCs w:val="24"/>
                <w:color w:val="auto"/>
              </w:rPr>
            </w:pPr>
          </w:p>
        </w:tc>
      </w:tr>
      <w:tr>
        <w:trPr>
          <w:trHeight w:val="398"/>
        </w:trPr>
        <w:tc>
          <w:tcPr>
            <w:tcW w:w="560" w:type="dxa"/>
            <w:vAlign w:val="bottom"/>
            <w:gridSpan w:val="3"/>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Item 5.</w:t>
              </w:r>
            </w:hyperlink>
          </w:p>
        </w:tc>
        <w:tc>
          <w:tcPr>
            <w:tcW w:w="680" w:type="dxa"/>
            <w:vAlign w:val="bottom"/>
            <w:gridSpan w:val="4"/>
          </w:tcPr>
          <w:p>
            <w:pPr>
              <w:spacing w:after="0"/>
              <w:rPr>
                <w:sz w:val="24"/>
                <w:szCs w:val="24"/>
                <w:color w:val="auto"/>
              </w:rPr>
            </w:pPr>
          </w:p>
        </w:tc>
        <w:tc>
          <w:tcPr>
            <w:tcW w:w="694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r>
      <w:tr>
        <w:trPr>
          <w:trHeight w:val="398"/>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Item 6.</w:t>
              </w:r>
            </w:hyperlink>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Exhibits</w:t>
              </w:r>
            </w:hyperlink>
          </w:p>
        </w:tc>
        <w:tc>
          <w:tcPr>
            <w:tcW w:w="760" w:type="dxa"/>
            <w:vAlign w:val="bottom"/>
            <w:tcBorders>
              <w:top w:val="single" w:sz="8" w:color="0000EE"/>
            </w:tcBorders>
            <w:gridSpan w:val="4"/>
          </w:tcPr>
          <w:p>
            <w:pPr>
              <w:spacing w:after="0"/>
              <w:rPr>
                <w:sz w:val="24"/>
                <w:szCs w:val="24"/>
                <w:color w:val="auto"/>
              </w:rPr>
            </w:pPr>
          </w:p>
        </w:tc>
        <w:tc>
          <w:tcPr>
            <w:tcW w:w="5540" w:type="dxa"/>
            <w:vAlign w:val="bottom"/>
            <w:gridSpan w:val="16"/>
          </w:tcPr>
          <w:p>
            <w:pPr>
              <w:spacing w:after="0"/>
              <w:rPr>
                <w:sz w:val="24"/>
                <w:szCs w:val="24"/>
                <w:color w:val="auto"/>
              </w:rPr>
            </w:pPr>
          </w:p>
        </w:tc>
      </w:tr>
      <w:tr>
        <w:trPr>
          <w:trHeight w:val="399"/>
        </w:trPr>
        <w:tc>
          <w:tcPr>
            <w:tcW w:w="10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Exhibit Index</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1240" w:type="dxa"/>
            <w:vAlign w:val="bottom"/>
            <w:gridSpan w:val="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0"/>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14"/>
          </w:tcPr>
          <w:p>
            <w:pPr>
              <w:ind w:left="3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334645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28"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35</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37</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37</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2">
            <w:col w:w="8240" w:space="340"/>
            <w:col w:w="43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ongoing and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206"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II, Item 1A. “Risk Factors” in this Quarterly Report on Form 10-Q, which are summarized below. Moreover, we operate in an evolving environment. New risk factors and uncertainties may emerge from time to time, and it is not possible for management to predict all risk factors and uncertainties.</w:t>
      </w:r>
    </w:p>
    <w:p>
      <w:pPr>
        <w:spacing w:after="0" w:line="195"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1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205" w:lineRule="exact"/>
        <w:rPr>
          <w:sz w:val="20"/>
          <w:szCs w:val="20"/>
          <w:color w:val="auto"/>
        </w:rPr>
      </w:pPr>
    </w:p>
    <w:p>
      <w:pPr>
        <w:ind w:left="720" w:right="71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88" w:lineRule="exact"/>
        <w:rPr>
          <w:rFonts w:ascii="Arial" w:cs="Arial" w:eastAsia="Arial" w:hAnsi="Arial"/>
          <w:sz w:val="18"/>
          <w:szCs w:val="18"/>
          <w:color w:val="auto"/>
        </w:rPr>
      </w:pPr>
    </w:p>
    <w:p>
      <w:pPr>
        <w:ind w:left="720" w:right="115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management and directors (four of whom are affiliated with our principal stockholders) own a significant percentage of our stock and will be able to exert significant control over matters subject to stockholder approval;</w:t>
      </w:r>
    </w:p>
    <w:p>
      <w:pPr>
        <w:spacing w:after="0" w:line="94" w:lineRule="exact"/>
        <w:rPr>
          <w:rFonts w:ascii="Arial" w:cs="Arial" w:eastAsia="Arial" w:hAnsi="Arial"/>
          <w:sz w:val="18"/>
          <w:szCs w:val="18"/>
          <w:color w:val="auto"/>
        </w:rPr>
      </w:pPr>
    </w:p>
    <w:p>
      <w:pPr>
        <w:ind w:left="720" w:right="89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history operating as a commercial company and are highly dependent on a single product, BAROSTIM NEO, and the failure to obtain market acceptance in the U.S. for BAROSTIM NEO would negatively impact our business, liquidity and results of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65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commercial sales experience marketing and selling our BAROSTIM NEO, and if we are unable to establish and maintain sales and marketing capabilities, we will be unable to successfully commercialize our BAROSTIM NEO or generate sustained and increasing product revenue;</w:t>
      </w:r>
    </w:p>
    <w:p>
      <w:pPr>
        <w:spacing w:after="0" w:line="96"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demonstrate to physicians and patients the merits of our BAROSTIM NEO;</w:t>
      </w:r>
    </w:p>
    <w:p>
      <w:pPr>
        <w:spacing w:after="0" w:line="117" w:lineRule="exact"/>
        <w:rPr>
          <w:rFonts w:ascii="Arial" w:cs="Arial" w:eastAsia="Arial" w:hAnsi="Arial"/>
          <w:sz w:val="18"/>
          <w:szCs w:val="18"/>
          <w:color w:val="auto"/>
        </w:rPr>
      </w:pPr>
    </w:p>
    <w:p>
      <w:pPr>
        <w:ind w:left="720" w:right="12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third-party payors do not provide adequate coverage and reimbursement for the use of BAROSTIM NEO, our revenue will be negatively impacted;</w:t>
      </w:r>
    </w:p>
    <w:p>
      <w:pPr>
        <w:spacing w:after="0" w:line="88" w:lineRule="exact"/>
        <w:rPr>
          <w:rFonts w:ascii="Arial" w:cs="Arial" w:eastAsia="Arial" w:hAnsi="Arial"/>
          <w:sz w:val="18"/>
          <w:szCs w:val="18"/>
          <w:color w:val="auto"/>
        </w:rPr>
      </w:pPr>
    </w:p>
    <w:p>
      <w:pPr>
        <w:ind w:left="720" w:right="57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NEO, our business will be adversely impacted;</w:t>
      </w:r>
    </w:p>
    <w:p>
      <w:pPr>
        <w:spacing w:after="0" w:line="9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receive access to hospitals, our sales may decrease;</w:t>
      </w:r>
    </w:p>
    <w:p>
      <w:pPr>
        <w:spacing w:after="0" w:line="117" w:lineRule="exact"/>
        <w:rPr>
          <w:rFonts w:ascii="Arial" w:cs="Arial" w:eastAsia="Arial" w:hAnsi="Arial"/>
          <w:sz w:val="18"/>
          <w:szCs w:val="18"/>
          <w:color w:val="auto"/>
        </w:rPr>
      </w:pPr>
    </w:p>
    <w:p>
      <w:pPr>
        <w:ind w:left="720" w:right="8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94"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88" w:lineRule="exact"/>
        <w:rPr>
          <w:rFonts w:ascii="Arial" w:cs="Arial" w:eastAsia="Arial" w:hAnsi="Arial"/>
          <w:sz w:val="18"/>
          <w:szCs w:val="18"/>
          <w:color w:val="auto"/>
        </w:rPr>
      </w:pPr>
    </w:p>
    <w:p>
      <w:pPr>
        <w:ind w:left="720" w:right="5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94"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88" w:lineRule="exact"/>
        <w:rPr>
          <w:rFonts w:ascii="Arial" w:cs="Arial" w:eastAsia="Arial" w:hAnsi="Arial"/>
          <w:sz w:val="18"/>
          <w:szCs w:val="18"/>
          <w:color w:val="auto"/>
        </w:rPr>
      </w:pPr>
    </w:p>
    <w:p>
      <w:pPr>
        <w:ind w:left="720" w:right="51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w:t>
      </w:r>
    </w:p>
    <w:p>
      <w:pPr>
        <w:spacing w:after="0" w:line="96" w:lineRule="exact"/>
        <w:rPr>
          <w:rFonts w:ascii="Arial" w:cs="Arial" w:eastAsia="Arial" w:hAnsi="Arial"/>
          <w:sz w:val="18"/>
          <w:szCs w:val="18"/>
          <w:color w:val="auto"/>
        </w:rPr>
      </w:pPr>
    </w:p>
    <w:p>
      <w:pPr>
        <w:ind w:left="720" w:right="679" w:hanging="319"/>
        <w:spacing w:after="0" w:line="274"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66" w:lineRule="exact"/>
        <w:rPr>
          <w:rFonts w:ascii="Arial" w:cs="Arial" w:eastAsia="Arial" w:hAnsi="Arial"/>
          <w:sz w:val="17"/>
          <w:szCs w:val="17"/>
          <w:color w:val="auto"/>
        </w:rPr>
      </w:pPr>
    </w:p>
    <w:p>
      <w:pPr>
        <w:ind w:left="720" w:right="5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6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47,128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59,112</w:t>
            </w: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2,243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3,343</w:t>
            </w:r>
          </w:p>
        </w:tc>
      </w:tr>
      <w:tr>
        <w:trPr>
          <w:trHeight w:val="203"/>
        </w:trPr>
        <w:tc>
          <w:tcPr>
            <w:tcW w:w="66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w:t>
            </w:r>
          </w:p>
        </w:tc>
      </w:tr>
      <w:tr>
        <w:trPr>
          <w:trHeight w:val="196"/>
        </w:trPr>
        <w:tc>
          <w:tcPr>
            <w:tcW w:w="66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54,216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64,341</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36"/>
        </w:trPr>
        <w:tc>
          <w:tcPr>
            <w:tcW w:w="66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55,062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64,777</w:t>
            </w:r>
          </w:p>
        </w:tc>
      </w:tr>
      <w:tr>
        <w:trPr>
          <w:trHeight w:val="183"/>
        </w:trPr>
        <w:tc>
          <w:tcPr>
            <w:tcW w:w="66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Liabilities and Stockholders’ Equity (Deficit)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3,583</w:t>
            </w: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3,911</w:t>
            </w:r>
          </w:p>
        </w:tc>
      </w:tr>
      <w:tr>
        <w:trPr>
          <w:trHeight w:val="203"/>
        </w:trPr>
        <w:tc>
          <w:tcPr>
            <w:tcW w:w="66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7,977</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18,082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19,278</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r>
      <w:tr>
        <w:trPr>
          <w:trHeight w:val="236"/>
        </w:trPr>
        <w:tc>
          <w:tcPr>
            <w:tcW w:w="66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44,010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28,032</w:t>
            </w:r>
          </w:p>
        </w:tc>
      </w:tr>
      <w:tr>
        <w:trPr>
          <w:trHeight w:val="183"/>
        </w:trPr>
        <w:tc>
          <w:tcPr>
            <w:tcW w:w="666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rPr>
              <w:t>Convertible preferred stock, $0.01 par value, 237,370,645 authorized as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June 30, 2021 and December 31, 2020; 223,541,754 shares issued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60" w:type="dxa"/>
            <w:vAlign w:val="bottom"/>
          </w:tcPr>
          <w:p>
            <w:pPr>
              <w:spacing w:after="0" w:line="203" w:lineRule="exact"/>
              <w:rPr>
                <w:sz w:val="20"/>
                <w:szCs w:val="20"/>
                <w:color w:val="auto"/>
              </w:rPr>
            </w:pPr>
            <w:r>
              <w:rPr>
                <w:rFonts w:ascii="Arial" w:cs="Arial" w:eastAsia="Arial" w:hAnsi="Arial"/>
                <w:sz w:val="18"/>
                <w:szCs w:val="18"/>
                <w:color w:val="auto"/>
              </w:rPr>
              <w:t>outstanding as of June 30, 2021 and December 31, 2020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329,983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329,983</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rPr>
              <w:t>Common stock, $0.01 par value, 625,217,795 authorized as of June 30, 2021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December 31, 2020; 366,342 and 360,412 shares issued and outstanding as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60" w:type="dxa"/>
            <w:vAlign w:val="bottom"/>
          </w:tcPr>
          <w:p>
            <w:pPr>
              <w:spacing w:after="0" w:line="203" w:lineRule="exact"/>
              <w:rPr>
                <w:sz w:val="20"/>
                <w:szCs w:val="20"/>
                <w:color w:val="auto"/>
              </w:rPr>
            </w:pPr>
            <w:r>
              <w:rPr>
                <w:rFonts w:ascii="Arial" w:cs="Arial" w:eastAsia="Arial" w:hAnsi="Arial"/>
                <w:sz w:val="18"/>
                <w:szCs w:val="18"/>
                <w:color w:val="auto"/>
              </w:rPr>
              <w:t>June 30, 2021 and December 31, 2020, respectively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 common stock</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58,624</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(378,051)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(351,676)</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196"/>
        </w:trPr>
        <w:tc>
          <w:tcPr>
            <w:tcW w:w="66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stockholders’ deficit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(318,931)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(293,238)</w:t>
            </w:r>
          </w:p>
        </w:tc>
      </w:tr>
      <w:tr>
        <w:trPr>
          <w:trHeight w:val="196"/>
        </w:trPr>
        <w:tc>
          <w:tcPr>
            <w:tcW w:w="66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55,062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64,777</w:t>
            </w: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June 30,</w:t>
            </w:r>
          </w:p>
        </w:tc>
      </w:tr>
      <w:tr>
        <w:trPr>
          <w:trHeight w:val="156"/>
        </w:trPr>
        <w:tc>
          <w:tcPr>
            <w:tcW w:w="47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2,968</w:t>
            </w:r>
          </w:p>
        </w:tc>
      </w:tr>
      <w:tr>
        <w:trPr>
          <w:trHeight w:val="203"/>
        </w:trPr>
        <w:tc>
          <w:tcPr>
            <w:tcW w:w="4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777</w:t>
            </w:r>
          </w:p>
        </w:tc>
      </w:tr>
      <w:tr>
        <w:trPr>
          <w:trHeight w:val="196"/>
        </w:trPr>
        <w:tc>
          <w:tcPr>
            <w:tcW w:w="4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2,191</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4,400</w:t>
            </w:r>
          </w:p>
        </w:tc>
      </w:tr>
      <w:tr>
        <w:trPr>
          <w:trHeight w:val="203"/>
        </w:trPr>
        <w:tc>
          <w:tcPr>
            <w:tcW w:w="4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10,087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4,128</w:t>
            </w:r>
          </w:p>
        </w:tc>
      </w:tr>
      <w:tr>
        <w:trPr>
          <w:trHeight w:val="196"/>
        </w:trPr>
        <w:tc>
          <w:tcPr>
            <w:tcW w:w="4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14,092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8,528</w:t>
            </w:r>
          </w:p>
        </w:tc>
      </w:tr>
      <w:tr>
        <w:trPr>
          <w:trHeight w:val="196"/>
        </w:trPr>
        <w:tc>
          <w:tcPr>
            <w:tcW w:w="472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(5,672)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(9,889)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(6,337)</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w:t>
            </w:r>
          </w:p>
        </w:tc>
      </w:tr>
      <w:tr>
        <w:trPr>
          <w:trHeight w:val="203"/>
        </w:trPr>
        <w:tc>
          <w:tcPr>
            <w:tcW w:w="4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(11,442)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(15,234)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196"/>
        </w:trPr>
        <w:tc>
          <w:tcPr>
            <w:tcW w:w="4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(7,435)</w:t>
            </w:r>
          </w:p>
        </w:tc>
      </w:tr>
      <w:tr>
        <w:trPr>
          <w:trHeight w:val="203"/>
        </w:trPr>
        <w:tc>
          <w:tcPr>
            <w:tcW w:w="4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r>
      <w:tr>
        <w:trPr>
          <w:trHeight w:val="196"/>
        </w:trPr>
        <w:tc>
          <w:tcPr>
            <w:tcW w:w="4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(7,480)</w:t>
            </w:r>
          </w:p>
        </w:tc>
      </w:tr>
      <w:tr>
        <w:trPr>
          <w:trHeight w:val="203"/>
        </w:trPr>
        <w:tc>
          <w:tcPr>
            <w:tcW w:w="4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r>
      <w:tr>
        <w:trPr>
          <w:trHeight w:val="196"/>
        </w:trPr>
        <w:tc>
          <w:tcPr>
            <w:tcW w:w="4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(17,749)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(26,380)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(7,501)</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(48.48)</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(10.18)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(72.58)</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(18.06)</w:t>
            </w: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 compute net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loss per share, basic and diluted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366,066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360,238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363,397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414,225</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8"/>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84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97"/>
              </w:rPr>
              <w:t>preferred stock</w:t>
            </w:r>
          </w:p>
        </w:tc>
        <w:tc>
          <w:tcPr>
            <w:tcW w:w="1400" w:type="dxa"/>
            <w:vAlign w:val="bottom"/>
            <w:gridSpan w:val="8"/>
          </w:tcPr>
          <w:p>
            <w:pPr>
              <w:ind w:left="18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paid-in</w:t>
            </w:r>
          </w:p>
        </w:tc>
        <w:tc>
          <w:tcPr>
            <w:tcW w:w="9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10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8"/>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240"/>
              <w:spacing w:after="0" w:line="129" w:lineRule="exact"/>
              <w:rPr>
                <w:sz w:val="20"/>
                <w:szCs w:val="20"/>
                <w:color w:val="auto"/>
              </w:rPr>
            </w:pPr>
            <w:r>
              <w:rPr>
                <w:rFonts w:ascii="Arial" w:cs="Arial" w:eastAsia="Arial" w:hAnsi="Arial"/>
                <w:sz w:val="13"/>
                <w:szCs w:val="13"/>
                <w:b w:val="1"/>
                <w:bCs w:val="1"/>
                <w:color w:val="auto"/>
                <w:w w:val="97"/>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80"/>
              <w:spacing w:after="0" w:line="129" w:lineRule="exact"/>
              <w:rPr>
                <w:sz w:val="20"/>
                <w:szCs w:val="20"/>
                <w:color w:val="auto"/>
              </w:rPr>
            </w:pPr>
            <w:r>
              <w:rPr>
                <w:rFonts w:ascii="Arial" w:cs="Arial" w:eastAsia="Arial" w:hAnsi="Arial"/>
                <w:sz w:val="13"/>
                <w:szCs w:val="13"/>
                <w:b w:val="1"/>
                <w:bCs w:val="1"/>
                <w:color w:val="auto"/>
                <w:w w:val="93"/>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28"/>
        </w:trPr>
        <w:tc>
          <w:tcPr>
            <w:tcW w:w="2180" w:type="dxa"/>
            <w:vAlign w:val="bottom"/>
            <w:tcBorders>
              <w:top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March 31, 2021</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223,541,754</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$ 329,983</w:t>
            </w: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365,274</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58,687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(360,303)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1,068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Net loss for the three months ended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8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June 30, 2021</w:t>
            </w:r>
          </w:p>
        </w:tc>
        <w:tc>
          <w:tcPr>
            <w:tcW w:w="78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(17,748)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(17,748)</w:t>
            </w:r>
          </w:p>
        </w:tc>
        <w:tc>
          <w:tcPr>
            <w:tcW w:w="0" w:type="dxa"/>
            <w:vAlign w:val="bottom"/>
          </w:tcPr>
          <w:p>
            <w:pPr>
              <w:spacing w:after="0"/>
              <w:rPr>
                <w:sz w:val="1"/>
                <w:szCs w:val="1"/>
                <w:color w:val="auto"/>
              </w:rPr>
            </w:pPr>
          </w:p>
        </w:tc>
      </w:tr>
      <w:tr>
        <w:trPr>
          <w:trHeight w:val="135"/>
        </w:trPr>
        <w:tc>
          <w:tcPr>
            <w:tcW w:w="21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2021</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223,541,754</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$ 329,983</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366,342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59,311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(378,051)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right"/>
              <w:ind w:right="8"/>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(318,931)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March 31, 2020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161,041,754</w:t>
            </w:r>
          </w:p>
        </w:tc>
        <w:tc>
          <w:tcPr>
            <w:tcW w:w="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$ 279,983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360,237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58,741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(341,380)</w:t>
            </w: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(282,834)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for the three months ended</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80" w:type="dxa"/>
            <w:vAlign w:val="bottom"/>
            <w:gridSpan w:val="3"/>
            <w:shd w:val="clear" w:color="auto" w:fill="CCEEFF"/>
          </w:tcPr>
          <w:p>
            <w:pPr>
              <w:ind w:left="20"/>
              <w:spacing w:after="0" w:line="141" w:lineRule="exact"/>
              <w:rPr>
                <w:sz w:val="20"/>
                <w:szCs w:val="20"/>
                <w:color w:val="auto"/>
              </w:rPr>
            </w:pPr>
            <w:r>
              <w:rPr>
                <w:rFonts w:ascii="Arial" w:cs="Arial" w:eastAsia="Arial" w:hAnsi="Arial"/>
                <w:sz w:val="13"/>
                <w:szCs w:val="13"/>
                <w:color w:val="auto"/>
              </w:rPr>
              <w:t>June 30, 2020</w:t>
            </w:r>
          </w:p>
        </w:tc>
        <w:tc>
          <w:tcPr>
            <w:tcW w:w="7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(3,667)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2020</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161,041,754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$ 279,983</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360,237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58,773</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(345,047)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(286,480)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8"/>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other</w:t>
            </w:r>
          </w:p>
        </w:tc>
        <w:tc>
          <w:tcPr>
            <w:tcW w:w="8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w w:val="97"/>
              </w:rPr>
              <w:t>preferred stock</w:t>
            </w:r>
          </w:p>
        </w:tc>
        <w:tc>
          <w:tcPr>
            <w:tcW w:w="1400" w:type="dxa"/>
            <w:vAlign w:val="bottom"/>
            <w:gridSpan w:val="8"/>
          </w:tcPr>
          <w:p>
            <w:pPr>
              <w:ind w:left="16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paid-in</w:t>
            </w:r>
          </w:p>
        </w:tc>
        <w:tc>
          <w:tcPr>
            <w:tcW w:w="9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10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240"/>
              <w:spacing w:after="0" w:line="129" w:lineRule="exact"/>
              <w:rPr>
                <w:sz w:val="20"/>
                <w:szCs w:val="20"/>
                <w:color w:val="auto"/>
              </w:rPr>
            </w:pPr>
            <w:r>
              <w:rPr>
                <w:rFonts w:ascii="Arial" w:cs="Arial" w:eastAsia="Arial" w:hAnsi="Arial"/>
                <w:sz w:val="13"/>
                <w:szCs w:val="13"/>
                <w:b w:val="1"/>
                <w:bCs w:val="1"/>
                <w:color w:val="auto"/>
                <w:w w:val="97"/>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80"/>
              <w:spacing w:after="0" w:line="129" w:lineRule="exact"/>
              <w:rPr>
                <w:sz w:val="20"/>
                <w:szCs w:val="20"/>
                <w:color w:val="auto"/>
              </w:rPr>
            </w:pPr>
            <w:r>
              <w:rPr>
                <w:rFonts w:ascii="Arial" w:cs="Arial" w:eastAsia="Arial" w:hAnsi="Arial"/>
                <w:sz w:val="13"/>
                <w:szCs w:val="13"/>
                <w:b w:val="1"/>
                <w:bCs w:val="1"/>
                <w:color w:val="auto"/>
                <w:w w:val="93"/>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Balances as of December 31, 2020</w:t>
            </w:r>
          </w:p>
        </w:tc>
        <w:tc>
          <w:tcPr>
            <w:tcW w:w="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223,541,754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$ 329,983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360,412</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58,624</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(351,676)</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(190)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(293,238)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5,930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Net loss for the six months ended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8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June 30, 2021</w:t>
            </w: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(26,375)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Cumulative translation adjustment</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June 30, 2021</w:t>
            </w:r>
          </w:p>
        </w:tc>
        <w:tc>
          <w:tcPr>
            <w:tcW w:w="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223,541,754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6"/>
              </w:rPr>
              <w:t>$ 329,983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366,342</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59,311</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(378,051)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(195)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(318,931)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Balances as of December 31, 2019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161,041,754</w:t>
            </w:r>
          </w:p>
        </w:tc>
        <w:tc>
          <w:tcPr>
            <w:tcW w:w="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$ 279,983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483,931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58,708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(337,567)</w:t>
            </w: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(279,043)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3"/>
                <w:szCs w:val="13"/>
                <w:color w:val="auto"/>
              </w:rPr>
              <w:t>Repurchase of common stock</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6"/>
              </w:rPr>
              <w:t>(123,694)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Net loss for the six months ended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8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June 30, 2020</w:t>
            </w: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(7,480)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(7,480)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Cumulative translation adjustment</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Balances as of June 30, 2020</w:t>
            </w:r>
          </w:p>
        </w:tc>
        <w:tc>
          <w:tcPr>
            <w:tcW w:w="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161,041,754</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6"/>
              </w:rPr>
              <w:t>$ 279,983</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360,237</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58,773</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(345,047)</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(210)</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(286,480)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r>
      <w:tr>
        <w:trPr>
          <w:trHeight w:val="156"/>
        </w:trPr>
        <w:tc>
          <w:tcPr>
            <w:tcW w:w="62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(26,375)</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(7,480)</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15,140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(678)</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(6,855)</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(11,984)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(6,968)</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59,112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25,741</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47,128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18,773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1,017</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income taxes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38"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NEO, for heart failure (“HF”) and resistant hypertension. The Company is focused on the sale of its product in the U.S. and Europe.</w:t>
      </w:r>
    </w:p>
    <w:p>
      <w:pPr>
        <w:spacing w:after="0" w:line="20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203"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The Company anticipates that the existing cash balance together with cash generated from the collections of existing accounts receivable and revenue resulting from new and existing customers will be adequate to meet its working capital requirements for at least the next twelve months.</w:t>
      </w:r>
    </w:p>
    <w:p>
      <w:pPr>
        <w:spacing w:after="0" w:line="20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financial statements do not include any adjustments relating to the recoverability and classification of recorded asset amounts or the amounts and classification of liabilities that might be necessary if the Company is unable to continue as a going concern.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208" w:lineRule="exact"/>
        <w:rPr>
          <w:sz w:val="20"/>
          <w:szCs w:val="20"/>
          <w:color w:val="auto"/>
        </w:rPr>
      </w:pPr>
    </w:p>
    <w:p>
      <w:pPr>
        <w:ind w:left="60" w:right="419"/>
        <w:spacing w:after="0"/>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All intercompany balances and transactions have been eliminated in consolidation.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June 30, 2021 and 2020, cash equivalents consisted of money market funds, which are stated at cost and approximate fair value.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sells its products primarily through a direct sales force and to a lesser extent through a combination of sales agents and independent distributors. The Company’s revenue consists primarily of the sale of its BAROSTIM NEO, which consists of two implantable components: a pulse generator and a stimulation lead.</w:t>
      </w:r>
    </w:p>
    <w:p>
      <w:pPr>
        <w:spacing w:after="0" w:line="18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In February 2016, the Financial Accounting Standards Board issued Accounting Standards Update 2016-02,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(“Topic 842”)</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Topic 842 is to increase the transparency and comparability among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by recognizing lease assets and lease liabilities on the balance sheet, including those previously classified as operating leases under current U.S. GAAP and disclosing key information about leasing arrangements. Topic 842 is effective for private companies and smaller reporting companies for annual periods beginning after December 15, 2021 and interim periods within fiscal years beginning after December 15, 2022. Early adoption is permitted, and the Company must elect whether the date of initial application is the beginning of the earliest comparative period presented in the financial statements, or the beginning of the period of adoption. While the Company is still in the process of determining the effect that the new standard will have on its financial position and results of operations, the Company expects to recognize additional assets and corresponding liabilities on its condensed consolidated balance sheets, as a result of its operating lease portfolio as disclosed in Note 10 — Commitments and Contingencies.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on:</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1,361</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1,891</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3,161</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on:</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1,440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2,590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spacing w:after="0" w:line="274" w:lineRule="auto"/>
        <w:rPr>
          <w:sz w:val="20"/>
          <w:szCs w:val="20"/>
          <w:color w:val="auto"/>
        </w:rPr>
      </w:pPr>
      <w:r>
        <w:rPr>
          <w:rFonts w:ascii="Arial" w:cs="Arial" w:eastAsia="Arial" w:hAnsi="Arial"/>
          <w:sz w:val="17"/>
          <w:szCs w:val="17"/>
          <w:color w:val="auto"/>
        </w:rPr>
        <w:t>Depreciation expense was $37,000 and $18,000 for the three months ended June 30, 2021 and 2020, respectively, and $70,000 and $35,000 for the six months ended June 30, 2021 and 2020, respectively.</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on:</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196"/>
        </w:trPr>
        <w:tc>
          <w:tcPr>
            <w:tcW w:w="66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1,574</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1,690</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Bonuses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r>
      <w:tr>
        <w:trPr>
          <w:trHeight w:val="203"/>
        </w:trPr>
        <w:tc>
          <w:tcPr>
            <w:tcW w:w="67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658</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w:t>
            </w:r>
          </w:p>
        </w:tc>
      </w:tr>
      <w:tr>
        <w:trPr>
          <w:trHeight w:val="196"/>
        </w:trPr>
        <w:tc>
          <w:tcPr>
            <w:tcW w:w="6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3,772</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3,583</w:t>
            </w: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Fair value measurements</w:t>
      </w:r>
    </w:p>
    <w:p>
      <w:pPr>
        <w:spacing w:after="0" w:line="2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defines a three-level valuation hierarchy for disclosure of fair value measurements as follows:</w:t>
      </w:r>
    </w:p>
    <w:p>
      <w:pPr>
        <w:spacing w:after="0" w:line="20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225" w:lineRule="exact"/>
        <w:rPr>
          <w:rFonts w:ascii="Arial" w:cs="Arial" w:eastAsia="Arial" w:hAnsi="Arial"/>
          <w:sz w:val="18"/>
          <w:szCs w:val="18"/>
          <w:color w:val="auto"/>
        </w:rPr>
      </w:pPr>
    </w:p>
    <w:p>
      <w:pPr>
        <w:ind w:left="380" w:right="299"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202" w:lineRule="exact"/>
        <w:rPr>
          <w:rFonts w:ascii="Arial" w:cs="Arial" w:eastAsia="Arial" w:hAnsi="Arial"/>
          <w:sz w:val="18"/>
          <w:szCs w:val="18"/>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The following table sets forth the Company’s liabilities that were measured at fair value on a recurring basis by level within the fair value hierarchy:</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$ 19,051</w:t>
            </w:r>
          </w:p>
        </w:tc>
        <w:tc>
          <w:tcPr>
            <w:tcW w:w="3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19,051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$ 19,051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19,051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
        </w:trPr>
        <w:tc>
          <w:tcPr>
            <w:tcW w:w="5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9"/>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3,911</w:t>
            </w:r>
          </w:p>
        </w:tc>
        <w:tc>
          <w:tcPr>
            <w:tcW w:w="3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3,911</w:t>
            </w:r>
          </w:p>
        </w:tc>
        <w:tc>
          <w:tcPr>
            <w:tcW w:w="20" w:type="dxa"/>
            <w:vAlign w:val="bottom"/>
          </w:tcPr>
          <w:p>
            <w:pPr>
              <w:spacing w:after="0"/>
              <w:rPr>
                <w:sz w:val="17"/>
                <w:szCs w:val="17"/>
                <w:color w:val="auto"/>
              </w:rPr>
            </w:pPr>
          </w:p>
        </w:tc>
      </w:tr>
      <w:tr>
        <w:trPr>
          <w:trHeight w:val="196"/>
        </w:trPr>
        <w:tc>
          <w:tcPr>
            <w:tcW w:w="51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 xml:space="preserve">The Company’s recurring fair value measurements using significant unobservable inputs (Level 3) relate solely to the Company’s convertible preferred stock warrant liability. In connection with the loan and security agreement entered into by the Company in September 2014 and the amendment in July 2015, the Company issued a warrant to purchase shares of Series F-2 convertible preferred stock. In connection with the loan and security agreement entered into in May 2016, the Company issued a warrant to purchase shares of Series G convertible preferred stock (“Series G Preferred Shares”). The Company issued to Biosense Webster, Inc. (“BWI”), an affiliate of Johnson &amp; Johnson Innovation — JJDC, Inc., a warrant to purchase shares of Series E-2 convertible preferred stock that only becomes exercisable in the event of an acquisition or asset transfer involving the Company and it expires on the earlier of (i) a qualifying public company transaction, as defined, and (ii) 180 days after receipt of the data from the post-market stage of the BeAT-HF pivotal trial. In September of 2018, the Company also issued to BWI a warrant to purchase up to 10,000,000 Series G Preferred Shares with an exercise price of $0.01 per share. The warrant to purchase Series G Preferred Shares shall become exercisable if and only if a qualifying public company transaction is consummated and expires on the earlier of (i) an acquisition or asset transfer involving the Company or (ii) </w:t>
      </w:r>
      <w:r>
        <w:rPr>
          <w:rFonts w:ascii="Arial" w:cs="Arial" w:eastAsia="Arial" w:hAnsi="Arial"/>
          <w:sz w:val="18"/>
          <w:szCs w:val="18"/>
          <w:color w:val="231F20"/>
        </w:rPr>
        <w:t>180 days after receipt of the data</w:t>
      </w:r>
      <w:r>
        <w:rPr>
          <w:rFonts w:ascii="Arial" w:cs="Arial" w:eastAsia="Arial" w:hAnsi="Arial"/>
          <w:sz w:val="18"/>
          <w:szCs w:val="18"/>
          <w:color w:val="auto"/>
        </w:rPr>
        <w:t xml:space="preserve"> </w:t>
      </w:r>
      <w:r>
        <w:rPr>
          <w:rFonts w:ascii="Arial" w:cs="Arial" w:eastAsia="Arial" w:hAnsi="Arial"/>
          <w:sz w:val="18"/>
          <w:szCs w:val="18"/>
          <w:color w:val="231F20"/>
        </w:rPr>
        <w:t xml:space="preserve">from the post-market stage of the BeAT-HF pivotal trial. Accordingly, under no event will the BWI warrant to purchase Series E-2 convertible preferred stock and the BWI warrant to purchase Series G Preferred Shares both become exercisable. In connection with the closing of the initial public offering (“IPO”), the BWI warrant to purchase Series G Preferred Shares became exercisable for 607,725 shares of common stock in connection with the automatic conversion of the Series G Preferred Shares into common stock, </w:t>
      </w:r>
      <w:r>
        <w:rPr>
          <w:rFonts w:ascii="Arial" w:cs="Arial" w:eastAsia="Arial" w:hAnsi="Arial"/>
          <w:sz w:val="18"/>
          <w:szCs w:val="18"/>
          <w:color w:val="000000"/>
        </w:rPr>
        <w:t>with an exercise price of</w:t>
      </w:r>
      <w:r>
        <w:rPr>
          <w:rFonts w:ascii="Arial" w:cs="Arial" w:eastAsia="Arial" w:hAnsi="Arial"/>
          <w:sz w:val="18"/>
          <w:szCs w:val="18"/>
          <w:color w:val="231F20"/>
        </w:rPr>
        <w:t xml:space="preserve"> </w:t>
      </w:r>
      <w:r>
        <w:rPr>
          <w:rFonts w:ascii="Arial" w:cs="Arial" w:eastAsia="Arial" w:hAnsi="Arial"/>
          <w:sz w:val="18"/>
          <w:szCs w:val="18"/>
          <w:color w:val="000000"/>
        </w:rPr>
        <w:t>$0.16 per share</w:t>
      </w:r>
      <w:r>
        <w:rPr>
          <w:rFonts w:ascii="Arial" w:cs="Arial" w:eastAsia="Arial" w:hAnsi="Arial"/>
          <w:sz w:val="18"/>
          <w:szCs w:val="18"/>
          <w:color w:val="231F20"/>
        </w:rPr>
        <w:t>. In connection with the loan and security</w:t>
      </w:r>
      <w:r>
        <w:rPr>
          <w:rFonts w:ascii="Arial" w:cs="Arial" w:eastAsia="Arial" w:hAnsi="Arial"/>
          <w:sz w:val="18"/>
          <w:szCs w:val="18"/>
          <w:color w:val="000000"/>
        </w:rPr>
        <w:t xml:space="preserve"> agreement </w:t>
      </w:r>
      <w:r>
        <w:rPr>
          <w:rFonts w:ascii="Arial" w:cs="Arial" w:eastAsia="Arial" w:hAnsi="Arial"/>
          <w:sz w:val="18"/>
          <w:szCs w:val="18"/>
          <w:color w:val="231F20"/>
        </w:rPr>
        <w:t>entered into in September 2019, the</w:t>
      </w:r>
      <w:r>
        <w:rPr>
          <w:rFonts w:ascii="Arial" w:cs="Arial" w:eastAsia="Arial" w:hAnsi="Arial"/>
          <w:sz w:val="18"/>
          <w:szCs w:val="18"/>
          <w:color w:val="000000"/>
        </w:rPr>
        <w:t xml:space="preserve"> </w:t>
      </w:r>
      <w:r>
        <w:rPr>
          <w:rFonts w:ascii="Arial" w:cs="Arial" w:eastAsia="Arial" w:hAnsi="Arial"/>
          <w:sz w:val="18"/>
          <w:szCs w:val="18"/>
          <w:color w:val="231F20"/>
        </w:rPr>
        <w:t xml:space="preserve">Company issued a warrant to purchase Series G Preferred Shares. </w:t>
      </w:r>
      <w:r>
        <w:rPr>
          <w:rFonts w:ascii="Arial" w:cs="Arial" w:eastAsia="Arial" w:hAnsi="Arial"/>
          <w:sz w:val="18"/>
          <w:szCs w:val="18"/>
          <w:color w:val="000000"/>
        </w:rPr>
        <w:t>The convertible preferred stock warrant</w:t>
      </w:r>
      <w:r>
        <w:rPr>
          <w:rFonts w:ascii="Arial" w:cs="Arial" w:eastAsia="Arial" w:hAnsi="Arial"/>
          <w:sz w:val="18"/>
          <w:szCs w:val="18"/>
          <w:color w:val="231F20"/>
        </w:rPr>
        <w:t xml:space="preserve"> </w:t>
      </w:r>
      <w:r>
        <w:rPr>
          <w:rFonts w:ascii="Arial" w:cs="Arial" w:eastAsia="Arial" w:hAnsi="Arial"/>
          <w:sz w:val="18"/>
          <w:szCs w:val="18"/>
          <w:color w:val="000000"/>
        </w:rPr>
        <w:t>liability is remeasured at each financial reporting period with any changes in fair value being recognized as a component of other income (expense), net in the condensed consolidated statements of operations and comprehensive loss.</w:t>
      </w:r>
    </w:p>
    <w:p>
      <w:pPr>
        <w:spacing w:after="0" w:line="212"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The fair value of the convertible preferred stock warrant liability was determined using the Black-Scholes option pricing model with the following inputs during the six months ended: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80" w:type="dxa"/>
            <w:vAlign w:val="bottom"/>
            <w:gridSpan w:val="4"/>
          </w:tcPr>
          <w:p>
            <w:pPr>
              <w:ind w:left="108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314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r>
      <w:tr>
        <w:trPr>
          <w:trHeight w:val="196"/>
        </w:trPr>
        <w:tc>
          <w:tcPr>
            <w:tcW w:w="3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life in years</w:t>
            </w:r>
          </w:p>
        </w:tc>
        <w:tc>
          <w:tcPr>
            <w:tcW w:w="30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 – 8.3</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 – 9.3</w:t>
            </w:r>
          </w:p>
        </w:tc>
        <w:tc>
          <w:tcPr>
            <w:tcW w:w="20" w:type="dxa"/>
            <w:vAlign w:val="bottom"/>
          </w:tcPr>
          <w:p>
            <w:pPr>
              <w:spacing w:after="0"/>
              <w:rPr>
                <w:sz w:val="17"/>
                <w:szCs w:val="17"/>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00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00.0% – 57.9%</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46.2% – 60.7%</w:t>
            </w:r>
          </w:p>
        </w:tc>
        <w:tc>
          <w:tcPr>
            <w:tcW w:w="20" w:type="dxa"/>
            <w:vAlign w:val="bottom"/>
          </w:tcPr>
          <w:p>
            <w:pPr>
              <w:spacing w:after="0"/>
              <w:rPr>
                <w:sz w:val="17"/>
                <w:szCs w:val="17"/>
                <w:color w:val="auto"/>
              </w:rPr>
            </w:pPr>
          </w:p>
        </w:tc>
      </w:tr>
      <w:tr>
        <w:trPr>
          <w:trHeight w:val="203"/>
        </w:trPr>
        <w:tc>
          <w:tcPr>
            <w:tcW w:w="3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4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7"/>
        </w:trPr>
        <w:tc>
          <w:tcPr>
            <w:tcW w:w="3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0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0.00% – 1.21%</w:t>
            </w:r>
          </w:p>
        </w:tc>
        <w:tc>
          <w:tcPr>
            <w:tcW w:w="1340" w:type="dxa"/>
            <w:vAlign w:val="bottom"/>
          </w:tcPr>
          <w:p>
            <w:pPr>
              <w:jc w:val="right"/>
              <w:spacing w:after="0"/>
              <w:rPr>
                <w:sz w:val="20"/>
                <w:szCs w:val="20"/>
                <w:color w:val="auto"/>
              </w:rPr>
            </w:pPr>
            <w:r>
              <w:rPr>
                <w:rFonts w:ascii="Arial" w:cs="Arial" w:eastAsia="Arial" w:hAnsi="Arial"/>
                <w:sz w:val="18"/>
                <w:szCs w:val="18"/>
                <w:color w:val="auto"/>
              </w:rPr>
              <w:t>0.16% – 0.66%</w:t>
            </w:r>
          </w:p>
        </w:tc>
        <w:tc>
          <w:tcPr>
            <w:tcW w:w="20" w:type="dxa"/>
            <w:vAlign w:val="bottom"/>
          </w:tcPr>
          <w:p>
            <w:pPr>
              <w:spacing w:after="0"/>
              <w:rPr>
                <w:sz w:val="18"/>
                <w:szCs w:val="18"/>
                <w:color w:val="auto"/>
              </w:rPr>
            </w:pPr>
          </w:p>
        </w:tc>
      </w:tr>
      <w:tr>
        <w:trPr>
          <w:trHeight w:val="620"/>
        </w:trPr>
        <w:tc>
          <w:tcPr>
            <w:tcW w:w="3140" w:type="dxa"/>
            <w:vAlign w:val="bottom"/>
          </w:tcPr>
          <w:p>
            <w:pPr>
              <w:spacing w:after="0"/>
              <w:rPr>
                <w:sz w:val="24"/>
                <w:szCs w:val="24"/>
                <w:color w:val="auto"/>
              </w:rPr>
            </w:pPr>
          </w:p>
        </w:tc>
        <w:tc>
          <w:tcPr>
            <w:tcW w:w="3000" w:type="dxa"/>
            <w:vAlign w:val="bottom"/>
          </w:tcPr>
          <w:p>
            <w:pPr>
              <w:jc w:val="right"/>
              <w:ind w:right="1490"/>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 following table sets forth a summary of changes in the estimated fair value of the Company’s convertible preferred stock warrants during the six months ended: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Issued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19,051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There were no transfers in or out of Level 1, Level 2 or Level 3 fair value measurements during the periods ended June 30, 2021 and December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Horizon loan agreement</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September 2019, the Company entered into a loan and security agreement with Horizon Technology Finance Corporation (“Horizon loan agreement”) under which it could borrow up to a total of $20 million at a floating per annum rate equal to 10% plus the amount by which the 30-day U.S. dollar LIBOR rate on the first business day of the month exceeds 2.2%. The Horizon loan agreement initially required interest only payments through October 2021 and then 36 monthly principal and interest payments beginning in November 2021. A final payment of $0.7 million, equal to 3.5% of the original principal, is due in October 2024. The Horizon loan agreement initially required the Company to maintain cash on deposit in accounts in which Horizon maintains an account control agreement of not less than $5.0 million. This minimum cash on deposit requirement was released in July 2020, following the satisfaction of a financing milestone. The borrowings are collateralized by all or substantially all of the assets of the Company. The Horizon loan agreement requires the payment of certain penalties if the loan is paid off prior to maturity for any reason, including pursuant to a subjective acceleration clause, and includes various restrictive covenants, including a restriction on the payment of dividends. The Company was in compliance with these covenants as of June 30, 2021.</w:t>
      </w:r>
    </w:p>
    <w:p>
      <w:pPr>
        <w:spacing w:after="0" w:line="203" w:lineRule="exact"/>
        <w:rPr>
          <w:sz w:val="20"/>
          <w:szCs w:val="20"/>
          <w:color w:val="auto"/>
        </w:rPr>
      </w:pPr>
    </w:p>
    <w:p>
      <w:pPr>
        <w:ind w:left="60" w:right="479"/>
        <w:spacing w:after="0" w:line="274" w:lineRule="auto"/>
        <w:rPr>
          <w:sz w:val="20"/>
          <w:szCs w:val="20"/>
          <w:color w:val="auto"/>
        </w:rPr>
      </w:pPr>
      <w:r>
        <w:rPr>
          <w:rFonts w:ascii="Arial" w:cs="Arial" w:eastAsia="Arial" w:hAnsi="Arial"/>
          <w:sz w:val="17"/>
          <w:szCs w:val="17"/>
          <w:color w:val="auto"/>
        </w:rPr>
        <w:t>In August 2020, the Company entered into an amended agreement with Horizon to extend the interest only period through April 2022, followed by 30 monthly principal and interest payments beginning in May 2022.</w:t>
      </w:r>
    </w:p>
    <w:p>
      <w:pPr>
        <w:spacing w:after="0" w:line="17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connection with the Horizon loan agreement, the Company recorded $1.1 million of debt issuance costs and discounts as a reduction of long-term debt. Of this total, $0.5 million related to legal fees and an investment bank fee and $0.6 million related to the warrants to purchase Series G Preferred Shares issued by the Company. These warrants were exercisable on the grant date at a price of $0.80 per share and expire in September 2029. The Company used the Black-Scholes option pricing model to determine the grant date fair value of these warrants.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as of June 30, 2021 are as follows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2024</w:t>
            </w:r>
          </w:p>
        </w:tc>
        <w:tc>
          <w:tcPr>
            <w:tcW w:w="3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3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80" w:type="dxa"/>
            <w:vAlign w:val="bottom"/>
            <w:vMerge w:val="restart"/>
          </w:tcPr>
          <w:p>
            <w:pPr>
              <w:jc w:val="right"/>
              <w:ind w:right="309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 will convert into common stock in connection with the closing of the IPO. Accordingly, all share and per-share 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G Preferred stock issuance</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During 2016, the Company issued 72,125,000 shares of Series G Preferred Shares at a price of $0.80 per share, for net proceeds to the Company of approximately $57.4 million after deducting offering expenses payable by the Company. The same Series G investors have agreed to purchase an additional $ 35.3 million of Series G Preferred Shares upon the Company’s achievement of a certain operational milestone, subject to limited closing conditions. In January 2019, May 2019, and August 2019, the Series G investors purchased additional Series G Preferred Shares, resulting in net proceeds to the Company of $24.7 million.</w:t>
      </w:r>
    </w:p>
    <w:p>
      <w:pPr>
        <w:spacing w:after="0" w:line="205"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In July of 2020, the Company issued 62,500,000 additional Series G Preferred Shares, at a price of $0.80 per share, for net proceeds to the Company of $49.8 million after deducting offering expenses payable by the Company.</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On May 31, 2016, holders of the requisite number of the Company’s then-outstanding convertible preferred stock approved the conversion of all preferred stock into shares of the Company’s common stock in connection with a new equity financing. Accordingly, all of the Company’s then-outstanding preferred stock was converted on a one-for-one basis into shares of the Company’s common stock. Under the terms of the equity financing, each prior holder of preferred stock who purchased a required amount of securities in the new financing was entitled to exchange certain of the shares of common stock received in the conversion described above into new prime series of preferred stock corresponding to the series of preferred stock from which the common stock was previously converted. All of the previously held Series A-1, B-1, C-1, D-1, E-1 and F preferred stock had similar features as the Series A-2 preferred stock (“Series A-2 Preferred Shares”), Series B-2 preferred stock (“Series B-2 Preferred Shares”), Series C-2 preferred stock (“Series C-2 Preferred Shares”), Series D-2 preferred stock (“Series D-2 Preferred Shares”), Series E-2 preferred stock (“Series E-2 Preferred Shares”), and Series F-2 preferred stock (“Series F-2 Preferred Shares”) described below. The Series A-2, Series B-2, Series C-2, Series D-2, Series E-2, Series F-2 and Series G Preferred Shares are referred to collectively as the “Preferred Shares.”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convertible preferred stock consists of the following (in thousands, except share data):</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rPr>
              <w:t>Liquidation</w:t>
            </w:r>
          </w:p>
        </w:tc>
        <w:tc>
          <w:tcPr>
            <w:tcW w:w="20" w:type="dxa"/>
            <w:vAlign w:val="bottom"/>
          </w:tcPr>
          <w:p>
            <w:pPr>
              <w:spacing w:after="0"/>
              <w:rPr>
                <w:sz w:val="14"/>
                <w:szCs w:val="14"/>
                <w:color w:val="auto"/>
              </w:rPr>
            </w:pPr>
          </w:p>
        </w:tc>
      </w:tr>
      <w:tr>
        <w:trPr>
          <w:trHeight w:val="175"/>
        </w:trPr>
        <w:tc>
          <w:tcPr>
            <w:tcW w:w="388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5"/>
                <w:szCs w:val="15"/>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rPr>
              <w:t>Preference</w:t>
            </w:r>
          </w:p>
        </w:tc>
        <w:tc>
          <w:tcPr>
            <w:tcW w:w="20" w:type="dxa"/>
            <w:vAlign w:val="bottom"/>
          </w:tcPr>
          <w:p>
            <w:pPr>
              <w:spacing w:after="0"/>
              <w:rPr>
                <w:sz w:val="15"/>
                <w:szCs w:val="15"/>
                <w:color w:val="auto"/>
              </w:rPr>
            </w:pPr>
          </w:p>
        </w:tc>
      </w:tr>
      <w:tr>
        <w:trPr>
          <w:trHeight w:val="196"/>
        </w:trPr>
        <w:tc>
          <w:tcPr>
            <w:tcW w:w="3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Series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2,454,686</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2,454,686</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4,909</w:t>
            </w: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Series B</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2,963,069</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2,963,069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7,526</w:t>
            </w:r>
          </w:p>
        </w:tc>
        <w:tc>
          <w:tcPr>
            <w:tcW w:w="20" w:type="dxa"/>
            <w:vAlign w:val="bottom"/>
          </w:tcPr>
          <w:p>
            <w:pPr>
              <w:spacing w:after="0"/>
              <w:rPr>
                <w:sz w:val="17"/>
                <w:szCs w:val="17"/>
                <w:color w:val="auto"/>
              </w:rPr>
            </w:pP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C</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4,308,394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4,308,394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13,141</w:t>
            </w:r>
          </w:p>
        </w:tc>
        <w:tc>
          <w:tcPr>
            <w:tcW w:w="20" w:type="dxa"/>
            <w:vAlign w:val="bottom"/>
            <w:shd w:val="clear" w:color="auto" w:fill="CCEEFF"/>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Series D</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8,631,967</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8,631,967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53,518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53,518</w:t>
            </w:r>
          </w:p>
        </w:tc>
        <w:tc>
          <w:tcPr>
            <w:tcW w:w="20" w:type="dxa"/>
            <w:vAlign w:val="bottom"/>
          </w:tcPr>
          <w:p>
            <w:pPr>
              <w:spacing w:after="0"/>
              <w:rPr>
                <w:sz w:val="17"/>
                <w:szCs w:val="17"/>
                <w:color w:val="auto"/>
              </w:rPr>
            </w:pP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E</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12,114,211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10,135,320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91,806</w:t>
            </w:r>
          </w:p>
        </w:tc>
        <w:tc>
          <w:tcPr>
            <w:tcW w:w="20" w:type="dxa"/>
            <w:vAlign w:val="bottom"/>
            <w:shd w:val="clear" w:color="auto" w:fill="CCEEFF"/>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Series F</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29,773,318</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29,548,318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41,663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104,783</w:t>
            </w:r>
          </w:p>
        </w:tc>
        <w:tc>
          <w:tcPr>
            <w:tcW w:w="20" w:type="dxa"/>
            <w:vAlign w:val="bottom"/>
          </w:tcPr>
          <w:p>
            <w:pPr>
              <w:spacing w:after="0"/>
              <w:rPr>
                <w:sz w:val="17"/>
                <w:szCs w:val="17"/>
                <w:color w:val="auto"/>
              </w:rPr>
            </w:pP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G</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177,125,000</w:t>
            </w:r>
          </w:p>
        </w:tc>
        <w:tc>
          <w:tcPr>
            <w:tcW w:w="2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165,500,000</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132,400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494,550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88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237,370,645</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223,541,754</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329,983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770,233</w:t>
            </w:r>
          </w:p>
        </w:tc>
        <w:tc>
          <w:tcPr>
            <w:tcW w:w="20" w:type="dxa"/>
            <w:vAlign w:val="bottom"/>
            <w:tcBorders>
              <w:bottom w:val="single" w:sz="8" w:color="auto"/>
            </w:tcBorders>
          </w:tcPr>
          <w:p>
            <w:pPr>
              <w:spacing w:after="0"/>
              <w:rPr>
                <w:sz w:val="17"/>
                <w:szCs w:val="17"/>
                <w:color w:val="auto"/>
              </w:rPr>
            </w:pPr>
          </w:p>
        </w:tc>
      </w:tr>
      <w:tr>
        <w:trPr>
          <w:trHeight w:val="20"/>
        </w:trPr>
        <w:tc>
          <w:tcPr>
            <w:tcW w:w="3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15"/>
        </w:trPr>
        <w:tc>
          <w:tcPr>
            <w:tcW w:w="3880" w:type="dxa"/>
            <w:vAlign w:val="bottom"/>
          </w:tcPr>
          <w:p>
            <w:pPr>
              <w:spacing w:after="0"/>
              <w:rPr>
                <w:sz w:val="24"/>
                <w:szCs w:val="24"/>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Conversion</w:t>
      </w:r>
    </w:p>
    <w:p>
      <w:pPr>
        <w:spacing w:after="0" w:line="234"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All Preferred Shares were automatically converted into common stock upon the closing of the IPO on July 2, 2021. Series G Preferred Shares were converted into common stock on a 15.819-for-1 basis, and all other Preferred Shares were automatically converted into common stock on a 39.548-for-1 basis.</w:t>
      </w:r>
    </w:p>
    <w:p>
      <w:pPr>
        <w:spacing w:after="0" w:line="203" w:lineRule="exact"/>
        <w:rPr>
          <w:sz w:val="20"/>
          <w:szCs w:val="20"/>
          <w:color w:val="auto"/>
        </w:rPr>
      </w:pPr>
    </w:p>
    <w:p>
      <w:pPr>
        <w:jc w:val="both"/>
        <w:ind w:left="60" w:right="119"/>
        <w:spacing w:after="0" w:line="246" w:lineRule="auto"/>
        <w:rPr>
          <w:sz w:val="20"/>
          <w:szCs w:val="20"/>
          <w:color w:val="auto"/>
        </w:rPr>
      </w:pPr>
      <w:r>
        <w:rPr>
          <w:rFonts w:ascii="Arial" w:cs="Arial" w:eastAsia="Arial" w:hAnsi="Arial"/>
          <w:sz w:val="18"/>
          <w:szCs w:val="18"/>
          <w:color w:val="auto"/>
        </w:rPr>
        <w:t>As of June 30, 2021, the Company had reserved 12,670,154 shares of unissued common stock for the purpose of effecting the conversion of the Preferred Shares.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Voting rights</w:t>
      </w:r>
    </w:p>
    <w:p>
      <w:pPr>
        <w:spacing w:after="0" w:line="234" w:lineRule="exact"/>
        <w:rPr>
          <w:sz w:val="20"/>
          <w:szCs w:val="20"/>
          <w:color w:val="auto"/>
        </w:rPr>
      </w:pPr>
    </w:p>
    <w:p>
      <w:pPr>
        <w:jc w:val="both"/>
        <w:ind w:left="60" w:right="99"/>
        <w:spacing w:after="0" w:line="238" w:lineRule="auto"/>
        <w:rPr>
          <w:sz w:val="20"/>
          <w:szCs w:val="20"/>
          <w:color w:val="auto"/>
        </w:rPr>
      </w:pPr>
      <w:r>
        <w:rPr>
          <w:rFonts w:ascii="Arial" w:cs="Arial" w:eastAsia="Arial" w:hAnsi="Arial"/>
          <w:sz w:val="18"/>
          <w:szCs w:val="18"/>
          <w:color w:val="auto"/>
        </w:rPr>
        <w:t>The holders of Preferred Shares were entitled to a number of votes equal to the number of shares of common stock into which such shares of Preferred Shares are convertible. In addition, an affirmative vote of the holders of a majority of the outstanding Preferred Shares, on an as-converted basis, is required to, among other things, sell the Company and approve certain amendments to the Company’s Certificate of Incorporation. Furthermore, each series of Preferred Shares has certain series voting rights on matters affecting that series.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holders of Preferred Shares were entitled to receive noncumulative dividends in preference to any dividend on the common stock. The dividend rate for the Preferred Shares is 8% of the applicable respective liquidation price per share. Dividends shall be payable on the Preferred Shares from funds legally available for declaration of dividends, only if and when declared by the Company’s Board of Directors. No such dividends have been declared.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Liquidation preference</w:t>
      </w:r>
    </w:p>
    <w:p>
      <w:pPr>
        <w:spacing w:after="0" w:line="234"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the event of any liquidation, dissolution or winding up of the Company, including a merger, acquisition or reorganization, where the beneficial owners of the Company’s common stock and Preferred Shares do not own a majority of the outstanding shares of the surviving, purchasing or newly resulting corporation, or where a sale occurs of all or substantially all of the assets of the Company, holders of Series G Preferred Shares are entitled to a per share distribution in preference to other holders of Preferred Shares and the common stockholders equal to $ 2.80, plus declared but unpaid dividends. After payment of these amounts to the holders of Series G Preferred Shares, Series F-2 stockholders are entitled to a per share distribution in preference to other holders of Preferred Shares and the common stockholders equal to $3.53, plus declared but unpaid dividends. After payment of these amounts to the holders of Series F-2 Preferred Shares, Series E-2 stockholders are entitled to a per share distribution in preference to other holders of Preferred Shares and the common stockholders equal to the original issue price per share of $7.58, plus declared but unpaid dividends. After payment of these amounts to the holders of Series E-2 Preferred Shares, Series D-2 stockholders are entitled to a per share distribution in preference to other holders of Preferred Shares and the common stockholders equal to the original issue price per share of $6.20, plus any declared but unpaid dividends. After payment of these amounts to the holders of Series D-2 Preferred Shares, holders of Series A-2 Preferred Shares, Series B-2 Preferred Shares and Series C-2 Preferred Shares are entitled to a per share distribution in preference to common stockholders equal to the original issue price per share of $2.00, $2.54 and $3.05, respectively, plus any declared but unpaid dividends. In the event that the remaining assets are insufficient to make a complete liquidation distribution to holders of the Series A-2 Preferred Shares, Series B-2 Preferred Shares and Series C-2 Preferred Shares, the holders shall share ratably in proportion to the applicable liquidation amount each holder is otherwise entitled to receive. After these distributions, the remaining assets, if any, shall be distributed pro rata among the holders of the common stock, Series F-2 Preferred Shares and Series G Preferred Shares (treating such Series F-2 Preferred Shares and Series G Preferred Shares on an as-converted basis).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Board of Directors approved a Sale Bonus Plan (the “Plan”). Pursuant to the terms of the Plan, in certain circumstances constituting a change in control and/or partial sale or license of assets of the Company, the Company’s employees may be entitled to the payment of a bonus. This Plan is terminated upon the completion of an initial public offering. The payments under the Plan shall be made prior to the determination of any liquidation preferences payable to the holders of Preferred Shares. In connection with the IPO, which took place on July 2, 2021, this Plan was terminated.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day of grant to four years and expire within a maximum term of 10 years from the grant date.</w:t>
      </w:r>
    </w:p>
    <w:p>
      <w:pPr>
        <w:spacing w:after="0" w:line="202"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600,373 shares that remained available for issuance under the 2001 Plan. The shares available for issuance under the 2021 Plan will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June 30, 2021, there were 1,801,032 shares available for future issuance under the 2021 Plan.</w:t>
      </w:r>
    </w:p>
    <w:p>
      <w:pPr>
        <w:spacing w:after="0" w:line="213"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97"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During the years 2008 through June 30, 2021, the Board of Directors authorized the grant of stock options for the purchase of shares of common stock to the employers of certain nonemployee directors. The options were not granted under the 2001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w:t>
            </w:r>
          </w:p>
        </w:tc>
        <w:tc>
          <w:tcPr>
            <w:tcW w:w="112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rPr>
              <w:t>Intrinsic</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w:t>
            </w:r>
          </w:p>
        </w:tc>
        <w:tc>
          <w:tcPr>
            <w:tcW w:w="6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as of December 31, 2020</w:t>
            </w:r>
          </w:p>
        </w:tc>
        <w:tc>
          <w:tcPr>
            <w:tcW w:w="1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1,473,359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1,205,236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12.80</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 / Forfeited</w:t>
            </w:r>
          </w:p>
        </w:tc>
        <w:tc>
          <w:tcPr>
            <w:tcW w:w="22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(18,623)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22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(5,930)</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June 30, 2021</w:t>
            </w:r>
          </w:p>
        </w:tc>
        <w:tc>
          <w:tcPr>
            <w:tcW w:w="10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2,654,042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259"/>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55,107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exercisable as of June 30, 2021</w:t>
            </w: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Arial" w:cs="Arial" w:eastAsia="Arial" w:hAnsi="Arial"/>
                <w:sz w:val="18"/>
                <w:szCs w:val="18"/>
                <w:color w:val="auto"/>
              </w:rPr>
              <w:t>541,614</w:t>
            </w:r>
          </w:p>
        </w:tc>
        <w:tc>
          <w:tcPr>
            <w:tcW w:w="2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jc w:val="right"/>
              <w:ind w:right="259"/>
              <w:spacing w:after="0" w:line="197"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7" w:lineRule="exact"/>
              <w:rPr>
                <w:sz w:val="20"/>
                <w:szCs w:val="20"/>
                <w:color w:val="auto"/>
              </w:rPr>
            </w:pPr>
            <w:r>
              <w:rPr>
                <w:rFonts w:ascii="Arial" w:cs="Arial" w:eastAsia="Arial" w:hAnsi="Arial"/>
                <w:sz w:val="18"/>
                <w:szCs w:val="18"/>
                <w:color w:val="auto"/>
                <w:w w:val="98"/>
              </w:rPr>
              <w:t>14,525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right="379"/>
        <w:spacing w:after="0" w:line="248" w:lineRule="auto"/>
        <w:rPr>
          <w:sz w:val="20"/>
          <w:szCs w:val="20"/>
          <w:color w:val="auto"/>
        </w:rPr>
      </w:pPr>
      <w:r>
        <w:rPr>
          <w:rFonts w:ascii="Arial" w:cs="Arial" w:eastAsia="Arial" w:hAnsi="Arial"/>
          <w:sz w:val="17"/>
          <w:szCs w:val="17"/>
          <w:color w:val="auto"/>
        </w:rPr>
        <w:t>As of June 30, 2021, stock options outstanding included 9,993 options that were not granted under the 2001 Plan. For options outstanding as of June 30, 2021, the weighted average remaining contractual life was</w:t>
      </w:r>
    </w:p>
    <w:p>
      <w:pPr>
        <w:spacing w:after="0" w:line="1"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8.5 years. For options exercisable as of June 30, 2021, the weighted average remaining contractual life was 5.4 years.</w:t>
      </w:r>
    </w:p>
    <w:p>
      <w:pPr>
        <w:spacing w:after="0" w:line="19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will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six-month purchase period. The Company expects the first purchase period to commence in 2022. Accordingly, as of June 30, 2021 no shares of common stock have been purchased under the ESPP.</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on the grant date. The Company measures stock-based compensation expense based on the grant date fair value of the award and recognizes compensation expense over the requisite service period, which is generally the vesting period. The amount of stock-based compensation expense recognized during a period is based on the portion of the awards that are ultimately expected to vest. The Company estimates pre-vesting forfeitures at the time of grant by analyzing historical data and revises those estimates in subsequent periods if actual forfeitures differ from those estimates.</w:t>
      </w:r>
    </w:p>
    <w:p>
      <w:pPr>
        <w:spacing w:after="0" w:line="203"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six months ended June 30,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7"/>
                <w:szCs w:val="17"/>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rPr>
              <w:t>Expected term (in years) — non-officer employees</w:t>
            </w: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Expected term (in years) — officer employees</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03"/>
        </w:trPr>
        <w:tc>
          <w:tcPr>
            <w:tcW w:w="4720" w:type="dxa"/>
            <w:vAlign w:val="bottom"/>
          </w:tcPr>
          <w:p>
            <w:pPr>
              <w:spacing w:after="0" w:line="203" w:lineRule="exact"/>
              <w:rPr>
                <w:sz w:val="20"/>
                <w:szCs w:val="20"/>
                <w:color w:val="auto"/>
              </w:rPr>
            </w:pPr>
            <w:r>
              <w:rPr>
                <w:rFonts w:ascii="Arial" w:cs="Arial" w:eastAsia="Arial" w:hAnsi="Arial"/>
                <w:sz w:val="18"/>
                <w:szCs w:val="18"/>
                <w:color w:val="auto"/>
              </w:rPr>
              <w:t>Expected volatility</w:t>
            </w:r>
          </w:p>
        </w:tc>
        <w:tc>
          <w:tcPr>
            <w:tcW w:w="4180" w:type="dxa"/>
            <w:vAlign w:val="bottom"/>
          </w:tcPr>
          <w:p>
            <w:pPr>
              <w:jc w:val="right"/>
              <w:spacing w:after="0" w:line="203" w:lineRule="exact"/>
              <w:rPr>
                <w:sz w:val="20"/>
                <w:szCs w:val="20"/>
                <w:color w:val="auto"/>
              </w:rPr>
            </w:pPr>
            <w:r>
              <w:rPr>
                <w:rFonts w:ascii="Arial" w:cs="Arial" w:eastAsia="Arial" w:hAnsi="Arial"/>
                <w:sz w:val="18"/>
                <w:szCs w:val="18"/>
                <w:color w:val="auto"/>
              </w:rPr>
              <w:t>61.6% to 63.4 %</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4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180" w:type="dxa"/>
            <w:vAlign w:val="bottom"/>
          </w:tcPr>
          <w:p>
            <w:pPr>
              <w:jc w:val="right"/>
              <w:spacing w:after="0"/>
              <w:rPr>
                <w:sz w:val="20"/>
                <w:szCs w:val="20"/>
                <w:color w:val="auto"/>
              </w:rPr>
            </w:pPr>
            <w:r>
              <w:rPr>
                <w:rFonts w:ascii="Arial" w:cs="Arial" w:eastAsia="Arial" w:hAnsi="Arial"/>
                <w:sz w:val="18"/>
                <w:szCs w:val="18"/>
                <w:color w:val="auto"/>
              </w:rPr>
              <w:t>0.17% to 0.47 %</w:t>
            </w:r>
          </w:p>
        </w:tc>
      </w:tr>
    </w:tbl>
    <w:p>
      <w:pPr>
        <w:spacing w:after="0" w:line="187"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 reviews these assumptions on a periodic basis and adjusts them, as necessary. The expected term of an award was determined based on the Company’s analysis of historical exercise behavior while taking into consideration various participant demographics and option characteristics.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019"/>
        <w:spacing w:after="0" w:line="246" w:lineRule="auto"/>
        <w:rPr>
          <w:sz w:val="20"/>
          <w:szCs w:val="20"/>
          <w:color w:val="auto"/>
        </w:rPr>
      </w:pPr>
      <w:r>
        <w:rPr>
          <w:rFonts w:ascii="Arial" w:cs="Arial" w:eastAsia="Arial" w:hAnsi="Arial"/>
          <w:sz w:val="18"/>
          <w:szCs w:val="18"/>
          <w:color w:val="auto"/>
        </w:rPr>
        <w:t>For the three and six months ended June 30, 2021 and 2020, the Company recognized stock-based compensation expense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Selling, general &amp; administrative</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19"/>
        <w:spacing w:after="0"/>
        <w:rPr>
          <w:sz w:val="20"/>
          <w:szCs w:val="20"/>
          <w:color w:val="auto"/>
        </w:rPr>
      </w:pPr>
      <w:r>
        <w:rPr>
          <w:rFonts w:ascii="Arial" w:cs="Arial" w:eastAsia="Arial" w:hAnsi="Arial"/>
          <w:sz w:val="18"/>
          <w:szCs w:val="18"/>
          <w:color w:val="auto"/>
        </w:rPr>
        <w:t>As of June 30, 2021, unrecognized compensation expense related to unvested stock-based compensation arrangements was $7.2 million. As of June 30, 2021, the related weighted average period over which it is expected to be recognized is approximately 3.7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Performance-Based options</w:t>
      </w:r>
    </w:p>
    <w:p>
      <w:pPr>
        <w:spacing w:after="0" w:line="234"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As of June 30, 2021, the Company had 10,493 stock options outstanding that contained vesting conditions contingent on the achievement of certain milestones. Assuming continued service by the employees, the options would start vesting over a 48-month period upon achievement of the performance criteria. As of June 30, 2021, the Company determined that the likelihood of achieving the milestones was not probable and therefore no stock-based compensation expense was recorded.</w:t>
      </w:r>
    </w:p>
    <w:p>
      <w:pPr>
        <w:spacing w:after="0" w:line="202" w:lineRule="exact"/>
        <w:rPr>
          <w:sz w:val="20"/>
          <w:szCs w:val="20"/>
          <w:color w:val="auto"/>
        </w:rPr>
      </w:pPr>
    </w:p>
    <w:p>
      <w:pPr>
        <w:ind w:left="60" w:right="299"/>
        <w:spacing w:after="0" w:line="255" w:lineRule="auto"/>
        <w:rPr>
          <w:sz w:val="20"/>
          <w:szCs w:val="20"/>
          <w:color w:val="auto"/>
        </w:rPr>
      </w:pPr>
      <w:r>
        <w:rPr>
          <w:rFonts w:ascii="Arial" w:cs="Arial" w:eastAsia="Arial" w:hAnsi="Arial"/>
          <w:sz w:val="17"/>
          <w:szCs w:val="17"/>
          <w:color w:val="auto"/>
        </w:rPr>
        <w:t>As of June 30, 2021, the Company had 1,000,590 stock options outstanding that contained restrictions on vesting and exercisability contingent on the achievement of certain financing milestones. These stock options would have been cancelled at the completion of a change in control event if completed before an initial public offering. As of June 30, 2021, the Company determined that the likelihood of achieving the milestones was probable and therefore the Company has recorded the associated stock-based compensation expense.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June 30, 2021 and 2020, there have been no early exercises and therefore there is no liability recorded for the early exercise of stock options.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3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As of both June 30, 2021 and 2020, a valuation allowance was recorded against all deferred tax assets due to the Company’s cumulative net loss position. Income tax expense for the three months ended June 30, 2021 and 2020 was $26,000 and $22,000, respectively. Income tax expense for the six months ended June 30, 2021 and 2020 was $43,000 and $45,000, respectively.</w:t>
      </w:r>
    </w:p>
    <w:p>
      <w:pPr>
        <w:spacing w:after="0" w:line="20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As of December 31, 2020, the Company had federal and state net operating loss carryforwards, or NOLs, of approximately $296.1 million and $88.0 million, respectively. The federal NOLs begin to expire in 2021 and the state NOLs began expiring in 2020. The Company has federal and state tax credit carryforwards of approximately $8.6 million and $1.5 million, respectively. The federal and state tax credit carryforwards begin to expire in 2021 and 2028, respectively.</w:t>
      </w:r>
    </w:p>
    <w:p>
      <w:pPr>
        <w:spacing w:after="0" w:line="20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Utilization of the net operating loss carryforward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net operating losses and could be triggered by subsequent sales of securities by the Company or its stockholders.</w:t>
      </w:r>
    </w:p>
    <w:p>
      <w:pPr>
        <w:sectPr>
          <w:pgSz w:w="11900" w:h="16838" w:orient="portrait"/>
          <w:cols w:equalWidth="0" w:num="1">
            <w:col w:w="9019"/>
          </w:cols>
          <w:pgMar w:left="1440" w:top="517"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Earnings Per Share</w:t>
      </w:r>
    </w:p>
    <w:p>
      <w:pPr>
        <w:spacing w:after="0" w:line="238" w:lineRule="exact"/>
        <w:rPr>
          <w:sz w:val="20"/>
          <w:szCs w:val="20"/>
          <w:color w:val="auto"/>
        </w:rPr>
      </w:pPr>
    </w:p>
    <w:p>
      <w:pPr>
        <w:ind w:left="60" w:right="859"/>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data):</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5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(17,748)</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(3,667)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(26,375)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(17,748)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(26,375)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100"/>
              <w:spacing w:after="0" w:line="201" w:lineRule="exact"/>
              <w:rPr>
                <w:sz w:val="20"/>
                <w:szCs w:val="20"/>
                <w:color w:val="auto"/>
              </w:rPr>
            </w:pPr>
            <w:r>
              <w:rPr>
                <w:rFonts w:ascii="Arial" w:cs="Arial" w:eastAsia="Arial" w:hAnsi="Arial"/>
                <w:sz w:val="18"/>
                <w:szCs w:val="18"/>
                <w:color w:val="auto"/>
              </w:rPr>
              <w:t>Weighted average common shares outstanding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366,066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360,238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363,397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414,225</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00"/>
              <w:spacing w:after="0" w:line="190" w:lineRule="exact"/>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 stockholders</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36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18)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58)</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06)</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 basic and diluted</w:t>
            </w:r>
          </w:p>
        </w:tc>
        <w:tc>
          <w:tcPr>
            <w:tcW w:w="3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The Company’s potentially dilutive securities, which include stock options, shares of convertible preferred stock and warrants to purchase shares of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67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2,654,042</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2,017,766</w:t>
            </w:r>
          </w:p>
        </w:tc>
      </w:tr>
      <w:tr>
        <w:trPr>
          <w:trHeight w:val="202"/>
        </w:trPr>
        <w:tc>
          <w:tcPr>
            <w:tcW w:w="672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common stock)</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108,406</w:t>
            </w:r>
          </w:p>
        </w:tc>
        <w:tc>
          <w:tcPr>
            <w:tcW w:w="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108,406</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(as converted to common stock)</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11,929,584</w:t>
            </w: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11,929,584</w:t>
            </w:r>
          </w:p>
        </w:tc>
      </w:tr>
      <w:tr>
        <w:trPr>
          <w:trHeight w:val="196"/>
        </w:trPr>
        <w:tc>
          <w:tcPr>
            <w:tcW w:w="67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14,692,032</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14,055,756</w:t>
            </w:r>
          </w:p>
        </w:tc>
      </w:tr>
      <w:tr>
        <w:trPr>
          <w:trHeight w:val="20"/>
        </w:trPr>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1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has entered into an operating lease agreement for its office, manufacturing and research facility, which expires in 2024. Rent expense for the three months ended June 30, 2021 and 2020 was $93,000 and $94,000, respectively. Rent expense for the six months ended June 30, 2021 and 2020 was $187,000 and $184,000, respectively.</w:t>
      </w:r>
    </w:p>
    <w:p>
      <w:pPr>
        <w:spacing w:after="0" w:line="205"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Future minimum lease payments under all operating leases as of June 30, 2021, are as follows for the years ending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5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December 31, 2022</w:t>
            </w:r>
          </w:p>
        </w:tc>
        <w:tc>
          <w:tcPr>
            <w:tcW w:w="4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2023</w:t>
            </w:r>
          </w:p>
        </w:tc>
        <w:tc>
          <w:tcPr>
            <w:tcW w:w="4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December 31, 2024</w:t>
            </w:r>
          </w:p>
        </w:tc>
        <w:tc>
          <w:tcPr>
            <w:tcW w:w="48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840" w:type="dxa"/>
            <w:vAlign w:val="bottom"/>
            <w:vMerge w:val="restart"/>
          </w:tcPr>
          <w:p>
            <w:pPr>
              <w:jc w:val="right"/>
              <w:ind w:right="317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June 30, 2021 or 2020.</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11.Employee benefit plans</w:t>
      </w:r>
    </w:p>
    <w:p>
      <w:pPr>
        <w:spacing w:after="0" w:line="23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Company sponsors a voluntary defined-contribution employee retirement plan, or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3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208" w:lineRule="exact"/>
        <w:rPr>
          <w:sz w:val="20"/>
          <w:szCs w:val="20"/>
          <w:color w:val="auto"/>
        </w:rPr>
      </w:pPr>
    </w:p>
    <w:p>
      <w:pPr>
        <w:ind w:left="60" w:right="579"/>
        <w:spacing w:after="0"/>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three and six months ended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40" w:type="dxa"/>
            <w:vAlign w:val="bottom"/>
          </w:tcPr>
          <w:p>
            <w:pPr>
              <w:spacing w:after="0"/>
              <w:rPr>
                <w:sz w:val="15"/>
                <w:szCs w:val="15"/>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June 30,</w:t>
            </w:r>
          </w:p>
        </w:tc>
      </w:tr>
      <w:tr>
        <w:trPr>
          <w:trHeight w:val="155"/>
        </w:trPr>
        <w:tc>
          <w:tcPr>
            <w:tcW w:w="57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$ 2,105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$ 3,717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911</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1,907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2,078</w:t>
            </w:r>
          </w:p>
        </w:tc>
      </w:tr>
      <w:tr>
        <w:trPr>
          <w:trHeight w:val="203"/>
        </w:trPr>
        <w:tc>
          <w:tcPr>
            <w:tcW w:w="5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r>
      <w:tr>
        <w:trPr>
          <w:trHeight w:val="196"/>
        </w:trPr>
        <w:tc>
          <w:tcPr>
            <w:tcW w:w="57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$ 3,123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1,250</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$ 5,983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2,968</w:t>
            </w:r>
          </w:p>
        </w:tc>
      </w:tr>
      <w:tr>
        <w:trPr>
          <w:trHeight w:val="20"/>
        </w:trPr>
        <w:tc>
          <w:tcPr>
            <w:tcW w:w="5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June 30, 2021 and 2020, long-lived assets were located primarily in the U.S.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13.Subsequent events</w:t>
      </w:r>
    </w:p>
    <w:p>
      <w:pPr>
        <w:spacing w:after="0" w:line="238"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 deducting the underwriting discount and other offering expenses payable by the Company, of approximately $133.3 million.</w:t>
      </w:r>
    </w:p>
    <w:p>
      <w:pPr>
        <w:spacing w:after="0" w:line="189"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The table below presents the Company’s balance sheet data as of June 30, 2021 on an actual basis and on a pro forma as adjusted basis to give effect to:</w:t>
      </w:r>
    </w:p>
    <w:p>
      <w:pPr>
        <w:spacing w:after="0" w:line="197" w:lineRule="exact"/>
        <w:rPr>
          <w:sz w:val="20"/>
          <w:szCs w:val="20"/>
          <w:color w:val="auto"/>
        </w:rPr>
      </w:pPr>
    </w:p>
    <w:p>
      <w:pPr>
        <w:ind w:left="720" w:right="919" w:hanging="319"/>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conversion of all outstanding shares of the Company’s convertible preferred stock into an aggregate of 11,929,584 shares of common stock upon the closing of the IPO;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of 8,050,000 shares of common stock in the IPO, after deducting the underwriting discount and estimated offering expenses payable by the Company.</w:t>
      </w:r>
    </w:p>
    <w:p>
      <w:pPr>
        <w:spacing w:after="0" w:line="170" w:lineRule="exact"/>
        <w:rPr>
          <w:sz w:val="20"/>
          <w:szCs w:val="20"/>
          <w:color w:val="auto"/>
        </w:rPr>
      </w:pPr>
    </w:p>
    <w:p>
      <w:pPr>
        <w:ind w:left="6840"/>
        <w:spacing w:after="0"/>
        <w:rPr>
          <w:sz w:val="20"/>
          <w:szCs w:val="20"/>
          <w:color w:val="auto"/>
        </w:rPr>
      </w:pPr>
      <w:r>
        <w:rPr>
          <w:rFonts w:ascii="Arial" w:cs="Arial" w:eastAsia="Arial" w:hAnsi="Arial"/>
          <w:sz w:val="20"/>
          <w:szCs w:val="20"/>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8890</wp:posOffset>
            </wp:positionV>
            <wp:extent cx="1517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15"/>
              <w:spacing w:after="0"/>
              <w:rPr>
                <w:sz w:val="20"/>
                <w:szCs w:val="20"/>
                <w:color w:val="auto"/>
              </w:rPr>
            </w:pPr>
            <w:r>
              <w:rPr>
                <w:rFonts w:ascii="Arial" w:cs="Arial" w:eastAsia="Arial" w:hAnsi="Arial"/>
                <w:sz w:val="14"/>
                <w:szCs w:val="14"/>
                <w:b w:val="1"/>
                <w:bCs w:val="1"/>
                <w:color w:val="auto"/>
              </w:rPr>
              <w:t>Pro Forma</w:t>
            </w:r>
          </w:p>
        </w:tc>
      </w:tr>
      <w:tr>
        <w:trPr>
          <w:trHeight w:val="201"/>
        </w:trPr>
        <w:tc>
          <w:tcPr>
            <w:tcW w:w="6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 adjusted</w:t>
            </w:r>
          </w:p>
        </w:tc>
      </w:tr>
      <w:tr>
        <w:trPr>
          <w:trHeight w:val="196"/>
        </w:trPr>
        <w:tc>
          <w:tcPr>
            <w:tcW w:w="6520" w:type="dxa"/>
            <w:vAlign w:val="bottom"/>
          </w:tcPr>
          <w:p>
            <w:pPr>
              <w:spacing w:after="0"/>
              <w:rPr>
                <w:sz w:val="17"/>
                <w:szCs w:val="17"/>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share data)</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180,385</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Convertible preferred stock warrant liability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(318,931)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163,360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outstanding</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20,345,926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259"/>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38"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NEO, is the first and only commercially available neuromodulation device indicated to improve symptoms for patients with HFrEF. BAROSTIM NEO provides Baroreflex Activation Therapy by sending imperceptible and persistent electrical pulses to baroreceptors located in the wall of the carotid artery to signal the brain to modulate cardiovascular function. BAROSTIM NEO is currently approved by the U.S. Food and Drug Administration (“FDA”) to improve the symptoms of patients with HFrEF and is CE Marked for HFrEF and resistant hypertension.</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our BAROSTIM Therapy, conducting our BeAT-HF pre-market and post-market pivotal studies in the U.S. and filing for regulatory approvals. Our ability to generate revenue from product sales and become profitable will depend on our ability to successfully commercialize BAROSTIM NEO and any product enhancements we may advance in the future. We expect to derive future revenue by expanding our own dedicated salesforce and increasing awareness of our BAROSTIM NEO among payors, physicians and patients.</w:t>
      </w:r>
    </w:p>
    <w:p>
      <w:pPr>
        <w:spacing w:after="0" w:line="20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Our sales and marketing efforts are directed at electrophysiologists, HF specialists, general cardiologists and vascular surgeons because they are the primary users of our technology. However, we consider the hospitals, where the procedures are performed primarily in an outpatient setting, to be our customers, as they are the purchasing entities of our BAROSTIM NEO in the U.S. We intend to continue making significant investments building our U.S. commercial infrastructure by expanding and training our U.S. sales force. We have dedicated significant resources to educate physicians who treat HFrEF about the advantages of BAROSTIM NEO and train them on the implant procedure.</w:t>
      </w:r>
    </w:p>
    <w:p>
      <w:pPr>
        <w:spacing w:after="0" w:line="20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cost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NEO. As a result, we have prioritized coverage by the Centers for Medicare and Medicaid Services (“CMS”) while simultaneously developing processes to engage commercial payors. As of July 2020, all Medicare Administrative Contractors have retired automatic coverage denial policies for our Current Procedural Terminology (“CPT”) codes, thereby allowing hospitals to be paid for the BAROSTIM procedure. Our reimbursement strategy involves continuing to broaden our current coverage and build our in-house market access team to assist patients and physicians in obtaining appropriate prior authorization approvals in advance of treatment on a case-by-case basis where positive coverage policies currently do not exist. Outside the U.S., reimbursement levels vary by country and within some countries by region. BAROSTIM NEO is eligible for reimbursement in certain countries in the European Union (“EU”), such as Germany, where annual healthcare budgets for the hospital generally determine the number of patients to be treated and the prices to be paid for the related devices that may be purchased.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manage all aspects of manufacturing operations and product supply of our BAROSTIM NEO, which includes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our BAROSTIM NEO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From our inception until the IPO, we financed our operations primarily through preferred stock financings, and additionally, from sales of our BAROSTIM products and amounts borrowed under our current and past credit facilities. We have devoted substantially all of our resources to research and development activities related to our BAROSTIM Therapy, including clinical and regulatory initiatives to obtain marketing approval, and sales and marketing activities.</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intend to use a portion of the IPO proceeds to continue funding the expansion of our direct sales force and commercial organization related to BAROSTIM NEO in the U.S. We also intend to continue investing in research and development in the near term to improve clinical outcomes, optimize patient adoption and comfort, increase patient access and enhance the physician and patient experience. Longer term, we plan to explore BAROSTIM NEO’s potential to expand its indications for use to other cardiovascular diseases. As a result of these investments and our commercialization efforts, we expect to continue to incur net losses for the next several years which may require additional funding, and could include future equity and debt financings.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Since it was reported to have surfaced in December 2019, a novel strain of coronavirus (“COVID-19”) has spread across the world and has been declared a pandemic by the World Health Organization. Efforts to contain the spread of COVID-19 have been significant and governments around the world, including in the U.S., have implemented severe travel restrictions, social distancing requirements, quarantines, stay-at-home orders and other significant restrictions. As a result, the current COVID-19 pandemic has presented a substantial public health and economic challenge and is affecting hospitals, physicians, patients, communities and business operations, as well as contributing to significant volatility and negative pressure on the U.S. and world economy and in financial markets.</w:t>
      </w:r>
    </w:p>
    <w:p>
      <w:pPr>
        <w:spacing w:after="0" w:line="20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COVID-19 pandemic has negatively impacted our business, financial condition and results of operations by decreasing and delaying procedures performed to implant our BAROSTIM NEO, and we expect the pandemic will continue to negatively impact our business, financial condition and results of operations. Beginning in March 2020, our revenue was negatively impacted by COVID-19 as healthcare facilities and clinics began restricting in-person access to their clinicians, reducing patient consultations and treatments or temporarily closing their facilities. As a result, substantially all of our then-scheduled procedures were postponed, and numerous other cases could not be scheduled. During May 2020, the widespread shutdown resulted in key physician-society conferences being moved to a virtual setting, which directly impacted our planned commercial launch in the U.S.</w:t>
      </w:r>
    </w:p>
    <w:p>
      <w:pPr>
        <w:spacing w:after="0" w:line="207" w:lineRule="exact"/>
        <w:rPr>
          <w:sz w:val="20"/>
          <w:szCs w:val="20"/>
          <w:color w:val="auto"/>
        </w:rPr>
      </w:pPr>
    </w:p>
    <w:p>
      <w:pPr>
        <w:ind w:left="60" w:right="619"/>
        <w:spacing w:after="0"/>
        <w:rPr>
          <w:sz w:val="20"/>
          <w:szCs w:val="20"/>
          <w:color w:val="auto"/>
        </w:rPr>
      </w:pPr>
      <w:r>
        <w:rPr>
          <w:rFonts w:ascii="Arial" w:cs="Arial" w:eastAsia="Arial" w:hAnsi="Arial"/>
          <w:sz w:val="18"/>
          <w:szCs w:val="18"/>
          <w:color w:val="auto"/>
        </w:rPr>
        <w:t>In response to the COVID-19 pandemic, we have implemented a variety of measures intended to help us manage its impact while maintaining business continuity to support our customers and patients. These measures include:</w:t>
      </w:r>
    </w:p>
    <w:p>
      <w:pPr>
        <w:spacing w:after="0" w:line="203" w:lineRule="exact"/>
        <w:rPr>
          <w:sz w:val="20"/>
          <w:szCs w:val="20"/>
          <w:color w:val="auto"/>
        </w:rPr>
      </w:pPr>
    </w:p>
    <w:p>
      <w:pPr>
        <w:ind w:left="380" w:right="839" w:hanging="330"/>
        <w:spacing w:after="0" w:line="246"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459" w:hanging="330"/>
        <w:spacing w:after="0" w:line="246" w:lineRule="auto"/>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96" w:lineRule="exact"/>
        <w:rPr>
          <w:rFonts w:ascii="Arial" w:cs="Arial" w:eastAsia="Arial" w:hAnsi="Arial"/>
          <w:sz w:val="18"/>
          <w:szCs w:val="18"/>
          <w:color w:val="231F20"/>
        </w:rPr>
      </w:pPr>
    </w:p>
    <w:p>
      <w:pPr>
        <w:ind w:left="380" w:right="79" w:hanging="330"/>
        <w:spacing w:after="0" w:line="246" w:lineRule="auto"/>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96" w:lineRule="exact"/>
        <w:rPr>
          <w:rFonts w:ascii="Arial" w:cs="Arial" w:eastAsia="Arial" w:hAnsi="Arial"/>
          <w:sz w:val="18"/>
          <w:szCs w:val="18"/>
          <w:color w:val="231F20"/>
        </w:rPr>
      </w:pPr>
    </w:p>
    <w:p>
      <w:pPr>
        <w:ind w:left="380" w:right="779" w:hanging="330"/>
        <w:spacing w:after="0" w:line="261"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 xml:space="preserve">Increasing our capital resources through the issuance of shares of Series G Preferred Stock for net proceeds of </w:t>
      </w:r>
      <w:r>
        <w:rPr>
          <w:rFonts w:ascii="Arial" w:cs="Arial" w:eastAsia="Arial" w:hAnsi="Arial"/>
          <w:sz w:val="18"/>
          <w:szCs w:val="18"/>
          <w:color w:val="000000"/>
        </w:rPr>
        <w:t>$49.8 million in July 2020.</w:t>
      </w:r>
    </w:p>
    <w:p>
      <w:pPr>
        <w:spacing w:after="0" w:line="18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hospital customers in the U.S. and Europe began to gradually perform elective procedures again during the fourth quarter of 2020. We believe the recovery of our business in the fourth quarter of 2020 and through the first half of 2021 is an encouraging sign for when shelter-in-place and hospital limitations are lifted. As the pandemic has eased, we are experiencing the following positive trends:</w:t>
      </w:r>
    </w:p>
    <w:p>
      <w:pPr>
        <w:spacing w:after="0" w:line="205"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Strong physician participation in our virtual educational events;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Expansion into new accounts;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Despite the encouraging signs of recovery of our business, we believe the challenges resulting from COVID-19 will likely continue for the duration of the pandemic. The extent to which the COVID-19 pandemic impacts our business will depend on future developments, which are highly uncertain and cannot be predicted, including new information that may emerge concerning the severity and spread of COVID-19 and its variants and the actions to contain the spread of COVID-19 and its variants or treat its impact.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38"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97"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Growing and supporting our U.S. commercial organization;</w:t>
      </w:r>
    </w:p>
    <w:p>
      <w:pPr>
        <w:spacing w:after="0" w:line="225" w:lineRule="exact"/>
        <w:rPr>
          <w:rFonts w:ascii="Arial" w:cs="Arial" w:eastAsia="Arial" w:hAnsi="Arial"/>
          <w:sz w:val="18"/>
          <w:szCs w:val="18"/>
          <w:color w:val="231F20"/>
        </w:rPr>
      </w:pPr>
    </w:p>
    <w:p>
      <w:pPr>
        <w:ind w:left="380" w:right="259" w:hanging="330"/>
        <w:spacing w:after="0" w:line="246" w:lineRule="auto"/>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Promoting awareness among physicians, hospitals and patients to accelerate adoption of our BAROSTIM NEO;</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Raising awareness among payors to build upon reimbursement for BAROSTIM NEO;</w:t>
      </w:r>
    </w:p>
    <w:p>
      <w:pPr>
        <w:spacing w:after="0" w:line="225" w:lineRule="exact"/>
        <w:rPr>
          <w:rFonts w:ascii="Arial" w:cs="Arial" w:eastAsia="Arial" w:hAnsi="Arial"/>
          <w:sz w:val="18"/>
          <w:szCs w:val="18"/>
          <w:color w:val="231F20"/>
        </w:rPr>
      </w:pPr>
    </w:p>
    <w:p>
      <w:pPr>
        <w:ind w:left="380" w:right="679" w:hanging="330"/>
        <w:spacing w:after="0" w:line="246" w:lineRule="auto"/>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Investing in research and development to foster innovation and further simplify our BAROSTIM NEO procedure; and</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Leveraging our manufacturing capacity to further improve our gross margins.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have derived primarily all of our historical revenue from the sale of our BAROSTIM NEO to hospitals in Germany and other select countries in Europe. Revenue from sales of our BAROSTIM NEO in Europe fluctuates based on the average selling price of our BAROSTIM NEO as determined by location of sale and channel mix, each of which may vary significantly from country to country. Our revenue from international sales can also be significantly impacted by fluctuations in foreign currency exchange rates.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U.S. sales have increased since the pre-market approval of our BAROSTIM NEO by the FDA in</w:t>
      </w:r>
    </w:p>
    <w:p>
      <w:pPr>
        <w:jc w:val="both"/>
        <w:ind w:left="60" w:right="119"/>
        <w:spacing w:after="0" w:line="238" w:lineRule="auto"/>
        <w:rPr>
          <w:sz w:val="20"/>
          <w:szCs w:val="20"/>
          <w:color w:val="auto"/>
        </w:rPr>
      </w:pPr>
      <w:r>
        <w:rPr>
          <w:rFonts w:ascii="Arial" w:cs="Arial" w:eastAsia="Arial" w:hAnsi="Arial"/>
          <w:sz w:val="18"/>
          <w:szCs w:val="18"/>
          <w:color w:val="auto"/>
        </w:rPr>
        <w:t>August 2019, and the subsequent reimbursement changes in 2020. We expect to continue to drive increases in revenue through our efforts to increase awareness of BAROSTIM NEO among physicians, patients and payors and by the expansion of our U.S. sales force. As a result, we expect that U.S. sales will account for the majority of our revenue going forward.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NEO,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202" w:lineRule="exact"/>
        <w:rPr>
          <w:sz w:val="20"/>
          <w:szCs w:val="20"/>
          <w:color w:val="auto"/>
        </w:rPr>
      </w:pPr>
    </w:p>
    <w:p>
      <w:pPr>
        <w:ind w:left="60" w:right="199"/>
        <w:spacing w:after="0" w:line="234"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3"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NEO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research and development costs as they are incurred. We expect R&amp;D expenses to increase in absolute dollars as we continue to develop enhancements to BAROSTIM NEO. Our R&amp;D expenses may fluctuate from period to period due to the timing and extent of our product development and clinical trial expenses related to BAROSTIM NEO in HFrEF.</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We also expect our administrative expenses will increase as we increase our headcount and information technology to support our operations as a public company. Additionally, we anticipate increased expenses related to audit, legal, regulatory and tax-related services associated with maintaining compliance with exchange listing and SEC requirements, director and officer insurance premiums and investor relations costs associated with being a public company. However, we expect our SG&amp;A expenses to decrease as a percentage of revenue as our revenue grows.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Other expense, net consists primarily of the fair value adjustments related to our outstanding convertible preferred stock warrants, which are accounted for as a liability and marked-to-market at each reporting period. The final fair value adjustment of the warrant liability was recorded upon the closing of the IPO in connection with the conversion of the warrants to common stock warrants. Other items include gains (losses) on the extinguishment of debt, interest income earned on our cash and cash equivalents, and the effect of exchange rates on our foreign currency-denominated asset and liability balances. Translation adjustments are recorded as foreign currency gains (losses) in the condensed consolidated statements of operations and comprehensive loss.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4"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Income tax expense consists primarily of income taxes in foreign jurisdictions in which we conduct business. We maintain a full valuation allowance for deferred tax assets including net operating loss carryforwards, research and development credits and other tax credits.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June 30, 2021, compared to the three months ended June 30, 2020</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60" w:type="dxa"/>
            <w:vAlign w:val="bottom"/>
            <w:vMerge w:val="restart"/>
          </w:tcPr>
          <w:p>
            <w:pPr>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5"/>
                <w:szCs w:val="15"/>
                <w:color w:val="auto"/>
              </w:rPr>
            </w:pPr>
          </w:p>
        </w:tc>
        <w:tc>
          <w:tcPr>
            <w:tcW w:w="124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3,123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1,873</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568</w:t>
            </w:r>
          </w:p>
        </w:tc>
        <w:tc>
          <w:tcPr>
            <w:tcW w:w="18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905</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1,305</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60" w:type="dxa"/>
            <w:vAlign w:val="bottom"/>
          </w:tcPr>
          <w:p>
            <w:pPr>
              <w:ind w:left="32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2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2,131</w:t>
            </w:r>
          </w:p>
        </w:tc>
        <w:tc>
          <w:tcPr>
            <w:tcW w:w="2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w:t>
            </w:r>
          </w:p>
        </w:tc>
        <w:tc>
          <w:tcPr>
            <w:tcW w:w="18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5,627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3,793</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7,882</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3,965</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w:t>
            </w:r>
          </w:p>
        </w:tc>
        <w:tc>
          <w:tcPr>
            <w:tcW w:w="1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2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(11,442)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(11,475)</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060" w:type="dxa"/>
            <w:vAlign w:val="bottom"/>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(17,722)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(3,645)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(14,077)</w:t>
            </w:r>
          </w:p>
        </w:tc>
        <w:tc>
          <w:tcPr>
            <w:tcW w:w="180" w:type="dxa"/>
            <w:vAlign w:val="bottom"/>
          </w:tcPr>
          <w:p>
            <w:pPr>
              <w:spacing w:after="0"/>
              <w:rPr>
                <w:sz w:val="17"/>
                <w:szCs w:val="17"/>
                <w:color w:val="auto"/>
              </w:rPr>
            </w:pPr>
          </w:p>
        </w:tc>
        <w:tc>
          <w:tcPr>
            <w:tcW w:w="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0"/>
        </w:trPr>
        <w:tc>
          <w:tcPr>
            <w:tcW w:w="50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(17,748)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(14,081)</w:t>
            </w:r>
          </w:p>
        </w:tc>
        <w:tc>
          <w:tcPr>
            <w:tcW w:w="18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7"/>
          </w:tcPr>
          <w:p>
            <w:pPr>
              <w:ind w:left="60"/>
              <w:spacing w:after="0"/>
              <w:rPr>
                <w:sz w:val="20"/>
                <w:szCs w:val="20"/>
                <w:color w:val="auto"/>
              </w:rPr>
            </w:pPr>
            <w:r>
              <w:rPr>
                <w:rFonts w:ascii="Arial" w:cs="Arial" w:eastAsia="Arial" w:hAnsi="Arial"/>
                <w:sz w:val="14"/>
                <w:szCs w:val="14"/>
                <w:b w:val="1"/>
                <w:bCs w:val="1"/>
                <w:color w:val="auto"/>
              </w:rPr>
              <w:t>Revenue by Geography</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vMerge w:val="restart"/>
          </w:tcPr>
          <w:p>
            <w:pPr>
              <w:spacing w:after="0"/>
              <w:rPr>
                <w:sz w:val="15"/>
                <w:szCs w:val="15"/>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$ 1,908</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969 %</w:t>
            </w:r>
          </w:p>
        </w:tc>
        <w:tc>
          <w:tcPr>
            <w:tcW w:w="0" w:type="dxa"/>
            <w:vAlign w:val="bottom"/>
          </w:tcPr>
          <w:p>
            <w:pPr>
              <w:spacing w:after="0"/>
              <w:rPr>
                <w:sz w:val="1"/>
                <w:szCs w:val="1"/>
                <w:color w:val="auto"/>
              </w:rPr>
            </w:pPr>
          </w:p>
        </w:tc>
      </w:tr>
      <w:tr>
        <w:trPr>
          <w:trHeight w:val="405"/>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660" w:type="dxa"/>
            <w:vAlign w:val="bottom"/>
          </w:tcPr>
          <w:p>
            <w:pPr>
              <w:jc w:val="right"/>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$ 3,123</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$ 1,873</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Revenue increased by $1.9 million, or 150%, to $3.1 million for the three months ended June 30, 2021, compared to the three months ended June 30, 2020.</w:t>
      </w:r>
    </w:p>
    <w:p>
      <w:pPr>
        <w:spacing w:after="0" w:line="19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Revenue generated in the U.S. was $2.1 million for the three months ended June 30, 2021, an increase of $1.9 million, or 969%, over the three months ended June 30, 2020. Total heart failure (“HF”) revenue units in the U.S. totaled 67 and 2 for the three months ended June 30, 2021 and 2020, respectively. HF revenue in the U.S. totaled $ 2.0 million and $65,000 for the three months ended June 30, 2021 and 2020, respectively. The increase was primarily driven by continued growth following the commercial launch in 2020, which resulted in the expansion into new sales territories and increased physician and patient awareness of our BAROSTIM NEO. As of June 30, 2021, we had a total of 31 active implanting centers, as compared to two as of June 30, 2020. Active implanting centers are customers that have completed at least one commercial HF implant in the last 12 months. The number of sales territories in the U.S. increased by two to a total of eight during the three months ended June 30, 2021. Legacy hypertension revenue in the U.S. totaled $0.1 million for each of the three months ended June 30, 2021 and 2020.</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generated in Europe was $1.0 million for the three months ended June 30, 2021, a decrease of</w:t>
      </w:r>
    </w:p>
    <w:p>
      <w:pPr>
        <w:ind w:left="60" w:right="119"/>
        <w:spacing w:after="0" w:line="238" w:lineRule="auto"/>
        <w:rPr>
          <w:sz w:val="20"/>
          <w:szCs w:val="20"/>
          <w:color w:val="auto"/>
        </w:rPr>
      </w:pPr>
      <w:r>
        <w:rPr>
          <w:rFonts w:ascii="Arial" w:cs="Arial" w:eastAsia="Arial" w:hAnsi="Arial"/>
          <w:sz w:val="18"/>
          <w:szCs w:val="18"/>
          <w:color w:val="auto"/>
        </w:rPr>
        <w:t>$35,000, or 3%, over the three months ended June 30, 2020. Total revenue units in Europe decreased to 47 from 49 for the three months ended June 30, 2021 and 2020, respectively. The revenue decrease was primarily due to the impact of the COVID-19 pandemic. The number of sales territories in Europe remained consistent at six during the three months ended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Cost of goods sold increased $0.6 million, or 165%, to $0.9 million for the three months ended June 30, 2021, compared to the three months ended June 30, 2020. This increase was primarily due to higher sales of our BAROSTIM NEO.</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margin decreased to 71% for the three months ended June 30, 2021, compared to 72% for the</w:t>
      </w:r>
    </w:p>
    <w:p>
      <w:pPr>
        <w:jc w:val="both"/>
        <w:ind w:left="60" w:right="99"/>
        <w:spacing w:after="0"/>
        <w:rPr>
          <w:sz w:val="20"/>
          <w:szCs w:val="20"/>
          <w:color w:val="auto"/>
        </w:rPr>
      </w:pPr>
      <w:r>
        <w:rPr>
          <w:rFonts w:ascii="Arial" w:cs="Arial" w:eastAsia="Arial" w:hAnsi="Arial"/>
          <w:sz w:val="18"/>
          <w:szCs w:val="18"/>
          <w:color w:val="auto"/>
        </w:rPr>
        <w:t>three months ended June 30, 2020. Gross margin for the three months ended June 30, 2021 was lower due to a larger percentage of our revenue units coming from full systems, which require an IPG and a stimulation lead, as compared to individual IPG sales. This was partially offset by an increase in the average selling price.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R&amp;D expenses increased $0.1 million, or 6%, to $2.3 million for the three months ended June 30, 2021, compared to the three months ended June 30, 2020. This change was primarily due to an increase in non-cash stock-based compensation expense from $11,000 to $0.2 million for the three months ended June 30, 2020 and 2021,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SG&amp;A expenses increased $3.8 million, or 207%, to $5.6 million for the three months ended June 30, 2021, compared to the three months ended June 30, 2020. This was driven by an increase of $1.7 million in compensation expenses, including salaries and commissions, and other employee-related expenses, mainly as a result of increased headcount, a $0.7 million increase in marketing and advertising expenses primarily related to the commercial launch of our BAROSTIM NEO in the U.S, a $0.4 million increase in non-cash stock-based compensation expense, a $0.4 million increase in consulting expenses, and $0.3 million of additional travel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remained consistent at $0.6 million for the three months ended June 30, 2021 and 2020.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expense, net was $11.4 million for the three months ended June 30, 2021, compared to other income, net of $ 33,000 for the three months ended June 30, 2020, driven by an $11.4 million increase in expense related to the increase in fair value of our convertible preferred stock warrants due to the completion of the IPO on July 2,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expenses were nominal for the three months ended June 30, 2021 and June 30, 2020.</w:t>
      </w:r>
    </w:p>
    <w:p>
      <w:pPr>
        <w:spacing w:after="0" w:line="19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six months ended June 30, 2021, compared to the six months ended June 30, 2020</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2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40" w:type="dxa"/>
            <w:vAlign w:val="bottom"/>
            <w:gridSpan w:val="2"/>
            <w:vMerge w:val="continue"/>
          </w:tcPr>
          <w:p>
            <w:pPr>
              <w:spacing w:after="0"/>
              <w:rPr>
                <w:sz w:val="13"/>
                <w:szCs w:val="13"/>
                <w:color w:val="auto"/>
              </w:rPr>
            </w:pPr>
          </w:p>
        </w:tc>
        <w:tc>
          <w:tcPr>
            <w:tcW w:w="8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8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40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5,983</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2,968</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3,015</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1,780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1,003</w:t>
            </w:r>
          </w:p>
        </w:tc>
        <w:tc>
          <w:tcPr>
            <w:tcW w:w="1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2,191</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2,012</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2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2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4,005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4,400</w:t>
            </w:r>
          </w:p>
        </w:tc>
        <w:tc>
          <w:tcPr>
            <w:tcW w:w="2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(395)</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4,128</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5,959</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14,092</w:t>
            </w:r>
          </w:p>
        </w:tc>
        <w:tc>
          <w:tcPr>
            <w:tcW w:w="2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8,528</w:t>
            </w:r>
          </w:p>
        </w:tc>
        <w:tc>
          <w:tcPr>
            <w:tcW w:w="2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5,564</w:t>
            </w:r>
          </w:p>
        </w:tc>
        <w:tc>
          <w:tcPr>
            <w:tcW w:w="16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2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(9,889)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(6,337)</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(3,552)</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(1,209)</w:t>
            </w:r>
          </w:p>
        </w:tc>
        <w:tc>
          <w:tcPr>
            <w:tcW w:w="140" w:type="dxa"/>
            <w:vAlign w:val="bottom"/>
          </w:tcPr>
          <w:p>
            <w:pPr>
              <w:spacing w:after="0"/>
              <w:rPr>
                <w:sz w:val="17"/>
                <w:szCs w:val="17"/>
                <w:color w:val="auto"/>
              </w:rPr>
            </w:pPr>
          </w:p>
        </w:tc>
        <w:tc>
          <w:tcPr>
            <w:tcW w:w="8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(1,235)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110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(15,234)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(15,371)</w:t>
            </w:r>
          </w:p>
        </w:tc>
        <w:tc>
          <w:tcPr>
            <w:tcW w:w="56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2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(26,332)</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(7,435)</w:t>
            </w:r>
          </w:p>
        </w:tc>
        <w:tc>
          <w:tcPr>
            <w:tcW w:w="280" w:type="dxa"/>
            <w:vAlign w:val="bottom"/>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(18,897)</w:t>
            </w:r>
          </w:p>
        </w:tc>
        <w:tc>
          <w:tcPr>
            <w:tcW w:w="160" w:type="dxa"/>
            <w:vAlign w:val="bottom"/>
          </w:tcPr>
          <w:p>
            <w:pPr>
              <w:spacing w:after="0"/>
              <w:rPr>
                <w:sz w:val="17"/>
                <w:szCs w:val="17"/>
                <w:color w:val="auto"/>
              </w:rPr>
            </w:pPr>
          </w:p>
        </w:tc>
        <w:tc>
          <w:tcPr>
            <w:tcW w:w="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10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24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(26,375)</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(7,480)</w:t>
            </w:r>
          </w:p>
        </w:tc>
        <w:tc>
          <w:tcPr>
            <w:tcW w:w="2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(18,895)</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7"/>
          </w:tcPr>
          <w:p>
            <w:pPr>
              <w:ind w:left="60"/>
              <w:spacing w:after="0"/>
              <w:rPr>
                <w:sz w:val="20"/>
                <w:szCs w:val="20"/>
                <w:color w:val="auto"/>
              </w:rPr>
            </w:pPr>
            <w:r>
              <w:rPr>
                <w:rFonts w:ascii="Arial" w:cs="Arial" w:eastAsia="Arial" w:hAnsi="Arial"/>
                <w:sz w:val="14"/>
                <w:szCs w:val="14"/>
                <w:b w:val="1"/>
                <w:bCs w:val="1"/>
                <w:color w:val="auto"/>
              </w:rPr>
              <w:t>Revenue by Geography</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vMerge w:val="restart"/>
          </w:tcPr>
          <w:p>
            <w:pPr>
              <w:spacing w:after="0"/>
              <w:rPr>
                <w:sz w:val="15"/>
                <w:szCs w:val="15"/>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$ 3,717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$ 3,111</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405"/>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660" w:type="dxa"/>
            <w:vAlign w:val="bottom"/>
          </w:tcPr>
          <w:p>
            <w:pPr>
              <w:jc w:val="right"/>
              <w:spacing w:after="0"/>
              <w:rPr>
                <w:sz w:val="20"/>
                <w:szCs w:val="20"/>
                <w:color w:val="auto"/>
              </w:rPr>
            </w:pPr>
            <w:r>
              <w:rPr>
                <w:rFonts w:ascii="Arial" w:cs="Arial" w:eastAsia="Arial" w:hAnsi="Arial"/>
                <w:sz w:val="18"/>
                <w:szCs w:val="18"/>
                <w:color w:val="auto"/>
              </w:rPr>
              <w:t>2,266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$ 5,983</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$ 3,015</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Revenue increased by $ 3.0 million, or 102%, to $6.0 million for the six months ended June 30, 2021, compared to the six months ended June 30, 2020.</w:t>
      </w:r>
    </w:p>
    <w:p>
      <w:pPr>
        <w:spacing w:after="0" w:line="19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Revenue generated in the U.S. was $3.7 million for the six months ended June 30, 2021, an increase of $3.1 million, or 513%, over the six months ended June 30, 2020. Total HF revenue units in the U.S. totaled 111 and seven for the six months ended June 30, 2021 and 2020, respectively. HF revenue in the U.S. totaled $3.3 million and $0.2 million for the six months ended June 30, 2021 and 2020, respectively. The increase was driven by the continued growth following the commercial launch in 2020, which resulted in the expansion into new sales territories and increased physician and patient awareness of our BAROSTIM NEO. The number of sales territories in the U.S. increased by two to a total of eight during the six months ended June 30, 2021. Legacy hypertension revenue in the U.S. totaled $0.5 million and $0.3 million for the six months ended June 30, 2021 and 2020, respectively.</w:t>
      </w:r>
    </w:p>
    <w:p>
      <w:pPr>
        <w:spacing w:after="0" w:line="207"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Revenue generated in Europe was $2.3 million for the six months ended June 30, 2021, a decrease of $96,000, or 4%, over the six months ended June 30, 2020. Total revenue units in Europe decreased to 99 from 106 for the six months ended June 30, 2021 and 2020, respectively. The revenue decrease was primarily due to the impact of the COVID-19 pandemic, which was partially offset by an increase in our average selling price. The number of sales territories in Europe remained consistent at six during the six months ended June 30, 2021.</w:t>
      </w:r>
    </w:p>
    <w:p>
      <w:pPr>
        <w:spacing w:after="0" w:line="190"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Cost of goods sold increased $1.0 million, or 129%, to $1.8 million for the six months ended June 30, 2021, compared to the six months ended June 30, 2020. This increase was primarily due to higher sales of our BAROSTIM NEO.</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Gross margin decreased to 70% for the six months ended June 30, 2021, compared to 74% for the six months ended June 30, 2020. Gross margin for the six months ended June 30, 2021 was lower due to a larger percentage of our revenue units coming from full systems, which require an IPG and a stimulation lead, as compared to individual IPG sales. This was partially offset by an increase in the average selling price.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R&amp;D expenses decreased $ 0.4 million, or 9%, to $ 4.0 million for the six months ended June 30, 2021, compared to the six months ended June 30, 2020. This was driven by a $0.9 million decline in clinical study expenses, partially offset by a $0.5 million increase in consulting expenses and a $0.2 million increase in non-cash stock-based compensation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SG&amp;A expenses increased $6.0 million, or 144%, to $10.1 million for the six months ended June 30, 2021, compared to the six months ended June 30, 2020. This was driven by an increase of $3.2 million in compensation expenses, including salaries and commissions, and other employee-related expenses, mainly as a result of increased headcount, a $1.0 million increase in marketing and advertising expenses, primarily related to the commercial launch of our BAROSTIM NEO in the U.S., a $0.7 million increase in consulting expenses, a $0.4 million increase in non-cash stock-based compensation expense, and $0.3 million of additional travel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remained consistent at $1.2 million for the six months ended June 30, 2021 and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Other expense, net was $15.2 million for the six months ended June 30, 2021, compared to other income, net of $0.1 million for the six months ended June 30, 2020. This change was primarily driven by a $15.1 million increase in expense related to the increase in fair value of our convertible preferred stock warrants due to the completion of the IPO on July 2,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expenses were nominal for the six months ended June 30, 2021 and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Unaudited pro forma information</w:t>
      </w:r>
    </w:p>
    <w:p>
      <w:pPr>
        <w:spacing w:after="0" w:line="23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Upon the closing of the IPO, all outstanding shares of our convertible preferred stock converted into an aggregate of 11,929,584 shares of common stock. The unaudited pro forma basic and diluted net loss per share attributable to common stockholders for the three and six months ended June 30, 2021 were computed using the weighted-average number of shares of common stock used to compute basic and diluted net loss per share, including the pro forma effect of the conversion of all outstanding shares of our convertible preferred stock into 11,929,584 shares of common stock as if such event had occurred at the beginning of the period, or the applicable issuance date if later. Pro forma basic and diluted net loss per share attributable to common stockholders does not include the shares sold in the IPO and any related net proceeds.</w:t>
      </w:r>
    </w:p>
    <w:p>
      <w:pPr>
        <w:spacing w:after="0" w:line="208"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for the periods presented: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Numerator:</w:t>
      </w:r>
    </w:p>
    <w:p>
      <w:pPr>
        <w:spacing w:after="0" w:line="18"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Net loss used to compute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-264795</wp:posOffset>
            </wp:positionV>
            <wp:extent cx="564896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Denominator:</w:t>
      </w:r>
    </w:p>
    <w:p>
      <w:pPr>
        <w:spacing w:after="0" w:line="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Weighted-average common shares used to compute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-255270</wp:posOffset>
            </wp:positionV>
            <wp:extent cx="564896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ind w:left="160" w:right="480"/>
        <w:spacing w:after="0" w:line="234" w:lineRule="auto"/>
        <w:rPr>
          <w:sz w:val="20"/>
          <w:szCs w:val="20"/>
          <w:color w:val="auto"/>
        </w:rPr>
      </w:pPr>
      <w:r>
        <w:rPr>
          <w:rFonts w:ascii="Arial" w:cs="Arial" w:eastAsia="Arial" w:hAnsi="Arial"/>
          <w:sz w:val="18"/>
          <w:szCs w:val="18"/>
          <w:color w:val="auto"/>
        </w:rPr>
        <w:t>Weighted-average shares of convertible preferred stock, as converted (unaudited)</w:t>
      </w:r>
    </w:p>
    <w:p>
      <w:pPr>
        <w:spacing w:after="0" w:line="1" w:lineRule="exact"/>
        <w:rPr>
          <w:sz w:val="20"/>
          <w:szCs w:val="20"/>
          <w:color w:val="auto"/>
        </w:rPr>
      </w:pPr>
    </w:p>
    <w:p>
      <w:pPr>
        <w:ind w:left="60" w:right="20"/>
        <w:spacing w:after="0" w:line="234" w:lineRule="auto"/>
        <w:rPr>
          <w:sz w:val="20"/>
          <w:szCs w:val="20"/>
          <w:color w:val="auto"/>
        </w:rPr>
      </w:pPr>
      <w:r>
        <w:rPr>
          <w:rFonts w:ascii="Arial" w:cs="Arial" w:eastAsia="Arial" w:hAnsi="Arial"/>
          <w:sz w:val="18"/>
          <w:szCs w:val="18"/>
          <w:color w:val="auto"/>
        </w:rPr>
        <w:t>Pro forma weighted-average common shares used to compute net loss per share, basic and diluted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-255270</wp:posOffset>
            </wp:positionV>
            <wp:extent cx="564896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ind w:left="60" w:right="40"/>
        <w:spacing w:after="0" w:line="246" w:lineRule="auto"/>
        <w:rPr>
          <w:sz w:val="20"/>
          <w:szCs w:val="20"/>
          <w:color w:val="auto"/>
        </w:rPr>
      </w:pPr>
      <w:r>
        <w:rPr>
          <w:rFonts w:ascii="Arial" w:cs="Arial" w:eastAsia="Arial" w:hAnsi="Arial"/>
          <w:sz w:val="18"/>
          <w:szCs w:val="18"/>
          <w:color w:val="auto"/>
        </w:rPr>
        <w:t>Pro forma net loss per share attributable to common stockholders, basic and diluted (unaudited)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 2021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June 30, 2021</w:t>
            </w:r>
          </w:p>
        </w:tc>
      </w:tr>
      <w:tr>
        <w:trPr>
          <w:trHeight w:val="175"/>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820" w:val="left"/>
          <w:tab w:leader="none" w:pos="172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(17,748)</w:t>
        <w:tab/>
        <w:t>$</w:t>
      </w:r>
      <w:r>
        <w:rPr>
          <w:sz w:val="20"/>
          <w:szCs w:val="20"/>
          <w:color w:val="auto"/>
        </w:rPr>
        <w:tab/>
      </w:r>
      <w:r>
        <w:rPr>
          <w:rFonts w:ascii="Arial" w:cs="Arial" w:eastAsia="Arial" w:hAnsi="Arial"/>
          <w:sz w:val="17"/>
          <w:szCs w:val="17"/>
          <w:color w:val="auto"/>
        </w:rPr>
        <w:t>(26,375)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059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820"/>
        <w:spacing w:after="0"/>
        <w:tabs>
          <w:tab w:leader="none" w:pos="2440" w:val="left"/>
        </w:tabs>
        <w:rPr>
          <w:sz w:val="20"/>
          <w:szCs w:val="20"/>
          <w:color w:val="auto"/>
        </w:rPr>
      </w:pPr>
      <w:r>
        <w:rPr>
          <w:rFonts w:ascii="Arial" w:cs="Arial" w:eastAsia="Arial" w:hAnsi="Arial"/>
          <w:sz w:val="18"/>
          <w:szCs w:val="18"/>
          <w:color w:val="auto"/>
        </w:rPr>
        <w:t>366,066</w:t>
      </w:r>
      <w:r>
        <w:rPr>
          <w:sz w:val="20"/>
          <w:szCs w:val="20"/>
          <w:color w:val="auto"/>
        </w:rPr>
        <w:tab/>
      </w:r>
      <w:r>
        <w:rPr>
          <w:rFonts w:ascii="Arial" w:cs="Arial" w:eastAsia="Arial" w:hAnsi="Arial"/>
          <w:sz w:val="18"/>
          <w:szCs w:val="18"/>
          <w:color w:val="auto"/>
        </w:rPr>
        <w:t>363,397</w:t>
      </w:r>
    </w:p>
    <w:p>
      <w:pPr>
        <w:spacing w:after="0" w:line="198"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18"/>
          <w:szCs w:val="18"/>
          <w:color w:val="auto"/>
        </w:rPr>
        <w:t>11,929,584</w:t>
      </w:r>
      <w:r>
        <w:rPr>
          <w:sz w:val="20"/>
          <w:szCs w:val="20"/>
          <w:color w:val="auto"/>
        </w:rPr>
        <w:tab/>
      </w:r>
      <w:r>
        <w:rPr>
          <w:rFonts w:ascii="Arial" w:cs="Arial" w:eastAsia="Arial" w:hAnsi="Arial"/>
          <w:sz w:val="18"/>
          <w:szCs w:val="18"/>
          <w:color w:val="auto"/>
        </w:rPr>
        <w:t>11,929,584</w:t>
      </w:r>
    </w:p>
    <w:p>
      <w:pPr>
        <w:spacing w:after="0" w:line="185"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18"/>
          <w:szCs w:val="18"/>
          <w:color w:val="auto"/>
        </w:rPr>
        <w:t>12,295,650</w:t>
      </w:r>
      <w:r>
        <w:rPr>
          <w:sz w:val="20"/>
          <w:szCs w:val="20"/>
          <w:color w:val="auto"/>
        </w:rPr>
        <w:tab/>
      </w:r>
      <w:r>
        <w:rPr>
          <w:rFonts w:ascii="Arial" w:cs="Arial" w:eastAsia="Arial" w:hAnsi="Arial"/>
          <w:sz w:val="18"/>
          <w:szCs w:val="18"/>
          <w:color w:val="auto"/>
        </w:rPr>
        <w:t>12,292,981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059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8" w:lineRule="exact"/>
        <w:rPr>
          <w:sz w:val="20"/>
          <w:szCs w:val="20"/>
          <w:color w:val="auto"/>
        </w:rPr>
      </w:pPr>
    </w:p>
    <w:p>
      <w:pPr>
        <w:spacing w:after="0"/>
        <w:tabs>
          <w:tab w:leader="none" w:pos="1040" w:val="left"/>
          <w:tab w:leader="none" w:pos="1720" w:val="left"/>
          <w:tab w:leader="none" w:pos="2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w:t>
        <w:tab/>
        <w:t>$</w:t>
      </w:r>
      <w:r>
        <w:rPr>
          <w:sz w:val="20"/>
          <w:szCs w:val="20"/>
          <w:color w:val="auto"/>
        </w:rPr>
        <w:tab/>
      </w:r>
      <w:r>
        <w:rPr>
          <w:rFonts w:ascii="Arial" w:cs="Arial" w:eastAsia="Arial" w:hAnsi="Arial"/>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20059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05965" cy="2540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360" w:space="420"/>
            <w:col w:w="323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3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June 30, 2021 and December 31, 2020, we had cash and cash equivalents of $47.1 million and $59.1 million, respectively. For the three months ended June 30, 2021 and 2020, our net losses were $ 17.7 million, $3.7 million, respectively. For the six months ended June 30, 2021 and 2020, our net losses were $26.4 million and $7.5 million, respectively. Our net cash used in operating activities for the six months ended June 20, 2021 and 2020 was $11.5 million and $6.9 million, respectively.</w:t>
      </w:r>
    </w:p>
    <w:p>
      <w:pPr>
        <w:spacing w:after="0" w:line="203" w:lineRule="exact"/>
        <w:rPr>
          <w:sz w:val="20"/>
          <w:szCs w:val="20"/>
          <w:color w:val="auto"/>
        </w:rPr>
      </w:pPr>
    </w:p>
    <w:p>
      <w:pPr>
        <w:ind w:left="60" w:right="339"/>
        <w:spacing w:after="0" w:line="261" w:lineRule="auto"/>
        <w:rPr>
          <w:sz w:val="20"/>
          <w:szCs w:val="20"/>
          <w:color w:val="auto"/>
        </w:rPr>
      </w:pPr>
      <w:r>
        <w:rPr>
          <w:rFonts w:ascii="Arial" w:cs="Arial" w:eastAsia="Arial" w:hAnsi="Arial"/>
          <w:sz w:val="17"/>
          <w:szCs w:val="17"/>
          <w:color w:val="auto"/>
        </w:rPr>
        <w:t>Prior to the IPO, our operations were financed primarily by aggregate net proceeds from the sale of our convertible preferred stock of $ 383 million, as well as debt financings. In July 2020, we completed an equity financing pursuant to which we issued 62,500,000 shares of Series G Preferred Stock at a price of $0.80 per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share, for net proceeds of $49.8 million after deducting offering expenses. In September 2019, we entered into a loan and security agreement with Horizon Technology Finance Corporation to borrow $20 million. In January, May and August of 2019, we completed equity financings pursuant to which we issued shares of Series G Preferred Stock at a price of $ 0.80 per share, for net proceeds of $24.7 million. On July 2, 2021 we closed our IPO for net proceeds from the offering, after deducting the underwriting discount and other offering expenses payable by us, of approximately $133.3 million.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investment in our U.S. commercial infrastructure and sales forces;</w:t>
      </w:r>
    </w:p>
    <w:p>
      <w:pPr>
        <w:spacing w:after="0" w:line="225" w:lineRule="exact"/>
        <w:rPr>
          <w:rFonts w:ascii="Arial" w:cs="Arial" w:eastAsia="Arial" w:hAnsi="Arial"/>
          <w:sz w:val="18"/>
          <w:szCs w:val="18"/>
          <w:color w:val="231F20"/>
        </w:rPr>
      </w:pPr>
    </w:p>
    <w:p>
      <w:pPr>
        <w:ind w:left="380" w:right="319" w:hanging="330"/>
        <w:spacing w:after="0" w:line="246" w:lineRule="auto"/>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NEO and the ability for our customers to obtain appropriate levels of reimbursement;</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the costs of commercialization activities, including product sales, marketing, manufacturing and distribution;</w:t>
      </w:r>
    </w:p>
    <w:p>
      <w:pPr>
        <w:spacing w:after="0" w:line="236" w:lineRule="exact"/>
        <w:rPr>
          <w:rFonts w:ascii="Arial" w:cs="Arial" w:eastAsia="Arial" w:hAnsi="Arial"/>
          <w:sz w:val="17"/>
          <w:szCs w:val="17"/>
          <w:color w:val="231F20"/>
        </w:rPr>
      </w:pPr>
    </w:p>
    <w:p>
      <w:pPr>
        <w:ind w:left="380" w:hanging="330"/>
        <w:spacing w:after="0"/>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5" w:lineRule="exact"/>
        <w:rPr>
          <w:rFonts w:ascii="Arial" w:cs="Arial" w:eastAsia="Arial" w:hAnsi="Arial"/>
          <w:sz w:val="18"/>
          <w:szCs w:val="18"/>
          <w:color w:val="231F20"/>
        </w:rPr>
      </w:pPr>
    </w:p>
    <w:p>
      <w:pPr>
        <w:ind w:left="380" w:right="379" w:hanging="330"/>
        <w:spacing w:after="0" w:line="246" w:lineRule="auto"/>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believe that our existing cash resources together with revenue will be sufficient to meet our forecasted requirements for operating liquidity, capital expenditures and debt services for at least the next 12 months. If these sources are insufficient to satisfy our liquidity requirements, however, we may seek to sell additional equity, increase the availability under the Horizon loan agreement or enter into an additional loan agreement. If we raise additional funds by issuing equity securities, our stockholders would experience dilution. Debt financing, if available, may involve covenants further restricting our operations or our ability to incur additional debt. Any debt financing or additional equity that we raise may contain terms that are not favorable to us or our stockholders.</w:t>
      </w:r>
    </w:p>
    <w:p>
      <w:pPr>
        <w:spacing w:after="0" w:line="208"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Additional financing may not be available at all, or in amounts or on terms that we do not deem to be favorable. If we are unable to obtain additional financing when needed to satisfy our liquidity requirements, we may be required to delay the commercialization and marketing of our BAROSTIM NEO.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6"/>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center"/>
              <w:ind w:left="522"/>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i w:val="1"/>
                <w:iCs w:val="1"/>
                <w:color w:val="auto"/>
              </w:rPr>
              <w:t>(unaudited)</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(11,502)</w:t>
            </w:r>
          </w:p>
        </w:tc>
        <w:tc>
          <w:tcPr>
            <w:tcW w:w="200" w:type="dxa"/>
            <w:vAlign w:val="bottom"/>
          </w:tcPr>
          <w:p>
            <w:pPr>
              <w:spacing w:after="0"/>
              <w:rPr>
                <w:sz w:val="17"/>
                <w:szCs w:val="17"/>
                <w:color w:val="auto"/>
              </w:rPr>
            </w:pPr>
          </w:p>
        </w:tc>
        <w:tc>
          <w:tcPr>
            <w:tcW w:w="28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w:t>
            </w:r>
          </w:p>
        </w:tc>
        <w:tc>
          <w:tcPr>
            <w:tcW w:w="2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(11,984)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3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Net cash used in operating activities for the six months ended June 30, 2021 was $11.5 million and consisted primarily of a net loss of $26.4 million and a decrease in net operating assets of $1.2 million, partially offset by non-cash charges of $15.1 million related to the fair value adjustment to our convertible preferred stock warrants and $0.6 million from non-cash stock-based compensation expense. Net operating assets consisted primarily of inventory, accounts receivable and accrued expenses to support the growth of our operations.</w:t>
      </w:r>
    </w:p>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Net cash used in operating activities for the six months ended June 30, 2020 was $ 6.9 million and consisted primarily of a net loss of $7.5 million, partially offset by an increase in net operating assets of $0.4 million. Net operating assets consisted primarily of inventory, accounts receivable, accounts payable and accrued expenses to support the growth of our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30"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Cash used in investing activities was $0.5 million and $92,000 for the six months ended June 30, 2021 and 2020, respectively, and consisted of purchases of property and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provided by financing activities were nominal for the six months ended June 30, 2021 and 2020.</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34"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In September 2019, we entered into the Horizon loan agreement under which we borrowed $20 million, which is the maximum borrowing under the Horizon loan agreement. Amounts outstanding under the Horizon loan agreement bear interest at a floating per annum rate equal to 10% plus the amount by which the 30-day U.S. dollar LIBOR rate on the first business day of the month exceeds 2.2%. The Horizon loan agreement initially required interest only payments through October 2021 and then 36 monthly principal and interest payments beginning in November 2021. In August 2020, we entered into an amended agreement with Horizon to extend the interest only period through April 2022, followed by 30 monthly principal and interest payments beginning May 2022. A final payment of $0.7 million, equal to 3.5% of the original principal, is due to be paid in</w:t>
      </w:r>
    </w:p>
    <w:p>
      <w:pPr>
        <w:spacing w:after="0" w:line="6"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October 2024. The Horizon loan agreement initially required us to maintain cash on deposit in accounts in which Horizon maintains an account control agreement of not less than $5.0 million. This minimum cash on deposit requirement was released in July 2020 following the satisfaction of a financing milestone. The borrowings are collateralized by all or substantially all of our assets, including our intellectual property portfolio. The Horizon loan agreement contains certain financial covenants, including a minimum U.S. revenue requirement of approximately $5.9 million during the year ended December 31, 2021, approximately $14.6 million during the year ended December 31, 2022 and $5.0 million during each calendar quarter thereafter; certain negative covenants, including a requirement that we not receive a final disapproval letter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from the FDA for use of BAROSTIM NEO in certain other HF patients upon our request for additional labeling based upon the results of the post-market stage of our BeAT-HF pivotal trial; and various restrictive covenants, including a restriction on the payment of dividends. We were in compliance with these covenants as of June 30, 2021. The amount outstanding under the Horizon loan agreement as of June 30, 2021 was $20.0 million.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38"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There have been no material changes to our contractual obligations as of June 30, 2021, as compared to those disclosed in the final prospectus for the IPO filed with the SEC pursuant to Rule 424(b) on July 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Off-balance sheet arrangements</w:t>
      </w:r>
    </w:p>
    <w:p>
      <w:pPr>
        <w:spacing w:after="0" w:line="238"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our management to make estimates and judgments that affect the amounts reported in our condensed consolidated financial statements and accompanying notes included elsewhere in this Quarterly Report on Form 10-Q.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condensed consolidated financial statements.</w:t>
      </w:r>
    </w:p>
    <w:p>
      <w:pPr>
        <w:spacing w:after="0" w:line="208" w:lineRule="exact"/>
        <w:rPr>
          <w:sz w:val="20"/>
          <w:szCs w:val="20"/>
          <w:color w:val="auto"/>
        </w:rPr>
      </w:pPr>
    </w:p>
    <w:p>
      <w:pPr>
        <w:ind w:left="60" w:right="539"/>
        <w:spacing w:after="0" w:line="238" w:lineRule="auto"/>
        <w:rPr>
          <w:sz w:val="20"/>
          <w:szCs w:val="20"/>
          <w:color w:val="auto"/>
        </w:rPr>
      </w:pPr>
      <w:r>
        <w:rPr>
          <w:rFonts w:ascii="Arial" w:cs="Arial" w:eastAsia="Arial" w:hAnsi="Arial"/>
          <w:sz w:val="18"/>
          <w:szCs w:val="18"/>
          <w:color w:val="auto"/>
        </w:rPr>
        <w:t>While our significant accounting policies are more fully described in Note 2 to our condensed consolidated financial statements included elsewhere in this Quarterly Report on Form 10-Q,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The Black-Scholes option pricing model requires the input of certain subjective assumptions, including (i) fair value of common stock (ii) the expected share price volatility, (iii) the expected term of the award, (iv) the risk-free interest rate and (v) the expected dividend yield.</w:t>
      </w:r>
    </w:p>
    <w:p>
      <w:pPr>
        <w:spacing w:after="0" w:line="189" w:lineRule="exact"/>
        <w:rPr>
          <w:sz w:val="20"/>
          <w:szCs w:val="20"/>
          <w:color w:val="auto"/>
        </w:rPr>
      </w:pPr>
    </w:p>
    <w:p>
      <w:pPr>
        <w:ind w:left="380" w:right="79" w:hanging="330"/>
        <w:spacing w:after="0" w:line="234" w:lineRule="auto"/>
        <w:tabs>
          <w:tab w:leader="none" w:pos="380" w:val="left"/>
        </w:tabs>
        <w:numPr>
          <w:ilvl w:val="0"/>
          <w:numId w:val="12"/>
        </w:numPr>
        <w:rPr>
          <w:rFonts w:ascii="Arial" w:cs="Arial" w:eastAsia="Arial" w:hAnsi="Arial"/>
          <w:sz w:val="22"/>
          <w:szCs w:val="22"/>
          <w:color w:val="auto"/>
        </w:rPr>
      </w:pPr>
      <w:r>
        <w:rPr>
          <w:rFonts w:ascii="Arial" w:cs="Arial" w:eastAsia="Arial" w:hAnsi="Arial"/>
          <w:sz w:val="18"/>
          <w:szCs w:val="18"/>
          <w:color w:val="231F20"/>
        </w:rPr>
        <w:t>Fair value of common stock —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will determine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91" w:lineRule="exact"/>
        <w:rPr>
          <w:rFonts w:ascii="Arial" w:cs="Arial" w:eastAsia="Arial" w:hAnsi="Arial"/>
          <w:sz w:val="22"/>
          <w:szCs w:val="22"/>
          <w:color w:val="auto"/>
        </w:rPr>
      </w:pPr>
    </w:p>
    <w:p>
      <w:pPr>
        <w:ind w:left="380" w:right="79" w:hanging="330"/>
        <w:spacing w:after="0" w:line="24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w:t>
      </w:r>
    </w:p>
    <w:p>
      <w:pPr>
        <w:spacing w:after="0" w:line="156" w:lineRule="exact"/>
        <w:rPr>
          <w:rFonts w:ascii="Arial" w:cs="Arial" w:eastAsia="Arial" w:hAnsi="Arial"/>
          <w:sz w:val="18"/>
          <w:szCs w:val="18"/>
          <w:color w:val="231F20"/>
        </w:rPr>
      </w:pPr>
    </w:p>
    <w:p>
      <w:pPr>
        <w:ind w:left="380" w:right="279" w:hanging="330"/>
        <w:spacing w:after="0" w:line="277" w:lineRule="auto"/>
        <w:tabs>
          <w:tab w:leader="none" w:pos="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99" w:hanging="330"/>
        <w:spacing w:after="0" w:line="277" w:lineRule="auto"/>
        <w:tabs>
          <w:tab w:leader="none" w:pos="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7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estimate pre-vesting forfeitures at the time of grant by analyzing historical data and revise those estimates in subsequent periods if actual forfeitures differ from those estimates or if they are likely to change. We expense the fair value of our equity-based compensation awards granted to employees on a straight-line basis over the associated service period, which is generally the period in which the related services are received.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Freestanding preferred stock warrants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Warrants to purchase our preferred stock are classified as a liability on our condensed consolidated balance sheets. These warrants are subject to remeasurement at each balance sheet date and any change in fair value is recognized in other (expense) income, net. We will continue to adjust the liability for changes in fair value until the earlier of the exercise or expiration of the warrants or when the warrants become exercisable to purchase our common stock at which time the liability will be reclassified to stockholders’ equity (deficit).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valuation of our warrants requires the input of certain subjective assumptions, including (i) IPO probability,</w:t>
      </w:r>
    </w:p>
    <w:p>
      <w:pPr>
        <w:ind w:left="60" w:right="279" w:hanging="10"/>
        <w:spacing w:after="0" w:line="246" w:lineRule="auto"/>
        <w:tabs>
          <w:tab w:leader="none" w:pos="3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fair value of common stock, (iii) the expected share price volatility, (iv) the expected term, (v) the risk-free interest rate and (vi) the expected dividend yield.</w:t>
      </w:r>
    </w:p>
    <w:p>
      <w:pPr>
        <w:spacing w:after="0" w:line="183" w:lineRule="exact"/>
        <w:rPr>
          <w:sz w:val="20"/>
          <w:szCs w:val="20"/>
          <w:color w:val="auto"/>
        </w:rPr>
      </w:pPr>
    </w:p>
    <w:p>
      <w:pPr>
        <w:ind w:left="380" w:right="399" w:hanging="330"/>
        <w:spacing w:after="0" w:line="256" w:lineRule="auto"/>
        <w:tabs>
          <w:tab w:leader="none" w:pos="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IPO probability — Management, along with the assistance of an unrelated third-party valuation firm, evaluated the likelihood and timing of an IPO and applied these assumptions to the determination of the future fair value of the common stock as well as the expected term assumption.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19" w:hanging="330"/>
        <w:spacing w:after="0" w:line="245" w:lineRule="auto"/>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Future fair value of common stock —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w:t>
      </w:r>
    </w:p>
    <w:p>
      <w:pPr>
        <w:spacing w:after="0" w:line="185" w:lineRule="exact"/>
        <w:rPr>
          <w:rFonts w:ascii="Arial" w:cs="Arial" w:eastAsia="Arial" w:hAnsi="Arial"/>
          <w:sz w:val="18"/>
          <w:szCs w:val="18"/>
          <w:color w:val="231F20"/>
        </w:rPr>
      </w:pPr>
    </w:p>
    <w:p>
      <w:pPr>
        <w:ind w:left="380" w:right="79" w:hanging="330"/>
        <w:spacing w:after="0" w:line="24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hanging="330"/>
        <w:spacing w:after="0"/>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Expected term — The expected term of the warrant is driven by the probability and timing of an IPO.</w:t>
      </w:r>
    </w:p>
    <w:p>
      <w:pPr>
        <w:spacing w:after="0" w:line="225" w:lineRule="exact"/>
        <w:rPr>
          <w:rFonts w:ascii="Arial" w:cs="Arial" w:eastAsia="Arial" w:hAnsi="Arial"/>
          <w:sz w:val="18"/>
          <w:szCs w:val="18"/>
          <w:color w:val="231F20"/>
        </w:rPr>
      </w:pPr>
    </w:p>
    <w:p>
      <w:pPr>
        <w:ind w:left="380" w:right="279" w:hanging="330"/>
        <w:spacing w:after="0" w:line="277" w:lineRule="auto"/>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99" w:hanging="330"/>
        <w:spacing w:after="0" w:line="277" w:lineRule="auto"/>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38"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A discussion of recent accounting pronouncements is included in Note 2 to our audited financial statements included elsewhere in this Quarterly Report on Form 10-Q.</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risk associated with fluctuating interest rates is primarily limited to our cash equivalents which are carried at quoted market prices. We do not currently use or plan to use financial derivatives in our investment portfolio.</w:t>
      </w:r>
    </w:p>
    <w:p>
      <w:pPr>
        <w:spacing w:after="0" w:line="197"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Additionally, the interest rate for our outstanding debt is variable. If overall interest rates had increased by 100 basis points during the periods presented, our interest expense would not have been materially affected.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To date, a majority of our revenue and a portion of our operating expenses are incurred outside the U.S. and are denominated in foreign currencies and are subject to fluctuations due to changes in foreign currency exchange rates, particularly changes in the Euro. Additionally, fluctuations in foreign currency exchange rates may cause us to recognize transaction gains and losses in our statement of operations.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4"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spacing w:after="0" w:line="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34"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As of June 30, 2021 and December 31, 2020,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7"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60" w:right="79"/>
        <w:spacing w:after="0" w:line="270"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2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216"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 xml:space="preserve">We have experienced significant net losses since our inception and we expect to continue to incur losses for the foreseeable future. </w:t>
      </w:r>
      <w:r>
        <w:rPr>
          <w:rFonts w:ascii="Arial" w:cs="Arial" w:eastAsia="Arial" w:hAnsi="Arial"/>
          <w:sz w:val="18"/>
          <w:szCs w:val="18"/>
          <w:color w:val="000000"/>
        </w:rPr>
        <w:t>We incurred net losses of $14.1 million and $14.6 million for the years ended December 31,</w:t>
      </w:r>
      <w:r>
        <w:rPr>
          <w:rFonts w:ascii="Arial" w:cs="Arial" w:eastAsia="Arial" w:hAnsi="Arial"/>
          <w:sz w:val="18"/>
          <w:szCs w:val="18"/>
          <w:color w:val="231F20"/>
        </w:rPr>
        <w:t xml:space="preserve"> </w:t>
      </w:r>
      <w:r>
        <w:rPr>
          <w:rFonts w:ascii="Arial" w:cs="Arial" w:eastAsia="Arial" w:hAnsi="Arial"/>
          <w:sz w:val="18"/>
          <w:szCs w:val="18"/>
          <w:color w:val="000000"/>
        </w:rPr>
        <w:t xml:space="preserve">2020 and 2019, respectively. </w:t>
      </w:r>
      <w:r>
        <w:rPr>
          <w:rFonts w:ascii="Arial" w:cs="Arial" w:eastAsia="Arial" w:hAnsi="Arial"/>
          <w:sz w:val="18"/>
          <w:szCs w:val="18"/>
          <w:color w:val="231F20"/>
        </w:rPr>
        <w:t>We incurred net losses of $17.7 million and $26.4 million for the three and six</w:t>
      </w:r>
      <w:r>
        <w:rPr>
          <w:rFonts w:ascii="Arial" w:cs="Arial" w:eastAsia="Arial" w:hAnsi="Arial"/>
          <w:sz w:val="18"/>
          <w:szCs w:val="18"/>
          <w:color w:val="000000"/>
        </w:rPr>
        <w:t xml:space="preserve"> </w:t>
      </w:r>
      <w:r>
        <w:rPr>
          <w:rFonts w:ascii="Arial" w:cs="Arial" w:eastAsia="Arial" w:hAnsi="Arial"/>
          <w:sz w:val="18"/>
          <w:szCs w:val="18"/>
          <w:color w:val="231F20"/>
        </w:rPr>
        <w:t>months ended June 30, 2021, respectively</w:t>
      </w:r>
      <w:r>
        <w:rPr>
          <w:rFonts w:ascii="Arial" w:cs="Arial" w:eastAsia="Arial" w:hAnsi="Arial"/>
          <w:sz w:val="18"/>
          <w:szCs w:val="18"/>
          <w:color w:val="000000"/>
        </w:rPr>
        <w:t>.</w:t>
      </w:r>
      <w:r>
        <w:rPr>
          <w:rFonts w:ascii="Arial" w:cs="Arial" w:eastAsia="Arial" w:hAnsi="Arial"/>
          <w:sz w:val="18"/>
          <w:szCs w:val="18"/>
          <w:color w:val="231F20"/>
        </w:rPr>
        <w:t xml:space="preserve"> As of June 30, 2021 and December 31, 2020, our accumulated deficit was $378.1 million and $351.7 million, respectively. We expect to continue to incur significant sales and marketing, research and development, regulatory and other expenses as we grow our U.S. commercial sales force and expand our marketing efforts to increase adoption of our BAROSTIM NEO, expand existing relationships with our customers, add new features to our BAROSTIM NEO, obtain regulatory clearances or approvals for our planned or future products and conduct clinical trials on our existing and planned or future products. In addition, we expect our general and administrative expenses to increase following the IPO due to the additional costs associated with being a public company.</w:t>
      </w:r>
    </w:p>
    <w:p>
      <w:pPr>
        <w:spacing w:after="0" w:line="208" w:lineRule="exact"/>
        <w:rPr>
          <w:sz w:val="20"/>
          <w:szCs w:val="20"/>
          <w:color w:val="auto"/>
        </w:rPr>
      </w:pPr>
    </w:p>
    <w:p>
      <w:pPr>
        <w:ind w:left="60" w:right="159"/>
        <w:spacing w:after="0" w:line="267" w:lineRule="auto"/>
        <w:rPr>
          <w:sz w:val="20"/>
          <w:szCs w:val="20"/>
          <w:color w:val="auto"/>
        </w:rPr>
      </w:pPr>
      <w:r>
        <w:rPr>
          <w:rFonts w:ascii="Arial" w:cs="Arial" w:eastAsia="Arial" w:hAnsi="Arial"/>
          <w:sz w:val="18"/>
          <w:szCs w:val="18"/>
          <w:color w:val="231F20"/>
        </w:rPr>
        <w:t>Until our recent IPO, we financed our operations primarily through convertible preferred stock financings and amounts borrowed under the Horizon loan agreement (as defined above). We have devoted substantially all of our financial resources to research and development activities as well as general and administrative expenses associated with our operations, including clinical and regulatory initiatives to obtain marketing approval. We will need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20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 product, BAROSTIM NEO. The failure to obtain market acceptance in the U.S. for BAROSTIM NEO would negatively impact our business, liquidity and results of operations.</w:t>
      </w:r>
    </w:p>
    <w:p>
      <w:pPr>
        <w:spacing w:after="0" w:line="257"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color w:val="231F20"/>
        </w:rPr>
        <w:t>Since our inception, we have generated minimal revenue as our activities have consisted primarily of developing our BAROSTIM Therapy, conducting our BeAT-HF pre-market and post-market pivotal studies in</w:t>
      </w:r>
    </w:p>
    <w:p>
      <w:pPr>
        <w:sectPr>
          <w:pgSz w:w="11900" w:h="16838" w:orient="portrait"/>
          <w:cols w:equalWidth="0" w:num="1">
            <w:col w:w="9019"/>
          </w:cols>
          <w:pgMar w:left="1440" w:top="517"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59"/>
        <w:spacing w:after="0" w:line="267" w:lineRule="auto"/>
        <w:rPr>
          <w:sz w:val="20"/>
          <w:szCs w:val="20"/>
          <w:color w:val="auto"/>
        </w:rPr>
      </w:pPr>
      <w:r>
        <w:rPr>
          <w:rFonts w:ascii="Arial" w:cs="Arial" w:eastAsia="Arial" w:hAnsi="Arial"/>
          <w:sz w:val="18"/>
          <w:szCs w:val="18"/>
          <w:color w:val="231F20"/>
        </w:rPr>
        <w:t>the U.S. and filing for regulatory approvals. We first commercialized our BAROSTIM NEO in the European Economic Area (“EEA”) in 2012 and in the U.S. in 2020 and therefore do not have a long history operating as a commercial company. We expect substantially all of our revenue to continue to be derived from sales of BAROSTIM NEO for the foreseeable future, the majority of which will be generated in the U.S. Because of its recent commercial introduction in the U.S., our BAROSTIM NEO has limited product and brand recognition. In addition, demand for our BAROSTIM NEO may decline or may not increase as quickly as we expect. If we are unable to achieve significant market acceptance in the U.S. for BAROSTIM NEO, our results of operations will be adversely affected. Because we do not yet have other products currently in development, if we are unsuccessful in commercializing BAROSTIM NEO or are unable to market BAROSTIM NEO as a result of a quality problem, failure to maintain regulatory approvals, unexpected or serious complications or other unforeseen negative effects related to BAROSTIM NEO or the other factors discussed in these risk factors, we would lose our main source of revenue, and our business, reputation, liquidity and results of operations will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0" w:right="379"/>
        <w:spacing w:after="0" w:line="258" w:lineRule="auto"/>
        <w:rPr>
          <w:sz w:val="20"/>
          <w:szCs w:val="20"/>
          <w:color w:val="auto"/>
        </w:rPr>
      </w:pPr>
      <w:r>
        <w:rPr>
          <w:rFonts w:ascii="Arial" w:cs="Arial" w:eastAsia="Arial" w:hAnsi="Arial"/>
          <w:sz w:val="17"/>
          <w:szCs w:val="17"/>
          <w:b w:val="1"/>
          <w:bCs w:val="1"/>
          <w:i w:val="1"/>
          <w:iCs w:val="1"/>
          <w:color w:val="231F20"/>
        </w:rPr>
        <w:t>We have limited commercial sales experience marketing and selling our BAROSTIM NEO, and if we are unable to establish and maintain sales and marketing capabilities, we will be unable to successfully commercialize our BAROSTIM NEO or generate sustained and increasing product revenue.</w:t>
      </w:r>
    </w:p>
    <w:p>
      <w:pPr>
        <w:spacing w:after="0" w:line="20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We currently have a limited sales and marketing organization. As a result, we have limited experience marketing and selling our BAROSTIM NEO. In order to generate future revenue growth, we plan to expand the size and geographic scope of our U.S. direct sales and marketing organization. In order to increase our sales and marketing efforts, we will need to retain, grow and develop a substantial number of direct sales personnel. We intend to make a significant investment in recruiting and training sales representatives for our commercialization effort in the U.S.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revenue. Any of these risks may adversely affect our business.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our BAROSTIM NEO.</w:t>
      </w:r>
    </w:p>
    <w:p>
      <w:pPr>
        <w:spacing w:after="0" w:line="247"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Physicians play a significant role in determining the course of a patient’s treatment and, subsequently, the type of product that will be used to treat a patient. As a result, our success depends, in large part, on effectively marketing BAROSTIM NEO to physicians. In order for us to sell BAROSTIM NEO, we must successfully demonstrate to physicians and patients the merits of BAROSTIM Therapy for use in treating patients with HFrEF. Specifically, BAROSTIM NEO provides symptomatic relief for patients with NYHA Class III or II (with recent history of III), have a LVEF ≤ 35% and a NT-proBNP &lt; 1,600 pg/ml. Acceptance of BAROSTIM NEO depends on educating physicians as to the distinctive characteristics, perceived benefits, safety, ease of use and cost-effectiveness of BAROSTIM NEO, and communicating to physicians the proper application of our BAROSTIM Therapy for patients who meet BAROSTIM NEO’s eligibility criteria. If we are not successful in convincing physicians of the merits of our BAROSTIM Therapy, they may not use BAROSTIM NEO and we may be unable to increase our sales, sustain our growth or achieve profitability.</w:t>
      </w:r>
    </w:p>
    <w:p>
      <w:pPr>
        <w:spacing w:after="0" w:line="208" w:lineRule="exact"/>
        <w:rPr>
          <w:sz w:val="20"/>
          <w:szCs w:val="20"/>
          <w:color w:val="auto"/>
        </w:rPr>
      </w:pPr>
    </w:p>
    <w:p>
      <w:pPr>
        <w:ind w:left="60" w:right="199"/>
        <w:spacing w:after="0" w:line="267" w:lineRule="auto"/>
        <w:rPr>
          <w:sz w:val="20"/>
          <w:szCs w:val="20"/>
          <w:color w:val="auto"/>
        </w:rPr>
      </w:pPr>
      <w:r>
        <w:rPr>
          <w:rFonts w:ascii="Arial" w:cs="Arial" w:eastAsia="Arial" w:hAnsi="Arial"/>
          <w:sz w:val="18"/>
          <w:szCs w:val="18"/>
          <w:color w:val="231F20"/>
        </w:rPr>
        <w:t>In addition, physicians typically need to perform several procedures to become comfortable using BAROSTIM NEO. If a physician experiences difficulties during an initial procedure or otherwise, that physician may be less likely to continue to use our product or to recommend it to other physicians. It is critical to the success of our commercialization efforts to educate physicians on the proper use of BAROSTIM NEO, and to provide them with adequate product support during clinical procedures. If we do not provide support to physicians or do not adequately educate physicians on the benefits and proper use of BAROSTIM NEO, physicians may not use or advocate for our BAROSTIM NEO. In such circumstances, our results of operations would be materially adversely affected.</w:t>
      </w:r>
    </w:p>
    <w:p>
      <w:pPr>
        <w:spacing w:after="0" w:line="210" w:lineRule="exact"/>
        <w:rPr>
          <w:sz w:val="20"/>
          <w:szCs w:val="20"/>
          <w:color w:val="auto"/>
        </w:rPr>
      </w:pPr>
    </w:p>
    <w:p>
      <w:pPr>
        <w:ind w:left="60" w:right="159"/>
        <w:spacing w:after="0" w:line="269" w:lineRule="auto"/>
        <w:rPr>
          <w:sz w:val="20"/>
          <w:szCs w:val="20"/>
          <w:color w:val="auto"/>
        </w:rPr>
      </w:pPr>
      <w:r>
        <w:rPr>
          <w:rFonts w:ascii="Arial" w:cs="Arial" w:eastAsia="Arial" w:hAnsi="Arial"/>
          <w:sz w:val="18"/>
          <w:szCs w:val="18"/>
          <w:color w:val="231F20"/>
        </w:rPr>
        <w:t>Patients may not choose or be able to receive our BAROSTIM NEO if, among other potential reasons, they are reluctant to receive an implantable device as opposed to an alternative, non-implantable treatment, they are worried about potential adverse effects of our BAROSTIM NEO, or they are unable to obtain adequate third-party coverage or reimbursement.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379"/>
        <w:spacing w:after="0" w:line="256"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NEO, our revenue will be negatively impacted.</w:t>
      </w:r>
    </w:p>
    <w:p>
      <w:pPr>
        <w:spacing w:after="0" w:line="201"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Our success in marketing BAROSTIM NEO depends and will continue to depend in large part on whether U.S. and international government health administrative authorities, private health insurers and other organizations adequately cover and reimburse customers for the cost of our products. In the U.S., we expect to derive nearly all our revenue from sales of BAROSTIM NEO to hospitals that typically bill various third-party payors, including Medicare, Medicaid, private commercial insurance companies, health maintenance organizations and other healthcare-related organizations, to cover all or a portion of the costs and fees associated with procedures using BAROSTIM NEO and bill patients for any applicable deductibles or co-payments. Access to adequate coverage and reimbursement for procedures using BAROSTIM NEO by third-party payors is essential to the acceptance of our products by our customers.</w:t>
      </w:r>
    </w:p>
    <w:p>
      <w:pPr>
        <w:spacing w:after="0" w:line="209" w:lineRule="exact"/>
        <w:rPr>
          <w:sz w:val="20"/>
          <w:szCs w:val="20"/>
          <w:color w:val="auto"/>
        </w:rPr>
      </w:pPr>
    </w:p>
    <w:p>
      <w:pPr>
        <w:ind w:left="60" w:right="119"/>
        <w:spacing w:after="0" w:line="281" w:lineRule="auto"/>
        <w:rPr>
          <w:sz w:val="20"/>
          <w:szCs w:val="20"/>
          <w:color w:val="auto"/>
        </w:rPr>
      </w:pPr>
      <w:r>
        <w:rPr>
          <w:rFonts w:ascii="Arial" w:cs="Arial" w:eastAsia="Arial" w:hAnsi="Arial"/>
          <w:sz w:val="17"/>
          <w:szCs w:val="17"/>
          <w:color w:val="231F20"/>
        </w:rPr>
        <w:t>Payors in the U.S. generally require hospitals and physicians to identify the proper CPT codes for the service for which they are seeking reimbursement. Procedures using BAROSTIM NEO are currently mapped to CPT code 0266T for the implantation of the device, which is a Category III CPT code. While customers are currently being reimbursed for our procedure, this may not continue in the future, as payors may determine this Category</w:t>
      </w:r>
    </w:p>
    <w:p>
      <w:pPr>
        <w:spacing w:after="0" w:line="3" w:lineRule="exact"/>
        <w:rPr>
          <w:sz w:val="20"/>
          <w:szCs w:val="20"/>
          <w:color w:val="auto"/>
        </w:rPr>
      </w:pPr>
    </w:p>
    <w:p>
      <w:pPr>
        <w:ind w:left="60" w:right="179" w:hanging="10"/>
        <w:spacing w:after="0" w:line="269" w:lineRule="auto"/>
        <w:tabs>
          <w:tab w:leader="none" w:pos="2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CPT code to be investigational. This uncertainty could result in some of our target customers being unwilling to adopt BAROSTIM NEO over more established or lower cost therapeutic alternatives. While we intend to request that our codes be promoted to Category I by the American Medical Association, there can be no assurance that such efforts will be successful.</w:t>
      </w:r>
    </w:p>
    <w:p>
      <w:pPr>
        <w:spacing w:after="0" w:line="206"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Medicare reimbursement levels are important to increasing adoption of BAROSTIM NEO because nearly two-thirds of the target patient population for BAROSTIM NEO is over the age of 65. Effective January 2021, CMS awarded BAROSTIM NEO a Transitional Pass-Through (“TPT”) payment for outpatient procedures that adds the device cost as a pass-through payment to the calculated procedure payment. The calculated procedure payment depends on many factors, including the location of the hospitals and their billing practices, and may not adequately cover hospital costs associated with the procedure. In addition, CMS awarded BAROSTIM NEO a New Technology Add-on Payment (“NTAP”) for inpatient procedures, which took effect in October 2020. The NTAP is for 65% of the device cost and is incremental to the standard payment provided for the implant procedure. Hospitals are responsible for billing for the procedures to receive the additional payment, when such increase in payment is necessary, and there can be no assurance that hospitals will accurately perform these billing procedures. The TPT payment and the NTAP are only effective for up to three years. While we intend to request that BAROSTIM NEO be reclassified into a higher Medicare reimbursement level, there can be no assurance that such efforts will be successful. Any future decline in the amount Medicare is willing to reimburse our customers for procedures using BAROSTIM NEO could make it difficult for new customers to adopt BAROSTIM NEO and could create additional pricing pressure for us, which could adversely affect our ability to invest in and grow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Third-party payors, whether foreign or domestic, or governmental or commercial, are developing increasingly sophisticated methods of controlling healthcare costs. In addition, in the U.S.,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for physicians as well as hospitals that often requires us to provide scientific and clinical support for the use of our products to each payor separately, with no assurance that coverage and adequate reimbursement will be obtained, or maintained if obtained. Accordingly, until such time as BAROSTIM NEO gains broader acceptance by third-party payors as a treatment for HFrEF, hospitals and physicians may encounter delays and additional administrative burdens, such as the submission of supporting documentation, in obtaining reimbursement. Such delays and additional burdens may make it less likely for physicians and hospitals to adopt BAROSTIM NEO. Any future decline in the amount third-party payors are willing to reimburse our customers for procedures using BAROSTIM NEO could make it difficult for new customers to adopt BAROSTIM NEO and could create additional pricing pressure for us, which could adversely affect our ability to invest in and grow our business.</w:t>
      </w:r>
    </w:p>
    <w:p>
      <w:pPr>
        <w:spacing w:after="0" w:line="217"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231F20"/>
        </w:rPr>
        <w:t>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If sufficient coverage and reimbursement is not available for our current or future products, in either the U.S. or internationally, the demand for our products and our revenues will be adversely affected.</w:t>
      </w:r>
    </w:p>
    <w:p>
      <w:pPr>
        <w:spacing w:after="0" w:line="143" w:lineRule="exact"/>
        <w:rPr>
          <w:sz w:val="20"/>
          <w:szCs w:val="20"/>
          <w:color w:val="auto"/>
        </w:rPr>
      </w:pPr>
    </w:p>
    <w:p>
      <w:pPr>
        <w:ind w:left="60" w:right="139"/>
        <w:spacing w:after="0" w:line="249" w:lineRule="auto"/>
        <w:rPr>
          <w:sz w:val="20"/>
          <w:szCs w:val="20"/>
          <w:color w:val="auto"/>
        </w:rPr>
      </w:pPr>
      <w:r>
        <w:rPr>
          <w:rFonts w:ascii="Arial" w:cs="Arial" w:eastAsia="Arial" w:hAnsi="Arial"/>
          <w:sz w:val="17"/>
          <w:szCs w:val="17"/>
          <w:b w:val="1"/>
          <w:bCs w:val="1"/>
          <w:i w:val="1"/>
          <w:iCs w:val="1"/>
          <w:color w:val="231F20"/>
        </w:rPr>
        <w:t>Our industry is highly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NEO, our business will be adversely impacted.</w:t>
      </w:r>
    </w:p>
    <w:p>
      <w:pPr>
        <w:spacing w:after="0" w:line="210"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The medical device industry is highly competitive and subject to technological change. Our success depends, in part, upon our ability to establish a competitive position in the market by securing broad market acceptance of our BAROSTIM Therapy and BAROSTIM NEO for the treatment of HFrEF. Any product we develop that achieves regulatory clearance or approval, including BAROSTIM NEO, will have to compete for market acceptance and market share. We believe that the primary competitive factors in the market are demonstrated clinical effectiveness, product safety, reliability and durability, ease of use, product support and service, minimal side effects and salesforce experience and relationships.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LivaNova PLC. We may also face competition from other competitors, such as Impulse Dynamics, which is a private company with a medical device indicated for a subset of our target patient population, or companies with active system development programs that may emerge in the future. Many of the companies developing or marketing competing products enjoy several advantages over us, including, among others:</w:t>
      </w:r>
    </w:p>
    <w:p>
      <w:pPr>
        <w:spacing w:after="0" w:line="177" w:lineRule="exact"/>
        <w:rPr>
          <w:sz w:val="20"/>
          <w:szCs w:val="20"/>
          <w:color w:val="auto"/>
        </w:rPr>
      </w:pPr>
    </w:p>
    <w:p>
      <w:pPr>
        <w:ind w:left="380" w:hanging="127"/>
        <w:spacing w:after="0"/>
        <w:tabs>
          <w:tab w:leader="none" w:pos="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more experienced sales forces;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more established sales and marketing programs and distribution networks;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127"/>
        <w:spacing w:after="0"/>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long established relationships with physicians and hospitals;</w:t>
      </w:r>
    </w:p>
    <w:p>
      <w:pPr>
        <w:spacing w:after="0" w:line="103" w:lineRule="exact"/>
        <w:rPr>
          <w:rFonts w:ascii="Arial" w:cs="Arial" w:eastAsia="Arial" w:hAnsi="Arial"/>
          <w:sz w:val="18"/>
          <w:szCs w:val="18"/>
          <w:color w:val="231F20"/>
        </w:rPr>
      </w:pPr>
    </w:p>
    <w:p>
      <w:pPr>
        <w:ind w:left="380" w:hanging="127"/>
        <w:spacing w:after="0"/>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significant patent portfolios, including issued U.S. and foreign patents and pending patent applications, 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well as the resources to enforce patents against us or any of our third-party suppliers and distributors;</w:t>
      </w:r>
    </w:p>
    <w:p>
      <w:pPr>
        <w:spacing w:after="0" w:line="90" w:lineRule="exact"/>
        <w:rPr>
          <w:sz w:val="20"/>
          <w:szCs w:val="20"/>
          <w:color w:val="auto"/>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established history of product reliability, safety and durability;</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greater financial and human resources for product development, sales, and marketing; and</w:t>
      </w:r>
    </w:p>
    <w:p>
      <w:pPr>
        <w:spacing w:after="0" w:line="103" w:lineRule="exact"/>
        <w:rPr>
          <w:rFonts w:ascii="Arial" w:cs="Arial" w:eastAsia="Arial" w:hAnsi="Arial"/>
          <w:sz w:val="18"/>
          <w:szCs w:val="18"/>
          <w:color w:val="231F20"/>
        </w:rPr>
      </w:pPr>
    </w:p>
    <w:p>
      <w:pPr>
        <w:ind w:left="380" w:right="279" w:hanging="127"/>
        <w:spacing w:after="0" w:line="271" w:lineRule="auto"/>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greater experience in and resources for conducting research and development, clinical studies, manufacturing, preparing regulatory submissions, obtaining regulatory clearance or approval for products and marketing approved products.</w:t>
      </w:r>
    </w:p>
    <w:p>
      <w:pPr>
        <w:spacing w:after="0" w:line="68"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Our competitors may develop and patent processes or products earlier than us, obtain patents that may apply to us at any time, obtain regulatory clearance or approvals for competing products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4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the U.S., in order for physicians to use BAROSTIM NEO, we expect that the hospitals where these physicians treat patients will typically require us to enter into purchasing contracts. This process can be lengthy, time-consuming and require extensive negotiations and management time, which could include an approval by a customer’s value analysis committee. In the EU,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b w:val="1"/>
          <w:bCs w:val="1"/>
          <w:i w:val="1"/>
          <w:iCs w:val="1"/>
          <w:color w:val="231F20"/>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204"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We currently source certain components for our BAROSTIM NEO from a limited number of suppliers. Our ability to supply BAROSTIM NEO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any of our limited suppliers, some of which supply components critical to our products, such as modules, batteries and electrodes. We currently have no plans to enter into any such contracts and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208" w:lineRule="exact"/>
        <w:rPr>
          <w:sz w:val="20"/>
          <w:szCs w:val="20"/>
          <w:color w:val="auto"/>
        </w:rPr>
      </w:pPr>
    </w:p>
    <w:p>
      <w:pPr>
        <w:ind w:left="60" w:right="179"/>
        <w:spacing w:after="0" w:line="268" w:lineRule="auto"/>
        <w:rPr>
          <w:sz w:val="20"/>
          <w:szCs w:val="20"/>
          <w:color w:val="auto"/>
        </w:rPr>
      </w:pPr>
      <w:r>
        <w:rPr>
          <w:rFonts w:ascii="Arial" w:cs="Arial" w:eastAsia="Arial" w:hAnsi="Arial"/>
          <w:sz w:val="18"/>
          <w:szCs w:val="18"/>
          <w:color w:val="231F20"/>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206" w:lineRule="exact"/>
        <w:rPr>
          <w:sz w:val="20"/>
          <w:szCs w:val="20"/>
          <w:color w:val="auto"/>
        </w:rPr>
      </w:pPr>
    </w:p>
    <w:p>
      <w:pPr>
        <w:ind w:left="540" w:right="57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are not a major customer of many of our suppliers, and these suppliers may therefore give other customers’ needs higher priority than ours;</w:t>
      </w:r>
    </w:p>
    <w:p>
      <w:pPr>
        <w:spacing w:after="0" w:line="75" w:lineRule="exact"/>
        <w:rPr>
          <w:rFonts w:ascii="Arial" w:cs="Arial" w:eastAsia="Arial" w:hAnsi="Arial"/>
          <w:sz w:val="18"/>
          <w:szCs w:val="18"/>
          <w:color w:val="231F20"/>
        </w:rPr>
      </w:pPr>
    </w:p>
    <w:p>
      <w:pPr>
        <w:ind w:left="540" w:right="79" w:hanging="139"/>
        <w:spacing w:after="0" w:line="308" w:lineRule="auto"/>
        <w:tabs>
          <w:tab w:leader="none" w:pos="54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third parties may threaten or enforce their intellectual property rights against our suppliers, which may cause disruptions or delays in shipment, or may force our suppliers to cease conducting business with us;</w:t>
      </w:r>
    </w:p>
    <w:p>
      <w:pPr>
        <w:spacing w:after="0" w:line="51" w:lineRule="exact"/>
        <w:rPr>
          <w:rFonts w:ascii="Arial" w:cs="Arial" w:eastAsia="Arial" w:hAnsi="Arial"/>
          <w:sz w:val="17"/>
          <w:szCs w:val="17"/>
          <w:color w:val="231F20"/>
        </w:rPr>
      </w:pPr>
    </w:p>
    <w:p>
      <w:pPr>
        <w:ind w:left="540" w:right="25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may not be able to obtain an adequate supply of components in a timely manner or on commercially reasonable terms;</w:t>
      </w:r>
    </w:p>
    <w:p>
      <w:pPr>
        <w:spacing w:after="0" w:line="62" w:lineRule="exact"/>
        <w:rPr>
          <w:rFonts w:ascii="Arial" w:cs="Arial" w:eastAsia="Arial" w:hAnsi="Arial"/>
          <w:sz w:val="18"/>
          <w:szCs w:val="18"/>
          <w:color w:val="231F20"/>
        </w:rPr>
      </w:pPr>
    </w:p>
    <w:p>
      <w:pPr>
        <w:ind w:left="540" w:right="9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suppliers, especially new suppliers, may make errors in manufacturing that could negatively affect the efficacy or safety of BAROSTIM NEO or cause delays in shipment;</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may have difficulty locating and qualifying alternative suppliers;</w:t>
      </w:r>
    </w:p>
    <w:p>
      <w:pPr>
        <w:spacing w:after="0" w:line="117" w:lineRule="exact"/>
        <w:rPr>
          <w:rFonts w:ascii="Arial" w:cs="Arial" w:eastAsia="Arial" w:hAnsi="Arial"/>
          <w:sz w:val="18"/>
          <w:szCs w:val="18"/>
          <w:color w:val="231F20"/>
        </w:rPr>
      </w:pPr>
    </w:p>
    <w:p>
      <w:pPr>
        <w:ind w:left="540" w:right="99" w:hanging="139"/>
        <w:spacing w:after="0" w:line="281" w:lineRule="auto"/>
        <w:tabs>
          <w:tab w:leader="none" w:pos="54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switching components or suppliers may require product redesign and possibly submission to the FDA, EEA or other foreign regulatory bodies, which could significantly impede or delay our commercial activities; one or more of our limited source suppliers may be unwilling or unable to supply components of</w:t>
      </w:r>
    </w:p>
    <w:p>
      <w:pPr>
        <w:spacing w:after="0" w:line="1" w:lineRule="exact"/>
        <w:rPr>
          <w:rFonts w:ascii="Arial" w:cs="Arial" w:eastAsia="Arial" w:hAnsi="Arial"/>
          <w:sz w:val="17"/>
          <w:szCs w:val="17"/>
          <w:color w:val="231F20"/>
        </w:rPr>
      </w:pPr>
    </w:p>
    <w:p>
      <w:pPr>
        <w:ind w:left="540"/>
        <w:spacing w:after="0"/>
        <w:rPr>
          <w:rFonts w:ascii="Arial" w:cs="Arial" w:eastAsia="Arial" w:hAnsi="Arial"/>
          <w:sz w:val="17"/>
          <w:szCs w:val="17"/>
          <w:color w:val="231F20"/>
        </w:rPr>
      </w:pPr>
      <w:r>
        <w:rPr>
          <w:rFonts w:ascii="Arial" w:cs="Arial" w:eastAsia="Arial" w:hAnsi="Arial"/>
          <w:sz w:val="18"/>
          <w:szCs w:val="18"/>
          <w:color w:val="231F20"/>
        </w:rPr>
        <w:t>BAROSTIM NEO;</w:t>
      </w:r>
    </w:p>
    <w:p>
      <w:pPr>
        <w:spacing w:after="0" w:line="103" w:lineRule="exact"/>
        <w:rPr>
          <w:rFonts w:ascii="Arial" w:cs="Arial" w:eastAsia="Arial" w:hAnsi="Arial"/>
          <w:sz w:val="17"/>
          <w:szCs w:val="17"/>
          <w:color w:val="231F20"/>
        </w:rPr>
      </w:pPr>
    </w:p>
    <w:p>
      <w:pPr>
        <w:ind w:left="540" w:right="57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other customers may use fair or unfair negotiation tactics and/or pressures to impede our use of the supplier;</w:t>
      </w:r>
    </w:p>
    <w:p>
      <w:pPr>
        <w:spacing w:after="0" w:line="75" w:lineRule="exact"/>
        <w:rPr>
          <w:rFonts w:ascii="Arial" w:cs="Arial" w:eastAsia="Arial" w:hAnsi="Arial"/>
          <w:sz w:val="18"/>
          <w:szCs w:val="18"/>
          <w:color w:val="231F20"/>
        </w:rPr>
      </w:pPr>
    </w:p>
    <w:p>
      <w:pPr>
        <w:ind w:left="540" w:right="45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do not conduct formal environmental, social or governance due diligence on our supply chain and thus may not be aware if our suppliers pose such risks;</w:t>
      </w:r>
    </w:p>
    <w:p>
      <w:pPr>
        <w:spacing w:after="0" w:line="75" w:lineRule="exact"/>
        <w:rPr>
          <w:rFonts w:ascii="Arial" w:cs="Arial" w:eastAsia="Arial" w:hAnsi="Arial"/>
          <w:sz w:val="18"/>
          <w:szCs w:val="18"/>
          <w:color w:val="231F20"/>
        </w:rPr>
      </w:pPr>
    </w:p>
    <w:p>
      <w:pPr>
        <w:ind w:left="540" w:right="13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occurrence of a fire, natural disaster or other catastrophe impacting one or more of our suppliers may affect their ability to deliver products to us in a timely manner; and</w:t>
      </w:r>
    </w:p>
    <w:p>
      <w:pPr>
        <w:spacing w:after="0" w:line="62"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suppliers may encounter financial or other business hardships unrelated to our demand, which could inhibit their ability to fulfill our orders and meet our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Establishing additional or replacement suppliers for the components or processes used in BAROSTIM NEO,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76"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188"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82" w:lineRule="exact"/>
        <w:rPr>
          <w:sz w:val="20"/>
          <w:szCs w:val="20"/>
          <w:color w:val="auto"/>
        </w:rPr>
      </w:pPr>
    </w:p>
    <w:p>
      <w:pPr>
        <w:ind w:left="540" w:right="439" w:hanging="139"/>
        <w:spacing w:after="0" w:line="261"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76" w:lineRule="exact"/>
        <w:rPr>
          <w:rFonts w:ascii="Arial" w:cs="Arial" w:eastAsia="Arial" w:hAnsi="Arial"/>
          <w:sz w:val="18"/>
          <w:szCs w:val="18"/>
          <w:color w:val="231F20"/>
        </w:rPr>
      </w:pPr>
    </w:p>
    <w:p>
      <w:pPr>
        <w:ind w:left="540" w:right="219" w:hanging="139"/>
        <w:spacing w:after="0" w:line="261"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62" w:lineRule="exact"/>
        <w:rPr>
          <w:rFonts w:ascii="Arial" w:cs="Arial" w:eastAsia="Arial" w:hAnsi="Arial"/>
          <w:sz w:val="18"/>
          <w:szCs w:val="18"/>
          <w:color w:val="231F20"/>
        </w:rPr>
      </w:pPr>
    </w:p>
    <w:p>
      <w:pPr>
        <w:ind w:left="540" w:hanging="139"/>
        <w:spacing w:after="0"/>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03" w:lineRule="exact"/>
        <w:rPr>
          <w:rFonts w:ascii="Arial" w:cs="Arial" w:eastAsia="Arial" w:hAnsi="Arial"/>
          <w:sz w:val="18"/>
          <w:szCs w:val="18"/>
          <w:color w:val="231F20"/>
        </w:rPr>
      </w:pPr>
    </w:p>
    <w:p>
      <w:pPr>
        <w:ind w:left="540" w:right="419" w:hanging="139"/>
        <w:spacing w:after="0" w:line="261"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pacing w:after="0" w:line="225" w:lineRule="exact"/>
        <w:rPr>
          <w:sz w:val="20"/>
          <w:szCs w:val="20"/>
          <w:color w:val="auto"/>
        </w:rPr>
      </w:pPr>
    </w:p>
    <w:p>
      <w:pPr>
        <w:ind w:left="60" w:right="139"/>
        <w:spacing w:after="0" w:line="251" w:lineRule="auto"/>
        <w:rPr>
          <w:sz w:val="20"/>
          <w:szCs w:val="20"/>
          <w:color w:val="auto"/>
        </w:rPr>
      </w:pPr>
      <w:r>
        <w:rPr>
          <w:rFonts w:ascii="Arial" w:cs="Arial" w:eastAsia="Arial" w:hAnsi="Arial"/>
          <w:sz w:val="18"/>
          <w:szCs w:val="18"/>
          <w:color w:val="231F20"/>
        </w:rPr>
        <w:t>If demand for BAROSTIM NEO increases, we will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NEO, manufacturing of these product candidates may require the modification of our production lines, the hiring of specialized employees, the 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193"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231F20"/>
        </w:rPr>
        <w:t>Our principal offices and our only manufacturing facility are located in Minneapolis, Minnesota. Substantially all of our operations are conducted at this location, including our manufacturing processes, research, development and engineering activities, customer and technical support and management and administrative 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339"/>
        <w:spacing w:after="0" w:line="285" w:lineRule="auto"/>
        <w:rPr>
          <w:sz w:val="20"/>
          <w:szCs w:val="20"/>
          <w:color w:val="auto"/>
        </w:rPr>
      </w:pPr>
      <w:r>
        <w:rPr>
          <w:rFonts w:ascii="Arial" w:cs="Arial" w:eastAsia="Arial" w:hAnsi="Arial"/>
          <w:sz w:val="18"/>
          <w:szCs w:val="18"/>
          <w:color w:val="231F20"/>
        </w:rPr>
        <w:t>We take precautions to safeguard this facility, including acquiring insurance, employing back-up generators, adopting health and safety protocols and utilizing off-site storage of computer data. Our insurance may not cover our losses in any particular case. In addition, regardless of the level of insurance coverage, damage to our facility may harm our business, financial condition and operating results.</w:t>
      </w:r>
    </w:p>
    <w:p>
      <w:pPr>
        <w:spacing w:after="0" w:line="142" w:lineRule="exact"/>
        <w:rPr>
          <w:sz w:val="20"/>
          <w:szCs w:val="20"/>
          <w:color w:val="auto"/>
        </w:rPr>
      </w:pPr>
    </w:p>
    <w:p>
      <w:pPr>
        <w:ind w:left="60" w:right="459"/>
        <w:spacing w:after="0" w:line="301" w:lineRule="auto"/>
        <w:rPr>
          <w:sz w:val="20"/>
          <w:szCs w:val="20"/>
          <w:color w:val="auto"/>
        </w:rPr>
      </w:pPr>
      <w:r>
        <w:rPr>
          <w:rFonts w:ascii="Arial" w:cs="Arial" w:eastAsia="Arial" w:hAnsi="Arial"/>
          <w:sz w:val="17"/>
          <w:szCs w:val="17"/>
          <w:b w:val="1"/>
          <w:bCs w:val="1"/>
          <w:i w:val="1"/>
          <w:iCs w:val="1"/>
          <w:color w:val="231F20"/>
        </w:rPr>
        <w:t>A pandemic, epidemic or outbreak of an infectious disease in the U.S. or worldwide, including the outbreak of the novel strain of coronavirus disease, COVID-19, could adversely affect our business.</w:t>
      </w:r>
    </w:p>
    <w:p>
      <w:pPr>
        <w:spacing w:after="0" w:line="126" w:lineRule="exact"/>
        <w:rPr>
          <w:sz w:val="20"/>
          <w:szCs w:val="20"/>
          <w:color w:val="auto"/>
        </w:rPr>
      </w:pPr>
    </w:p>
    <w:p>
      <w:pPr>
        <w:ind w:left="60" w:right="119"/>
        <w:spacing w:after="0" w:line="300" w:lineRule="auto"/>
        <w:rPr>
          <w:sz w:val="20"/>
          <w:szCs w:val="20"/>
          <w:color w:val="auto"/>
        </w:rPr>
      </w:pPr>
      <w:r>
        <w:rPr>
          <w:rFonts w:ascii="Arial" w:cs="Arial" w:eastAsia="Arial" w:hAnsi="Arial"/>
          <w:sz w:val="17"/>
          <w:szCs w:val="17"/>
          <w:color w:val="231F20"/>
        </w:rPr>
        <w:t>If a pandemic, epidemic or outbreak of an infectious disease occurs in the U.S. or worldwide, our business may be adversely affected. In December 2019, a novel strain of coronavirus, SARS-CoV-2, was identified in Wuhan, China. Since then, SARS-CoV-2, and the resulting disease, COVID-19, has spread to most countries and all 50 states within the U.S. The COVID-19 pandemic has negatively impacted our business, financial condition and results of operations by decreasing and delaying the number of procedures performed using our BAROSTIM NEO, and the pandemic may continue to negatively impact our business, financial condition and results of operations. Similar to the general trend in elective and other surgical procedures, the number of procedures performed using our BAROSTIM NEO decreased significantly when healthcare organizations in the U.S. prioritized the treatment of patients with COVID-19 or altered their operations to prepare for and respond to the pandemic. We believe the COVID-19 pandemic has also negatively impacted the number of HFrEF diagnoses as hospitals focus on COVID-19 and as patients postpone healthcare visits and treatments. Specifically, a significant number of procedures using our products were postponed or cancelled beginning in March 2020.</w:t>
      </w:r>
    </w:p>
    <w:p>
      <w:pPr>
        <w:spacing w:after="0" w:line="159"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color w:val="231F20"/>
        </w:rPr>
        <w:t>Numerous state and local jurisdictions have imposed, and others in the future may impose, “shelter-in-place” orders, quarantines, executive orders and similar government orders and restrictions for their residents to control the spread of COVID-19. Such orders or restrictions have resulted in reduced operations at our headquarters, slowdowns and delays, travel restrictions and cancellation of events and have restricted the ability of our front-line sales representatives to attend procedures in which our products are used, among other effects, thereby negatively impacting our operations. Other disruptions or potential disruptions include restrictions on the ability of our sales representatives and other personnel to travel and access customers for training and case support;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delays in clinical trials and studies; diversion of or limitations on employee resources that would otherwise be focused on the operations of our business, including because of sickness of employees or their families or the desire of employees to avoid contact with groups of people; delays in growing or reductions in our sales organization, including through delays in hiring, lay-offs, furloughs or other losses of sales representatives; restrictions in our ability to ship our products to customers; business adjustments or disruptions of certain third parties, including suppliers, medical institutions and clinical investigators with whom we conduct business; and additional government requirements or other incremental mitigation efforts that may impact our or our suppliers’ capacity to manufacture our products. The extent to which the COVID-19 pandemic impacts our business will depend on future developments, which are highly uncertain and cannot be predicted, including new information which may emerge concerning the severity and spread of COVID-19 and its variants and the durability of immunity offered by vaccines developed to prevent infection, as well as other actions to contain COVID-19 and its variants or treat its impact, among others.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While the potential economic impact brought by and the duration of any pandemic, epidemic or outbreak of an infectious disease, including COVID-19, may be difficult to assess or predict, the widespread COVID-19 pandemic has resulted in, and may in the future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curtail and reduce capital and overall spending. To the extent the COVID-19 pandemic adversely affects our business and financial results, it may also have the effect of heightening many of the other risks described in this “Risk Factors” section.</w:t>
      </w:r>
    </w:p>
    <w:p>
      <w:pPr>
        <w:spacing w:after="0" w:line="174"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89"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Sales of BAROSTIM NEO outside the U.S. represented a majority of our revenue from sales in the year ended December 31, 2020. In 2012, we began selling BAROSTIM NEO in the EEA directly to hospitals and through distributors. The sale and shipment of BAROSTIM NEO across international borders, as well as the purchase of components from international sources, subjects us to U.S. and foreign governmental trade, import and export, and customs regulations and laws.</w:t>
      </w:r>
    </w:p>
    <w:p>
      <w:pPr>
        <w:spacing w:after="0" w:line="208" w:lineRule="exact"/>
        <w:rPr>
          <w:sz w:val="20"/>
          <w:szCs w:val="20"/>
          <w:color w:val="auto"/>
        </w:rPr>
      </w:pPr>
    </w:p>
    <w:p>
      <w:pPr>
        <w:ind w:left="60" w:right="259"/>
        <w:spacing w:after="0" w:line="268" w:lineRule="auto"/>
        <w:rPr>
          <w:sz w:val="20"/>
          <w:szCs w:val="20"/>
          <w:color w:val="auto"/>
        </w:rPr>
      </w:pPr>
      <w:r>
        <w:rPr>
          <w:rFonts w:ascii="Arial" w:cs="Arial" w:eastAsia="Arial" w:hAnsi="Arial"/>
          <w:sz w:val="18"/>
          <w:szCs w:val="18"/>
          <w:color w:val="231F20"/>
        </w:rPr>
        <w:t>Compliance with these regulations and laws is costly and exposes us to penalties for non-compliance. Other laws and regulations that can significantly impact us include various anti-bribery laws, including the U.S. Foreign Corrupt Practices Act,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international operations expose us and our distributors to risks inherent in operating in foreign jurisdictions.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These risks include, among others:</w:t>
      </w:r>
    </w:p>
    <w:p>
      <w:pPr>
        <w:spacing w:after="0" w:line="225" w:lineRule="exact"/>
        <w:rPr>
          <w:sz w:val="20"/>
          <w:szCs w:val="20"/>
          <w:color w:val="auto"/>
        </w:rPr>
      </w:pPr>
    </w:p>
    <w:p>
      <w:pPr>
        <w:ind w:left="540" w:right="299" w:hanging="139"/>
        <w:spacing w:after="0" w:line="274" w:lineRule="auto"/>
        <w:tabs>
          <w:tab w:leader="none" w:pos="54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difficulties in enforcing our intellectual property rights and in defending against third-party threats and intellectual property enforcement actions against us, our distributors, or any of our third-party suppliers;</w:t>
      </w:r>
    </w:p>
    <w:p>
      <w:pPr>
        <w:spacing w:after="0" w:line="53" w:lineRule="exact"/>
        <w:rPr>
          <w:rFonts w:ascii="Arial" w:cs="Arial" w:eastAsia="Arial" w:hAnsi="Arial"/>
          <w:sz w:val="17"/>
          <w:szCs w:val="17"/>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potential pricing pressure;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 shortage of high-quality sales representatives and distributors;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foreign currency exchange rate fluctuations;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imposition of additional U.S. and foreign governmental controls or regulations;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changes in duties and tariffs, license obligations and other non-tariff barriers to trade;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imposition of restrictions on the activities of foreign agents, representatives and distributors;</w:t>
      </w:r>
    </w:p>
    <w:p>
      <w:pPr>
        <w:spacing w:after="0" w:line="90" w:lineRule="exact"/>
        <w:rPr>
          <w:rFonts w:ascii="Arial" w:cs="Arial" w:eastAsia="Arial" w:hAnsi="Arial"/>
          <w:sz w:val="18"/>
          <w:szCs w:val="18"/>
          <w:color w:val="231F20"/>
        </w:rPr>
      </w:pPr>
    </w:p>
    <w:p>
      <w:pPr>
        <w:ind w:left="540" w:right="199" w:hanging="139"/>
        <w:spacing w:after="0" w:line="246" w:lineRule="auto"/>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scrutiny of U.S. and foreign tax authorities which could result in significant fines, penalties and additional taxes being imposed on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difficulties in maintaining consistency with our internal guidelines;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difficulties in enforcing agreements and collecting receivables through certain foreign legal systems;</w:t>
      </w:r>
    </w:p>
    <w:p>
      <w:pPr>
        <w:sectPr>
          <w:pgSz w:w="11900" w:h="16838" w:orient="portrait"/>
          <w:cols w:equalWidth="0" w:num="1">
            <w:col w:w="9019"/>
          </w:cols>
          <w:pgMar w:left="1440" w:top="517" w:right="144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139"/>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imposition of U.S. or international sanctions against a country, company, person or entity; and</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imposition of new trade restrictions.</w:t>
      </w:r>
    </w:p>
    <w:p>
      <w:pPr>
        <w:spacing w:after="0" w:line="9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62"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NEO at prices necessary to support our current business strategies.</w:t>
      </w:r>
    </w:p>
    <w:p>
      <w:pPr>
        <w:spacing w:after="0" w:line="204"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future customers, which may exert further downward pressure on the prices of BAROSTIM NEO.</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47"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color w:val="231F20"/>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208"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231F20"/>
        </w:rPr>
        <w:t>To achieve our revenue goals, we must successfully increase manufacturing output to meet expected customer demand. We may experience difficulties with manufacturing yields, quality control, component supply and shortages of qualified personnel, among other problems. Any of these problems could result in delays in product availability and increases in expenses. Any such delay or increased expense could adversely affect our ability to generate our revenue.</w:t>
      </w:r>
    </w:p>
    <w:p>
      <w:pPr>
        <w:spacing w:after="0" w:line="181"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63" w:lineRule="exact"/>
        <w:rPr>
          <w:sz w:val="20"/>
          <w:szCs w:val="20"/>
          <w:color w:val="auto"/>
        </w:rPr>
      </w:pPr>
    </w:p>
    <w:p>
      <w:pPr>
        <w:ind w:left="60" w:right="59"/>
        <w:spacing w:after="0" w:line="268" w:lineRule="auto"/>
        <w:rPr>
          <w:sz w:val="20"/>
          <w:szCs w:val="20"/>
          <w:color w:val="auto"/>
        </w:rPr>
      </w:pPr>
      <w:r>
        <w:rPr>
          <w:rFonts w:ascii="Arial" w:cs="Arial" w:eastAsia="Arial" w:hAnsi="Arial"/>
          <w:sz w:val="18"/>
          <w:szCs w:val="18"/>
          <w:color w:val="231F20"/>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499"/>
        <w:spacing w:after="0" w:line="253"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77"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We will likely need to conduct additional clinical studies in the future to support approval for new indications. For example, we are currently pursuing a morbidity and mortality indication for patients with HFrEF, which, if successful, could significantly expand our addressable patient population. However, we cannot assure you that the morbidity and mortality data will be sufficient to allow us to achieve FDA approval for expansion of this indication. In addition, if the morbidity and mortality data is perceived to be negative, such data may impact the adoption of BAROSTIM NEO, notwithstanding our existing clinical data and FDA approval. Clinical testing takes many years, is expensive and carries uncertain outcomes. The initiation and completion of any of these studies, including the post-market stage of our BeAT-HF pivotal trial, may be prevented, delayed, or halted for numerous reasons, including, but not limited to, the following:</w:t>
      </w:r>
    </w:p>
    <w:p>
      <w:pPr>
        <w:spacing w:after="0" w:line="209" w:lineRule="exact"/>
        <w:rPr>
          <w:sz w:val="20"/>
          <w:szCs w:val="20"/>
          <w:color w:val="auto"/>
        </w:rPr>
      </w:pPr>
    </w:p>
    <w:p>
      <w:pPr>
        <w:ind w:left="540" w:right="319" w:hanging="139"/>
        <w:spacing w:after="0" w:line="271"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institutional review boards (“IRBs”), ethics committees, EU competent authorities or other regulatory authorities do not approve a clinical study protocol, force us to modify a previously approved protocol, or place a clinical study on hold;</w:t>
      </w:r>
    </w:p>
    <w:p>
      <w:pPr>
        <w:spacing w:after="0" w:line="54"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do not enroll in, or enroll at a lower rate than we expect, or do not complete a clinical study;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or investigators do not comply with study protocols;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do not return for post-treatment follow-up at the expected rate;</w:t>
      </w:r>
    </w:p>
    <w:p>
      <w:pPr>
        <w:spacing w:after="0" w:line="90" w:lineRule="exact"/>
        <w:rPr>
          <w:rFonts w:ascii="Arial" w:cs="Arial" w:eastAsia="Arial" w:hAnsi="Arial"/>
          <w:sz w:val="18"/>
          <w:szCs w:val="18"/>
          <w:color w:val="231F20"/>
        </w:rPr>
      </w:pPr>
    </w:p>
    <w:p>
      <w:pPr>
        <w:jc w:val="both"/>
        <w:ind w:left="540" w:right="219" w:hanging="139"/>
        <w:spacing w:after="0" w:line="271"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68"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sites participating in an ongoing clinical study withdraw, requiring us to engage new sites;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difficulties or delays associated with establishing additional clinical sites;</w:t>
      </w:r>
    </w:p>
    <w:p>
      <w:pPr>
        <w:spacing w:after="0" w:line="90" w:lineRule="exact"/>
        <w:rPr>
          <w:rFonts w:ascii="Arial" w:cs="Arial" w:eastAsia="Arial" w:hAnsi="Arial"/>
          <w:sz w:val="18"/>
          <w:szCs w:val="18"/>
          <w:color w:val="231F20"/>
        </w:rPr>
      </w:pPr>
    </w:p>
    <w:p>
      <w:pPr>
        <w:ind w:left="540" w:right="79" w:hanging="139"/>
        <w:spacing w:after="0" w:line="269"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71"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regulatory inspections of our clinical studies or manufacturing facilities require us to undertake corrective action or suspend or terminate our clinical studies;</w:t>
      </w:r>
    </w:p>
    <w:p>
      <w:pPr>
        <w:spacing w:after="0" w:line="48"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changes in federal, state, or foreign governmental statutes, regulations or policies;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interim results are inconclusive or unfavorable as to immediate and long-term safety or efficacy;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study design is inadequate to demonstrate safety and efficacy; or</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statistical endpoints are not met.</w:t>
      </w:r>
    </w:p>
    <w:p>
      <w:pPr>
        <w:spacing w:after="0" w:line="104"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Clinical trials can fail at any stage. Our clinical studies, including the post-market stage of our BeAT-HF pivotal trial related to the morbidity and mortality indication for patients with HFrEF, may produce negative or inconclusive results, and we may decide, or regulators may require us, to conduct additional clinical or non-clinical studies in addition to those we have planned. In addition, if the FDA determines for any reason, including safety or their risk-benefit analysis, that the results of the post-market stage of our BeAT-HF pivotal trial or any other future trial are negative, the FDA may decide to modify or revoke our existing approval or such data may impact the adoption of BAROSTIM NEO. Moreover, a negative perception of clinical results for one indication for use could impact the use of BAROSTIM NEO for other FDA approved and clinically supported indications for use.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We could also encounter delays if the FDA concludes that our financial relationships with investigators results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pacing w:after="0" w:line="209" w:lineRule="exact"/>
        <w:rPr>
          <w:sz w:val="20"/>
          <w:szCs w:val="20"/>
          <w:color w:val="auto"/>
        </w:rPr>
      </w:pPr>
    </w:p>
    <w:p>
      <w:pPr>
        <w:ind w:left="60" w:right="199"/>
        <w:spacing w:after="0" w:line="288" w:lineRule="auto"/>
        <w:rPr>
          <w:sz w:val="20"/>
          <w:szCs w:val="20"/>
          <w:color w:val="auto"/>
        </w:rPr>
      </w:pPr>
      <w:r>
        <w:rPr>
          <w:rFonts w:ascii="Arial" w:cs="Arial" w:eastAsia="Arial" w:hAnsi="Arial"/>
          <w:sz w:val="17"/>
          <w:szCs w:val="17"/>
          <w:color w:val="231F20"/>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69" w:lineRule="exact"/>
        <w:rPr>
          <w:sz w:val="20"/>
          <w:szCs w:val="20"/>
          <w:color w:val="auto"/>
        </w:rPr>
      </w:pPr>
    </w:p>
    <w:p>
      <w:pPr>
        <w:ind w:left="60" w:right="239"/>
        <w:spacing w:after="0" w:line="303"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74"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Manufacturing and marketing of BAROSTIM NEO and clinical testing of our BAROSTIM Therapy may expose us to product liability claims. Although we have, and intend to maintain, liability insurance, the coverage limits of our insurance policies may not be adequate and one or more successful claims brought against us may have a material adverse effect on our business and results of 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7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which could be expensive,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21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The market for medical devices is subject to rapid technological change and frequent litigation regarding patent and other intellectual property rights. It is possible that our patents or licenses may not withstand challenges made by others or protect our rights adequately.</w:t>
      </w:r>
    </w:p>
    <w:p>
      <w:pPr>
        <w:spacing w:after="0" w:line="203"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Our success depends in large part on our ability to secure effective patent protection for our products and processes in the U.S. and internationally. We have filed and intend to continue to file patent applications for various aspects of our technology and trademark applications to protect our brand and business. We seek to obtain and maintain patents and other intellectual property rights to restrict the ability of others to market products or services that misappropriate our technology and/or infringe our intellectual property to compete with our products.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However, we face the risks that: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right="239" w:hanging="127"/>
        <w:spacing w:after="0" w:line="271"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We may fail to secure necessary patents, potentially permitting competitors to market competing products and make, use or sell products that are substantially the same as ours without incurring the sizeable development costs that we have incurred, which would adversely affect our ability to compete.</w:t>
      </w:r>
    </w:p>
    <w:p>
      <w:pPr>
        <w:spacing w:after="0" w:line="95" w:lineRule="exact"/>
        <w:rPr>
          <w:rFonts w:ascii="Arial" w:cs="Arial" w:eastAsia="Arial" w:hAnsi="Arial"/>
          <w:sz w:val="18"/>
          <w:szCs w:val="18"/>
          <w:color w:val="231F20"/>
        </w:rPr>
      </w:pPr>
    </w:p>
    <w:p>
      <w:pPr>
        <w:jc w:val="both"/>
        <w:ind w:left="380" w:right="79" w:hanging="127"/>
        <w:spacing w:after="0" w:line="271"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Our already-granted patents and any future patents may not survive legal challenges to their scope, validity or enforceability, or provide significant protection for us, and they may be re-examined or invalidated, and/or may be found to be unenforceable or not cover competing products.</w:t>
      </w:r>
    </w:p>
    <w:p>
      <w:pPr>
        <w:spacing w:after="0" w:line="95" w:lineRule="exact"/>
        <w:rPr>
          <w:rFonts w:ascii="Arial" w:cs="Arial" w:eastAsia="Arial" w:hAnsi="Arial"/>
          <w:sz w:val="18"/>
          <w:szCs w:val="18"/>
          <w:color w:val="231F20"/>
        </w:rPr>
      </w:pPr>
    </w:p>
    <w:p>
      <w:pPr>
        <w:ind w:left="380" w:right="119" w:hanging="127"/>
        <w:spacing w:after="0" w:line="299" w:lineRule="auto"/>
        <w:tabs>
          <w:tab w:leader="none" w:pos="380" w:val="left"/>
        </w:tabs>
        <w:numPr>
          <w:ilvl w:val="0"/>
          <w:numId w:val="25"/>
        </w:numPr>
        <w:rPr>
          <w:rFonts w:ascii="Arial" w:cs="Arial" w:eastAsia="Arial" w:hAnsi="Arial"/>
          <w:sz w:val="17"/>
          <w:szCs w:val="17"/>
          <w:color w:val="231F20"/>
        </w:rPr>
      </w:pPr>
      <w:r>
        <w:rPr>
          <w:rFonts w:ascii="Arial" w:cs="Arial" w:eastAsia="Arial" w:hAnsi="Arial"/>
          <w:sz w:val="17"/>
          <w:szCs w:val="17"/>
          <w:color w:val="231F20"/>
        </w:rPr>
        <w:t>Though an issued patent is presumed valid and enforceable, it may not be drafted or interpreted sufficiently broadly to prevent others from marketing products and services similar to ours or designing around our patents. For example, third parties may be able to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the freedom to operate unimpeded by the patent rights of others. Third parties may have dominating, blocking or other patents relevant to our technology of which we are not aware. In addition, because patent applications in the U.S.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to issued patents covering such technologies. If another party has filed a U.S. patent application on inventions similar to ours, depending on when the timing of the filing date falls under certain patent laws, we may have to participate in a priority contest (such as an interference proceeding) declared by the U.S. Patent and Trademark Office (the “USPTO”), to determine priority of invention in the U.S. There may be prior public disclosures that could invalidate our inventions or parts of our inventions of which we are not aware. Further, we may not develop additional proprietary technologies and, even if we do, they may not be patentable.</w:t>
      </w:r>
    </w:p>
    <w:p>
      <w:pPr>
        <w:spacing w:after="0" w:line="340" w:lineRule="exact"/>
        <w:rPr>
          <w:rFonts w:ascii="Arial" w:cs="Arial" w:eastAsia="Arial" w:hAnsi="Arial"/>
          <w:sz w:val="17"/>
          <w:szCs w:val="17"/>
          <w:color w:val="231F20"/>
        </w:rPr>
      </w:pPr>
    </w:p>
    <w:p>
      <w:pPr>
        <w:ind w:left="380" w:right="99" w:hanging="127"/>
        <w:spacing w:after="0" w:line="283"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Patent law is constantly evolving, can be highly uncertain and involve complex legal and factual questions for which important principles remain unresolved. In the U.S. and in many foreign jurisdictions, policies regarding the breadth of claims allowed in patents can be inconsistent. We cannot predict future changes in the interpretation of patent laws or changes to patent laws that might be enacted into law by U.S. and foreign legislative bodies. Any changes may materially affect our patents or patent applications, our ability to obtain patents or the patents and patent applications of our licensors. Future protection for our proprietary rights is uncertain because legal means affords only limited protection and may not adequately protect our rights or permit us to gain or keep our competitive advantage, which could adversely affect our financial condition and results of operations.</w:t>
      </w:r>
    </w:p>
    <w:p>
      <w:pPr>
        <w:spacing w:after="0" w:line="98" w:lineRule="exact"/>
        <w:rPr>
          <w:rFonts w:ascii="Arial" w:cs="Arial" w:eastAsia="Arial" w:hAnsi="Arial"/>
          <w:sz w:val="18"/>
          <w:szCs w:val="18"/>
          <w:color w:val="231F20"/>
        </w:rPr>
      </w:pPr>
    </w:p>
    <w:p>
      <w:pPr>
        <w:ind w:left="380" w:right="119" w:hanging="127"/>
        <w:spacing w:after="0" w:line="267"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Monitoring unauthorized uses of our intellectual property is difficult and costly. From time to time, we seek to analyze our competitors’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products. In addition, we may need to defend our patents from third-party challenges, or we may need to initiate infringement claims or litigation. In an infringement proceeding, a court may decide that the patent we seek to enforce is invalid or unenforceable or that the patent in question does not cover the technology at issue. Such an adverse result could place one or</w:t>
      </w:r>
    </w:p>
    <w:p>
      <w:pPr>
        <w:sectPr>
          <w:pgSz w:w="11900" w:h="16838" w:orient="portrait"/>
          <w:cols w:equalWidth="0" w:num="1">
            <w:col w:w="9019"/>
          </w:cols>
          <w:pgMar w:left="1440" w:top="517"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right="259"/>
        <w:spacing w:after="0" w:line="269" w:lineRule="auto"/>
        <w:rPr>
          <w:sz w:val="20"/>
          <w:szCs w:val="20"/>
          <w:color w:val="auto"/>
        </w:rPr>
      </w:pPr>
      <w:r>
        <w:rPr>
          <w:rFonts w:ascii="Arial" w:cs="Arial" w:eastAsia="Arial" w:hAnsi="Arial"/>
          <w:sz w:val="18"/>
          <w:szCs w:val="18"/>
          <w:color w:val="231F20"/>
        </w:rPr>
        <w:t>more of our patents at risk of being invalidated or interpreted narrowly. Our competitors may be able to devote significantly more resources to intellectual property litigation, and may have significantly broader patent portfolios to assert against us. Further, litigation risks exposure of or compromising our confidential information.</w:t>
      </w:r>
    </w:p>
    <w:p>
      <w:pPr>
        <w:spacing w:after="0" w:line="98" w:lineRule="exact"/>
        <w:rPr>
          <w:sz w:val="20"/>
          <w:szCs w:val="20"/>
          <w:color w:val="auto"/>
        </w:rPr>
      </w:pPr>
    </w:p>
    <w:p>
      <w:pPr>
        <w:jc w:val="both"/>
        <w:ind w:left="380" w:right="79" w:hanging="127"/>
        <w:spacing w:after="0" w:line="271" w:lineRule="auto"/>
        <w:tabs>
          <w:tab w:leader="none" w:pos="3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Any litigation or claim can be costly and time consuming and could place a significant strain on our financial resources, divert the attention of management and harm our reputation, which could have an adverse effect on our financial condition and results of operations.</w:t>
      </w:r>
    </w:p>
    <w:p>
      <w:pPr>
        <w:spacing w:after="0" w:line="95" w:lineRule="exact"/>
        <w:rPr>
          <w:rFonts w:ascii="Arial" w:cs="Arial" w:eastAsia="Arial" w:hAnsi="Arial"/>
          <w:sz w:val="18"/>
          <w:szCs w:val="18"/>
          <w:color w:val="231F20"/>
        </w:rPr>
      </w:pPr>
    </w:p>
    <w:p>
      <w:pPr>
        <w:ind w:left="380" w:right="99" w:hanging="127"/>
        <w:spacing w:after="0" w:line="268" w:lineRule="auto"/>
        <w:tabs>
          <w:tab w:leader="none" w:pos="3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We may be forced to enter into cross-license agreements with competitors in order to manufacture, use, sell, import and export products or services that are covered by our competitors’ intellectual property rights. If our intellectual property is required to enter such cross-license agreements, it may compromise the value of our intellectual property due to the fact that our competitors may be able to manufacture, use, sell, import and export our patented technology.</w:t>
      </w:r>
    </w:p>
    <w:p>
      <w:pPr>
        <w:spacing w:after="0" w:line="140" w:lineRule="exact"/>
        <w:rPr>
          <w:sz w:val="20"/>
          <w:szCs w:val="20"/>
          <w:color w:val="auto"/>
        </w:rPr>
      </w:pPr>
    </w:p>
    <w:p>
      <w:pPr>
        <w:ind w:left="60" w:right="1199"/>
        <w:spacing w:after="0" w:line="277" w:lineRule="auto"/>
        <w:rPr>
          <w:sz w:val="20"/>
          <w:szCs w:val="20"/>
          <w:color w:val="auto"/>
        </w:rPr>
      </w:pPr>
      <w:r>
        <w:rPr>
          <w:rFonts w:ascii="Arial" w:cs="Arial" w:eastAsia="Arial" w:hAnsi="Arial"/>
          <w:sz w:val="18"/>
          <w:szCs w:val="18"/>
          <w:color w:val="231F20"/>
        </w:rPr>
        <w:t>For additional information regarding risks related to our intellectual property, see “Risks Related to Intellectual Property.”</w:t>
      </w:r>
    </w:p>
    <w:p>
      <w:pPr>
        <w:spacing w:after="0" w:line="16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89"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any of our key personnel likely would involve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210"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In addition, many of our employees have become or will soon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 Further, our employees’ ability to exercise those options and sell their stock in a public market after the expiration of applicable lock-up agreements may result in a higher-than-normal turnover rate.</w:t>
      </w:r>
    </w:p>
    <w:p>
      <w:pPr>
        <w:spacing w:after="0" w:line="205"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Our future success also depends on our ability to retain executive officers and other key employees and attract new key employees. Many executive officers and employees in the medical device industry are subject to strict non-compete or confidentiality agreements with their employers.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Horizon loan agreement contains restrictions that limit our flexibility in operating our business.</w:t>
      </w:r>
    </w:p>
    <w:p>
      <w:pPr>
        <w:spacing w:after="0" w:line="26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231F20"/>
        </w:rPr>
        <w:t>In September 2019, we entered into the Horizon loan agreement, under which we borrowed $20 million, which is the maximum borrowing under the Horizon loan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99"/>
        <w:spacing w:after="0" w:line="267" w:lineRule="auto"/>
        <w:rPr>
          <w:sz w:val="20"/>
          <w:szCs w:val="20"/>
          <w:color w:val="auto"/>
        </w:rPr>
      </w:pPr>
      <w:r>
        <w:rPr>
          <w:rFonts w:ascii="Arial" w:cs="Arial" w:eastAsia="Arial" w:hAnsi="Arial"/>
          <w:sz w:val="18"/>
          <w:szCs w:val="18"/>
          <w:color w:val="231F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20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31F20"/>
        </w:rPr>
        <w:t>The Horizon loan agreement also contains various covenants that limit our ability to engage in specified types of transactions and take certain actions. Subject to limited exceptions, these covenants limit our ability to, among other things:</w:t>
      </w:r>
    </w:p>
    <w:p>
      <w:pPr>
        <w:spacing w:after="0" w:line="190" w:lineRule="exact"/>
        <w:rPr>
          <w:sz w:val="20"/>
          <w:szCs w:val="20"/>
          <w:color w:val="auto"/>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convey, sell, lease, or otherwise dispose of our assets;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create, incur, assume or permit to exist additional indebtedness or liens;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pay dividends on, repurchase or make distributions with respect to our capital stock;</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make specified investments (including loans and advances);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merge, consolidate or liquidate;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enter into certain transactions with our affiliates.</w:t>
      </w:r>
    </w:p>
    <w:p>
      <w:pPr>
        <w:spacing w:after="0" w:line="11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addition, the Horizon loan agreement contains certain financial covenants, including a minimum U.S. revenue requirement of approximately $5.9 million during the year ended December 31, 2021, approximately $14.6 million during the year ended December 31, 2022 and $5.0 million during each calendar quarter thereafter, as well as certain negative covenants, including a requirement that we not receive a final disapproval letter from the FDA for use of BAROSTIM NEO in certain other HF patients upon our request for additional labeling based upon the results of the post-market stage of our BeAT-HF pivotal trial. The covenants in the Horizon loan agreement may limit our ability to take certain actions and, in the event that we breach one or more covenants, our lender may choose to declare an event of default and require that we immediately repay all amounts outstanding, terminate the commitment to extend further credit and foreclose on the collateral granted to it to secure such indebtedness. The borrowings under the Horizon loan agreement are collateralized by substantially all of our assets, including our intellectual property portfolio.</w:t>
      </w:r>
    </w:p>
    <w:p>
      <w:pPr>
        <w:spacing w:after="0" w:line="159"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203" w:lineRule="exact"/>
        <w:rPr>
          <w:sz w:val="20"/>
          <w:szCs w:val="20"/>
          <w:color w:val="auto"/>
        </w:rPr>
      </w:pPr>
    </w:p>
    <w:p>
      <w:pPr>
        <w:ind w:left="60" w:right="159"/>
        <w:spacing w:after="0" w:line="251" w:lineRule="auto"/>
        <w:rPr>
          <w:sz w:val="20"/>
          <w:szCs w:val="20"/>
          <w:color w:val="auto"/>
        </w:rPr>
      </w:pPr>
      <w:r>
        <w:rPr>
          <w:rFonts w:ascii="Arial" w:cs="Arial" w:eastAsia="Arial" w:hAnsi="Arial"/>
          <w:sz w:val="18"/>
          <w:szCs w:val="18"/>
          <w:color w:val="231F20"/>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have taken to prevent breakdowns in our information technology and telephone systems, if our systems suffer severe damage, disruption or shutdown and we are unable to effectively resolve the issues in a timely manner, our business and operating results may suffer.</w:t>
      </w:r>
    </w:p>
    <w:p>
      <w:pPr>
        <w:sectPr>
          <w:pgSz w:w="11900" w:h="16838" w:orient="portrait"/>
          <w:cols w:equalWidth="0" w:num="1">
            <w:col w:w="9019"/>
          </w:cols>
          <w:pgMar w:left="1440" w:top="517" w:right="1440"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 to understand what people with HF are seeking in a treatment, we may not be able to increase our revenue or achieve profitability.</w:t>
      </w:r>
    </w:p>
    <w:p>
      <w:pPr>
        <w:spacing w:after="0" w:line="203" w:lineRule="exact"/>
        <w:rPr>
          <w:sz w:val="20"/>
          <w:szCs w:val="20"/>
          <w:color w:val="auto"/>
        </w:rPr>
      </w:pPr>
    </w:p>
    <w:p>
      <w:pPr>
        <w:ind w:left="60" w:right="159"/>
        <w:spacing w:after="0" w:line="251" w:lineRule="auto"/>
        <w:rPr>
          <w:sz w:val="20"/>
          <w:szCs w:val="20"/>
          <w:color w:val="auto"/>
        </w:rPr>
      </w:pPr>
      <w:r>
        <w:rPr>
          <w:rFonts w:ascii="Arial" w:cs="Arial" w:eastAsia="Arial" w:hAnsi="Arial"/>
          <w:sz w:val="18"/>
          <w:szCs w:val="18"/>
          <w:color w:val="231F20"/>
        </w:rPr>
        <w:t>Our business strategy was developed based on a number of important assumptions about the HF market in general, any one or more of which may prove to be inaccurate. For example, we believe that the benefits of BAROSTIM NEO as compared to other common HF devices will continue to drive growth in the market for BAROSTIM NEO. Despite our review of studies reporting on the trends of HF incidence in the U.S., the actual incidence of HF, and the actual demand for our product or competitive products, could differ materially from our expectations. In addition, our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 reduce the need for heart disease therapy. Moreover, a percentage of our indicated patients may be ineligible to undergo a BAROSTIM NEO procedure if they have certain co-morbidities or other disqualifying factors as determined by their physicians.</w:t>
      </w:r>
    </w:p>
    <w:p>
      <w:pPr>
        <w:spacing w:after="0" w:line="211" w:lineRule="exact"/>
        <w:rPr>
          <w:sz w:val="20"/>
          <w:szCs w:val="20"/>
          <w:color w:val="auto"/>
        </w:rPr>
      </w:pPr>
    </w:p>
    <w:p>
      <w:pPr>
        <w:ind w:left="60" w:right="59"/>
        <w:spacing w:after="0" w:line="251" w:lineRule="auto"/>
        <w:rPr>
          <w:sz w:val="20"/>
          <w:szCs w:val="20"/>
          <w:color w:val="auto"/>
        </w:rPr>
      </w:pPr>
      <w:r>
        <w:rPr>
          <w:rFonts w:ascii="Arial" w:cs="Arial" w:eastAsia="Arial" w:hAnsi="Arial"/>
          <w:sz w:val="18"/>
          <w:szCs w:val="18"/>
          <w:color w:val="231F20"/>
        </w:rPr>
        <w:t>Our estimates of the annual total addressable market for BAROSTIM NEO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BAROSTIM NEO may prove to be incorrect. If the actual number of patients who would benefit from our product, the price at which we can sell our product, or the annual total addressable market for our product is smaller than we have estimated, it may impair our sales growth and have an adverse impact on our business.</w:t>
      </w:r>
    </w:p>
    <w:p>
      <w:pPr>
        <w:spacing w:after="0" w:line="176" w:lineRule="exact"/>
        <w:rPr>
          <w:sz w:val="20"/>
          <w:szCs w:val="20"/>
          <w:color w:val="auto"/>
        </w:rPr>
      </w:pPr>
    </w:p>
    <w:p>
      <w:pPr>
        <w:ind w:left="60" w:right="559"/>
        <w:spacing w:after="0" w:line="256" w:lineRule="auto"/>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88"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Our results of operations could be adversely affected by general conditions in the global economy and in the global financial markets. For example, the global financial crisis caused extreme volatility and disruptions in the capital and credit markets and, more recently, the global COVID-19 pandemic caused, in addition to disruptions in the capital and credit markets, severe supply shortages and reduced hospital and clinical visits due to temporary shutdowns under federal, state and local mandates. A severe or prolonged economic downturn, such as the global financial crisis and COVID-19 pandemic, has resulted in and could continue to result in a variety of risks to our business, including weakened demand for BAROSTIM NEO, a delayed time to meet clinical endpoints and our ability to raise additional capital when needed on acceptable terms, if at all. A weak or declining economy has strained and could continue to strain our manufacturers or suppliers, resulting in supply disruption, or causing our customers to delay making payments for our services. Certain of the foregoing could have harmed and could in the future harm our business and we cannot anticipate all of the ways in which the economic climate and financial market conditions may further affect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204"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8"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20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231F20"/>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90" w:lineRule="exact"/>
        <w:rPr>
          <w:sz w:val="20"/>
          <w:szCs w:val="20"/>
          <w:color w:val="auto"/>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increased legal and accounting costs relating to the acquisitions or compliance with regulatory matters.</w:t>
      </w:r>
    </w:p>
    <w:p>
      <w:pPr>
        <w:spacing w:after="0" w:line="158" w:lineRule="exact"/>
        <w:rPr>
          <w:sz w:val="20"/>
          <w:szCs w:val="20"/>
          <w:color w:val="auto"/>
        </w:rPr>
      </w:pPr>
    </w:p>
    <w:p>
      <w:pPr>
        <w:ind w:left="60" w:right="179"/>
        <w:spacing w:after="0" w:line="268" w:lineRule="auto"/>
        <w:rPr>
          <w:sz w:val="20"/>
          <w:szCs w:val="20"/>
          <w:color w:val="auto"/>
        </w:rPr>
      </w:pPr>
      <w:r>
        <w:rPr>
          <w:rFonts w:ascii="Arial" w:cs="Arial" w:eastAsia="Arial" w:hAnsi="Arial"/>
          <w:sz w:val="18"/>
          <w:szCs w:val="18"/>
          <w:color w:val="231F20"/>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 ability to execute our business strategies. In addition, any amortization or charges resulting from the costs of acquisitions could increase our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time consuming, and ultimately unsuccessful, and could result in the diversion of significant resources, and hinder our ability to commercialize our existing or future products.</w:t>
      </w:r>
    </w:p>
    <w:p>
      <w:pPr>
        <w:spacing w:after="0" w:line="209"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device industry. Whether merited or not, it is possible that third parties controlling U.S. and foreign patents allege such patents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213" w:lineRule="exact"/>
        <w:rPr>
          <w:sz w:val="20"/>
          <w:szCs w:val="20"/>
          <w:color w:val="auto"/>
        </w:rPr>
      </w:pPr>
    </w:p>
    <w:p>
      <w:pPr>
        <w:ind w:left="60" w:right="159"/>
        <w:spacing w:after="0" w:line="303" w:lineRule="auto"/>
        <w:rPr>
          <w:sz w:val="20"/>
          <w:szCs w:val="20"/>
          <w:color w:val="auto"/>
        </w:rPr>
      </w:pPr>
      <w:r>
        <w:rPr>
          <w:rFonts w:ascii="Arial" w:cs="Arial" w:eastAsia="Arial" w:hAnsi="Arial"/>
          <w:sz w:val="17"/>
          <w:szCs w:val="17"/>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93" w:lineRule="exact"/>
        <w:rPr>
          <w:sz w:val="20"/>
          <w:szCs w:val="20"/>
          <w:color w:val="auto"/>
        </w:rPr>
      </w:pPr>
    </w:p>
    <w:p>
      <w:pPr>
        <w:ind w:left="60" w:right="319"/>
        <w:spacing w:after="0" w:line="287"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89" w:lineRule="exact"/>
        <w:rPr>
          <w:sz w:val="20"/>
          <w:szCs w:val="20"/>
          <w:color w:val="auto"/>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8"/>
          <w:szCs w:val="18"/>
          <w:color w:val="231F20"/>
        </w:rPr>
      </w:pPr>
    </w:p>
    <w:p>
      <w:pPr>
        <w:ind w:left="540" w:right="679" w:hanging="139"/>
        <w:spacing w:after="0" w:line="287"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8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8"/>
          <w:szCs w:val="18"/>
          <w:color w:val="231F20"/>
        </w:rPr>
      </w:pPr>
    </w:p>
    <w:p>
      <w:pPr>
        <w:ind w:left="540" w:right="319" w:hanging="139"/>
        <w:spacing w:after="0" w:line="29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88" w:lineRule="exact"/>
        <w:rPr>
          <w:rFonts w:ascii="Arial" w:cs="Arial" w:eastAsia="Arial" w:hAnsi="Arial"/>
          <w:sz w:val="18"/>
          <w:szCs w:val="18"/>
          <w:color w:val="231F20"/>
        </w:rPr>
      </w:pPr>
    </w:p>
    <w:p>
      <w:pPr>
        <w:ind w:left="540" w:right="239" w:hanging="139"/>
        <w:spacing w:after="0" w:line="29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88" w:lineRule="exact"/>
        <w:rPr>
          <w:rFonts w:ascii="Arial" w:cs="Arial" w:eastAsia="Arial" w:hAnsi="Arial"/>
          <w:sz w:val="18"/>
          <w:szCs w:val="18"/>
          <w:color w:val="231F20"/>
        </w:rPr>
      </w:pPr>
    </w:p>
    <w:p>
      <w:pPr>
        <w:ind w:left="540" w:right="539" w:hanging="139"/>
        <w:spacing w:after="0" w:line="29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159" w:hanging="139"/>
        <w:spacing w:after="0" w:line="27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find non-infringing substitute products, which could be costly and create significant delay due to the need for FDA regulatory clearance;</w:t>
      </w:r>
    </w:p>
    <w:p>
      <w:pPr>
        <w:spacing w:after="0" w:line="89"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or</w:t>
      </w:r>
    </w:p>
    <w:p>
      <w:pPr>
        <w:spacing w:after="0" w:line="89" w:lineRule="exact"/>
        <w:rPr>
          <w:rFonts w:ascii="Arial" w:cs="Arial" w:eastAsia="Arial" w:hAnsi="Arial"/>
          <w:sz w:val="18"/>
          <w:szCs w:val="18"/>
          <w:color w:val="231F20"/>
        </w:rPr>
      </w:pPr>
    </w:p>
    <w:p>
      <w:pPr>
        <w:ind w:left="540" w:right="399" w:hanging="139"/>
        <w:spacing w:after="0" w:line="27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redesign those products or processes that infringe any third-party intellectual property, which could be costly, disruptive or infeasible.</w:t>
      </w:r>
    </w:p>
    <w:p>
      <w:pPr>
        <w:spacing w:after="0" w:line="89" w:lineRule="exact"/>
        <w:rPr>
          <w:sz w:val="20"/>
          <w:szCs w:val="20"/>
          <w:color w:val="auto"/>
        </w:rPr>
      </w:pPr>
    </w:p>
    <w:p>
      <w:pPr>
        <w:ind w:left="60" w:right="219"/>
        <w:spacing w:after="0" w:line="268" w:lineRule="auto"/>
        <w:rPr>
          <w:sz w:val="20"/>
          <w:szCs w:val="20"/>
          <w:color w:val="auto"/>
        </w:rPr>
      </w:pPr>
      <w:r>
        <w:rPr>
          <w:rFonts w:ascii="Arial" w:cs="Arial" w:eastAsia="Arial" w:hAnsi="Arial"/>
          <w:sz w:val="18"/>
          <w:szCs w:val="18"/>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20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231F20"/>
        </w:rPr>
        <w:t>Finally, any uncertainties resulting from the initiation and continuation of any litigation could have a material adverse effect on our ability to raise the funds necessary to continue our operations.</w:t>
      </w:r>
    </w:p>
    <w:p>
      <w:pPr>
        <w:spacing w:after="0" w:line="197" w:lineRule="exact"/>
        <w:rPr>
          <w:sz w:val="20"/>
          <w:szCs w:val="20"/>
          <w:color w:val="auto"/>
        </w:rPr>
      </w:pPr>
    </w:p>
    <w:p>
      <w:pPr>
        <w:ind w:left="60" w:right="179"/>
        <w:spacing w:after="0" w:line="268"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claims against us increases.</w:t>
      </w:r>
    </w:p>
    <w:p>
      <w:pPr>
        <w:spacing w:after="0" w:line="205"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209"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Similarly, interference or derivation proceedings provoked by third parties or brought by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89" w:lineRule="exact"/>
        <w:rPr>
          <w:sz w:val="20"/>
          <w:szCs w:val="20"/>
          <w:color w:val="auto"/>
        </w:rPr>
      </w:pPr>
    </w:p>
    <w:p>
      <w:pPr>
        <w:ind w:left="60" w:right="79"/>
        <w:spacing w:after="0" w:line="283" w:lineRule="auto"/>
        <w:rPr>
          <w:sz w:val="20"/>
          <w:szCs w:val="20"/>
          <w:color w:val="auto"/>
        </w:rPr>
      </w:pPr>
      <w:r>
        <w:rPr>
          <w:rFonts w:ascii="Arial" w:cs="Arial" w:eastAsia="Arial" w:hAnsi="Arial"/>
          <w:sz w:val="17"/>
          <w:szCs w:val="17"/>
          <w:color w:val="231F20"/>
        </w:rPr>
        <w:t>Recent 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2" w:lineRule="exact"/>
        <w:rPr>
          <w:sz w:val="20"/>
          <w:szCs w:val="20"/>
          <w:color w:val="auto"/>
        </w:rPr>
      </w:pPr>
    </w:p>
    <w:p>
      <w:pPr>
        <w:ind w:left="60" w:right="639"/>
        <w:spacing w:after="0" w:line="324" w:lineRule="auto"/>
        <w:rPr>
          <w:sz w:val="20"/>
          <w:szCs w:val="20"/>
          <w:color w:val="auto"/>
        </w:rPr>
      </w:pPr>
      <w:r>
        <w:rPr>
          <w:rFonts w:ascii="Arial" w:cs="Arial" w:eastAsia="Arial" w:hAnsi="Arial"/>
          <w:sz w:val="17"/>
          <w:szCs w:val="17"/>
          <w:color w:val="231F20"/>
        </w:rPr>
        <w:t>In addition, patent reform legislation may pass in the future that could lead to additional uncertainties and increased costs surrounding the prosecution, enforcement and defense of our patents and applications.</w:t>
      </w:r>
    </w:p>
    <w:p>
      <w:pPr>
        <w:spacing w:after="0" w:line="174" w:lineRule="exact"/>
        <w:rPr>
          <w:sz w:val="20"/>
          <w:szCs w:val="20"/>
          <w:color w:val="auto"/>
        </w:rPr>
      </w:pPr>
    </w:p>
    <w:p>
      <w:pPr>
        <w:ind w:left="60" w:right="239"/>
        <w:spacing w:after="0" w:line="285" w:lineRule="auto"/>
        <w:rPr>
          <w:sz w:val="20"/>
          <w:szCs w:val="20"/>
          <w:color w:val="auto"/>
        </w:rPr>
      </w:pPr>
      <w:r>
        <w:rPr>
          <w:rFonts w:ascii="Arial" w:cs="Arial" w:eastAsia="Arial" w:hAnsi="Arial"/>
          <w:sz w:val="18"/>
          <w:szCs w:val="18"/>
          <w:color w:val="231F20"/>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6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7" w:lineRule="exact"/>
        <w:rPr>
          <w:sz w:val="20"/>
          <w:szCs w:val="20"/>
          <w:color w:val="auto"/>
        </w:rPr>
      </w:pPr>
    </w:p>
    <w:p>
      <w:pPr>
        <w:ind w:left="60" w:right="119"/>
        <w:spacing w:after="0" w:line="282" w:lineRule="auto"/>
        <w:rPr>
          <w:sz w:val="20"/>
          <w:szCs w:val="20"/>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74" w:lineRule="exact"/>
        <w:rPr>
          <w:sz w:val="20"/>
          <w:szCs w:val="20"/>
          <w:color w:val="auto"/>
        </w:rPr>
      </w:pPr>
    </w:p>
    <w:p>
      <w:pPr>
        <w:ind w:left="60" w:right="99"/>
        <w:spacing w:after="0" w:line="283"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207" w:lineRule="exact"/>
        <w:rPr>
          <w:sz w:val="20"/>
          <w:szCs w:val="20"/>
          <w:color w:val="auto"/>
        </w:rPr>
      </w:pPr>
    </w:p>
    <w:p>
      <w:pPr>
        <w:ind w:left="60" w:right="79"/>
        <w:spacing w:after="0" w:line="283" w:lineRule="auto"/>
        <w:rPr>
          <w:sz w:val="20"/>
          <w:szCs w:val="20"/>
          <w:color w:val="auto"/>
        </w:rPr>
      </w:pPr>
      <w:r>
        <w:rPr>
          <w:rFonts w:ascii="Arial" w:cs="Arial" w:eastAsia="Arial" w:hAnsi="Arial"/>
          <w:sz w:val="18"/>
          <w:szCs w:val="18"/>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7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204"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 and a 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89"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87" w:lineRule="exact"/>
        <w:rPr>
          <w:sz w:val="20"/>
          <w:szCs w:val="20"/>
          <w:color w:val="auto"/>
        </w:rPr>
      </w:pPr>
    </w:p>
    <w:p>
      <w:pPr>
        <w:ind w:left="60" w:right="779"/>
        <w:spacing w:after="0" w:line="303"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r>
        <w:rPr>
          <w:rFonts w:ascii="Arial" w:cs="Arial" w:eastAsia="Arial" w:hAnsi="Arial"/>
          <w:sz w:val="18"/>
          <w:szCs w:val="18"/>
          <w:i w:val="1"/>
          <w:iCs w:val="1"/>
          <w:color w:val="231F20"/>
        </w:rPr>
        <w:t>.</w:t>
      </w:r>
    </w:p>
    <w:p>
      <w:pPr>
        <w:spacing w:after="0" w:line="174"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207"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 be adversely affected. If our intellectual property is not adequately protected to protect our market against competitors’ products and methods, our competitive position and business could be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198" w:lineRule="exact"/>
        <w:rPr>
          <w:sz w:val="20"/>
          <w:szCs w:val="20"/>
          <w:color w:val="auto"/>
        </w:rPr>
      </w:pPr>
    </w:p>
    <w:p>
      <w:pPr>
        <w:ind w:left="60" w:right="359"/>
        <w:spacing w:after="0" w:line="256"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201" w:lineRule="exact"/>
        <w:rPr>
          <w:sz w:val="20"/>
          <w:szCs w:val="20"/>
          <w:color w:val="auto"/>
        </w:rPr>
      </w:pPr>
    </w:p>
    <w:p>
      <w:pPr>
        <w:ind w:left="60" w:right="139"/>
        <w:spacing w:after="0" w:line="266" w:lineRule="auto"/>
        <w:rPr>
          <w:sz w:val="20"/>
          <w:szCs w:val="20"/>
          <w:color w:val="auto"/>
        </w:rPr>
      </w:pPr>
      <w:r>
        <w:rPr>
          <w:rFonts w:ascii="Arial" w:cs="Arial" w:eastAsia="Arial" w:hAnsi="Arial"/>
          <w:sz w:val="18"/>
          <w:szCs w:val="18"/>
          <w:color w:val="231F20"/>
        </w:rPr>
        <w:t>Our operations have consumed substantial amounts of cash since inception, and we anticipate our expenses will increase as we build a commercial sales force in the U.S., investigate the potential use of BAROSTIM NEO for the treatment of other HF conditions, continue to grow our business, and transition to operating as a public company. We believe that our growth will depend, in part, on our ability to fund our commercialization and R&amp;D efforts. We believe that the net proceeds from the IPO, together with our existing cash, cash equivalents, short-term investments and revenue will be sufficient to meet our capital requirements and fund our operations for at least 12 months.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six months ended June 30, 2021 and 2020, net cash used in operating activities was $11.5 million and $6.9 million, respectively. Our cash requirements in the future may be significantly different from our current estimates and depend on many factors, including, among others:</w:t>
      </w:r>
    </w:p>
    <w:p>
      <w:pPr>
        <w:spacing w:after="0" w:line="204" w:lineRule="exact"/>
        <w:rPr>
          <w:sz w:val="20"/>
          <w:szCs w:val="20"/>
          <w:color w:val="auto"/>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scope and timing of our investment in our U.S. commercial infrastructure and sales force;</w:t>
      </w:r>
    </w:p>
    <w:p>
      <w:pPr>
        <w:spacing w:after="0" w:line="117" w:lineRule="exact"/>
        <w:rPr>
          <w:rFonts w:ascii="Arial" w:cs="Arial" w:eastAsia="Arial" w:hAnsi="Arial"/>
          <w:sz w:val="18"/>
          <w:szCs w:val="18"/>
          <w:color w:val="231F20"/>
        </w:rPr>
      </w:pPr>
    </w:p>
    <w:p>
      <w:pPr>
        <w:ind w:left="540" w:right="979" w:hanging="139"/>
        <w:spacing w:after="0" w:line="277"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 and hiring a direct sales and marketing team in the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NEO;</w:t>
      </w:r>
    </w:p>
    <w:p>
      <w:pPr>
        <w:spacing w:after="0" w:line="103" w:lineRule="exact"/>
        <w:rPr>
          <w:rFonts w:ascii="Arial" w:cs="Arial" w:eastAsia="Arial" w:hAnsi="Arial"/>
          <w:sz w:val="18"/>
          <w:szCs w:val="18"/>
          <w:color w:val="231F20"/>
        </w:rPr>
      </w:pPr>
    </w:p>
    <w:p>
      <w:pPr>
        <w:ind w:left="540" w:right="579" w:hanging="139"/>
        <w:spacing w:after="0" w:line="246"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R&amp;D activities we intend to undertake in order to pursue product enhancements and expand HF indications;</w:t>
      </w:r>
    </w:p>
    <w:p>
      <w:pPr>
        <w:spacing w:after="0" w:line="102" w:lineRule="exact"/>
        <w:rPr>
          <w:rFonts w:ascii="Arial" w:cs="Arial" w:eastAsia="Arial" w:hAnsi="Arial"/>
          <w:sz w:val="18"/>
          <w:szCs w:val="18"/>
          <w:color w:val="231F20"/>
        </w:rPr>
      </w:pPr>
    </w:p>
    <w:p>
      <w:pPr>
        <w:ind w:left="540" w:right="219" w:hanging="139"/>
        <w:spacing w:after="0" w:line="277"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sz w:val="20"/>
          <w:szCs w:val="20"/>
          <w:color w:val="auto"/>
        </w:rPr>
      </w:pPr>
    </w:p>
    <w:p>
      <w:pPr>
        <w:jc w:val="both"/>
        <w:ind w:left="60" w:right="399"/>
        <w:spacing w:after="0" w:line="271" w:lineRule="auto"/>
        <w:rPr>
          <w:sz w:val="20"/>
          <w:szCs w:val="20"/>
          <w:color w:val="auto"/>
        </w:rPr>
      </w:pPr>
      <w:r>
        <w:rPr>
          <w:rFonts w:ascii="Arial" w:cs="Arial" w:eastAsia="Arial" w:hAnsi="Arial"/>
          <w:sz w:val="18"/>
          <w:szCs w:val="18"/>
          <w:color w:val="231F20"/>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203"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will be adversely affected.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20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231F20"/>
        </w:rPr>
        <w:t>Our revenue and results of operations may fluctuate annually or from quarter to quarter due to, among others, the following reasons:</w:t>
      </w:r>
    </w:p>
    <w:p>
      <w:pPr>
        <w:spacing w:after="0" w:line="184" w:lineRule="exact"/>
        <w:rPr>
          <w:sz w:val="20"/>
          <w:szCs w:val="20"/>
          <w:color w:val="auto"/>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physician and payor acceptance of BAROSTIM NEO and our BAROSTIM Therapy;</w:t>
      </w:r>
    </w:p>
    <w:p>
      <w:pPr>
        <w:spacing w:after="0" w:line="103" w:lineRule="exact"/>
        <w:rPr>
          <w:rFonts w:ascii="Arial" w:cs="Arial" w:eastAsia="Arial" w:hAnsi="Arial"/>
          <w:sz w:val="18"/>
          <w:szCs w:val="18"/>
          <w:color w:val="231F20"/>
        </w:rPr>
      </w:pPr>
    </w:p>
    <w:p>
      <w:pPr>
        <w:ind w:left="540" w:right="599" w:hanging="139"/>
        <w:spacing w:after="0" w:line="246"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timing, expense and results of research and development activities, clinical trials and regulatory approvals;</w:t>
      </w:r>
    </w:p>
    <w:p>
      <w:pPr>
        <w:spacing w:after="0" w:line="102" w:lineRule="exact"/>
        <w:rPr>
          <w:rFonts w:ascii="Arial" w:cs="Arial" w:eastAsia="Arial" w:hAnsi="Arial"/>
          <w:sz w:val="18"/>
          <w:szCs w:val="18"/>
          <w:color w:val="231F20"/>
        </w:rPr>
      </w:pPr>
    </w:p>
    <w:p>
      <w:pPr>
        <w:ind w:left="540" w:right="1579" w:hanging="139"/>
        <w:spacing w:after="0" w:line="277"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fluctuations in our expenses associated with expanding our commercial operations and operating as a public company;</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changes in coverage amounts or government and third-party payors’ reimbursement policies.</w:t>
      </w:r>
    </w:p>
    <w:p>
      <w:pPr>
        <w:spacing w:after="0" w:line="18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231F20"/>
        </w:rPr>
        <w:t>Because of these and other factors, it is possible that our operating results will not meet investor expectations or those of public market analysts.</w:t>
      </w:r>
    </w:p>
    <w:p>
      <w:pPr>
        <w:spacing w:after="0" w:line="197"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231F20"/>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81" w:lineRule="exact"/>
        <w:rPr>
          <w:sz w:val="20"/>
          <w:szCs w:val="20"/>
          <w:color w:val="auto"/>
        </w:rPr>
      </w:pPr>
    </w:p>
    <w:p>
      <w:pPr>
        <w:ind w:left="60" w:right="219"/>
        <w:spacing w:after="0" w:line="303"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74" w:lineRule="exact"/>
        <w:rPr>
          <w:sz w:val="20"/>
          <w:szCs w:val="20"/>
          <w:color w:val="auto"/>
        </w:rPr>
      </w:pPr>
    </w:p>
    <w:p>
      <w:pPr>
        <w:ind w:left="60" w:right="179"/>
        <w:spacing w:after="0" w:line="287" w:lineRule="auto"/>
        <w:rPr>
          <w:sz w:val="20"/>
          <w:szCs w:val="20"/>
          <w:color w:val="auto"/>
        </w:rPr>
      </w:pPr>
      <w:r>
        <w:rPr>
          <w:rFonts w:ascii="Arial" w:cs="Arial" w:eastAsia="Arial" w:hAnsi="Arial"/>
          <w:sz w:val="17"/>
          <w:szCs w:val="17"/>
          <w:color w:val="231F20"/>
        </w:rPr>
        <w:t>Our product consists of a substantial number of individual components. In order to market and sell BAROSTIM NEO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68" w:lineRule="exact"/>
        <w:rPr>
          <w:sz w:val="20"/>
          <w:szCs w:val="20"/>
          <w:color w:val="auto"/>
        </w:rPr>
      </w:pPr>
    </w:p>
    <w:p>
      <w:pPr>
        <w:ind w:left="60" w:right="359"/>
        <w:spacing w:after="0" w:line="303"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We expect that any revenue we generate could fluctuate from quarter to quarter as a result of timing and seasonality. We anticipate mild seasonality based on national holiday patterns specific to certain nations. These seasonal variations are difficult to predict accurately, may vary amongst different markets, and at times may be entirely unpredictable. In addition to the above factors, in the U.S. it is possible that we may experience seasonality based on patients’ annual deductibility limits under their health insurance coverage. While historically seasonality has been minimal, we anticipate increased seasonality due to our increased focus on sales within the U.S. These seasonal variations are difficult to predict accurately, may vary amongst different markets and at times may be entirely unpredictable, which introduces additional risk into our business as we rely upon forecasts of customer demand to build inventory in advance of anticipated sales. In addition, we believe our limited history commercializing our products has, in part, made our seasonal patterns more difficult to discern and therefore predict.</w:t>
      </w:r>
    </w:p>
    <w:p>
      <w:pPr>
        <w:spacing w:after="0" w:line="186" w:lineRule="exact"/>
        <w:rPr>
          <w:sz w:val="20"/>
          <w:szCs w:val="20"/>
          <w:color w:val="auto"/>
        </w:rPr>
      </w:pPr>
    </w:p>
    <w:p>
      <w:pPr>
        <w:ind w:left="60" w:right="859"/>
        <w:spacing w:after="0" w:line="303"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74"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A portion of our current business is located outside the U.S. and, as a result, we generate revenue and incur expenses denominated in currencies other than the U.S. dollar, a majority of which is denominated in Euros. In 2019 and 2020, a majority of our total revenue was denominated in foreign currencies. As a result, changes in the exchange rates between such foreign currencies, particularly the Euro and the U.S. dollar, could materially impact our reported results of operations and distort period to period 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85" w:lineRule="exact"/>
        <w:rPr>
          <w:sz w:val="20"/>
          <w:szCs w:val="20"/>
          <w:color w:val="auto"/>
        </w:rPr>
      </w:pPr>
    </w:p>
    <w:p>
      <w:pPr>
        <w:ind w:left="60" w:right="79"/>
        <w:spacing w:after="0" w:line="284"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92" w:lineRule="exact"/>
        <w:rPr>
          <w:sz w:val="20"/>
          <w:szCs w:val="20"/>
          <w:color w:val="auto"/>
        </w:rPr>
      </w:pPr>
    </w:p>
    <w:p>
      <w:pPr>
        <w:ind w:left="60" w:right="99"/>
        <w:spacing w:after="0" w:line="284" w:lineRule="auto"/>
        <w:rPr>
          <w:sz w:val="20"/>
          <w:szCs w:val="20"/>
          <w:color w:val="auto"/>
        </w:rPr>
      </w:pPr>
      <w:r>
        <w:rPr>
          <w:rFonts w:ascii="Arial" w:cs="Arial" w:eastAsia="Arial" w:hAnsi="Arial"/>
          <w:sz w:val="17"/>
          <w:szCs w:val="17"/>
          <w:color w:val="231F20"/>
        </w:rPr>
        <w:t>We have generated and expect to continue to generate significant federal and state NOLs and tax credit carryforwards. As of December 31, 2020, we had federal and state NOL carryforwards of approximately $296.1 million and $88.0 million, respectively. The federal NOLs begin to expire in 2021 and state NOLs began expiring in 2020. As of December 31, 2020, we had federal and state tax credit carryforwards of approximately $8.6 million and $1.5 million, respectively. The federal and state tax credit carryforwards begin to expire in 2021 and 2028, respectively. These NOL and tax credit carryforwards could expire unused and be unavailable to offset future income tax liabilities. Under the legislation enacted on December 22, 2017 commonly referred to as the “Tax Cuts and Jobs Act” (the “TCJA”), as modified by the Coronavirus Aid, Relief, and Economic Security Act (the “CARES Act”), federal NOLs incurred in taxable years beginning after December 31, 2017 may be carried forward indefinitely, but the deductibility of such federal NOLs incurred in taxable years beginning after December 31, 2020 is limited. It is uncertain how various states will respond to the TCJA and the CARES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In addition, under Sections 382 and 383 of the U.S. Internal Revenue Code of 1986, as amended (the “Code”), a corporation that undergoes an “ownership change” is subject to limitations on its ability to utilize its pre-change NOL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86" w:lineRule="exact"/>
        <w:rPr>
          <w:sz w:val="20"/>
          <w:szCs w:val="20"/>
          <w:color w:val="auto"/>
        </w:rPr>
      </w:pPr>
    </w:p>
    <w:p>
      <w:pPr>
        <w:ind w:left="60" w:right="439"/>
        <w:spacing w:after="0" w:line="303"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74"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We are subject to income and/or non-income taxes in the U.S., Switzerland, Italy,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pacing w:after="0" w:line="210"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231F20"/>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operations and future cash flow.</w:t>
      </w:r>
    </w:p>
    <w:p>
      <w:pPr>
        <w:spacing w:after="0" w:line="183" w:lineRule="exact"/>
        <w:rPr>
          <w:sz w:val="20"/>
          <w:szCs w:val="20"/>
          <w:color w:val="auto"/>
        </w:rPr>
      </w:pPr>
    </w:p>
    <w:p>
      <w:pPr>
        <w:ind w:left="60" w:right="539"/>
        <w:spacing w:after="0" w:line="303"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74"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generate sufficient cash to service our Horizon loan agreement.</w:t>
      </w:r>
    </w:p>
    <w:p>
      <w:pPr>
        <w:spacing w:after="0" w:line="261"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As of June 30, 2021, the aggregate principal amount outstanding under our Horizon loan agreement was $20.0 million. Our ability to make scheduled payments or to refinance our debt obligations depends on numerous factors, including the amount of our cash reserves and our actual and projected financial and operating performance. These amounts and our performance are subject to numerous risks, including the risks in this section,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be certain that we would be able to take any of these actions, or that these actions would permit us to meet our scheduled debt service obligations. In addition, in the event of our breach of our Horizon loan agreement, we may be required to repay any outstanding amounts earlier than anticipated.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5" w:lineRule="exact"/>
        <w:rPr>
          <w:sz w:val="20"/>
          <w:szCs w:val="20"/>
          <w:color w:val="auto"/>
        </w:rPr>
      </w:pPr>
    </w:p>
    <w:p>
      <w:pPr>
        <w:ind w:left="60" w:right="799"/>
        <w:spacing w:after="0" w:line="303" w:lineRule="auto"/>
        <w:rPr>
          <w:sz w:val="20"/>
          <w:szCs w:val="20"/>
          <w:color w:val="auto"/>
        </w:rPr>
      </w:pPr>
      <w:r>
        <w:rPr>
          <w:rFonts w:ascii="Arial" w:cs="Arial" w:eastAsia="Arial" w:hAnsi="Arial"/>
          <w:sz w:val="18"/>
          <w:szCs w:val="18"/>
          <w:b w:val="1"/>
          <w:bCs w:val="1"/>
          <w:i w:val="1"/>
          <w:iCs w:val="1"/>
          <w:color w:val="231F20"/>
        </w:rPr>
        <w:t>BAROSTIM NEO is subject to extensive governmental regulation, and our failure to comply with applicable requirements could cause our business to suffer.</w:t>
      </w:r>
    </w:p>
    <w:p>
      <w:pPr>
        <w:spacing w:after="0" w:line="174" w:lineRule="exact"/>
        <w:rPr>
          <w:sz w:val="20"/>
          <w:szCs w:val="20"/>
          <w:color w:val="auto"/>
        </w:rPr>
      </w:pPr>
    </w:p>
    <w:p>
      <w:pPr>
        <w:ind w:left="60" w:right="199"/>
        <w:spacing w:after="0" w:line="269" w:lineRule="auto"/>
        <w:rPr>
          <w:sz w:val="20"/>
          <w:szCs w:val="20"/>
          <w:color w:val="auto"/>
        </w:rPr>
      </w:pPr>
      <w:r>
        <w:rPr>
          <w:rFonts w:ascii="Arial" w:cs="Arial" w:eastAsia="Arial" w:hAnsi="Arial"/>
          <w:sz w:val="18"/>
          <w:szCs w:val="18"/>
          <w:color w:val="231F20"/>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93" w:lineRule="exact"/>
        <w:rPr>
          <w:sz w:val="20"/>
          <w:szCs w:val="20"/>
          <w:color w:val="auto"/>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recalls and other field safety corrective actions;</w:t>
      </w:r>
    </w:p>
    <w:p>
      <w:pPr>
        <w:spacing w:after="0" w:line="117" w:lineRule="exact"/>
        <w:rPr>
          <w:rFonts w:ascii="Arial" w:cs="Arial" w:eastAsia="Arial" w:hAnsi="Arial"/>
          <w:sz w:val="18"/>
          <w:szCs w:val="18"/>
          <w:color w:val="231F20"/>
        </w:rPr>
      </w:pPr>
    </w:p>
    <w:p>
      <w:pPr>
        <w:ind w:left="540" w:right="379" w:hanging="139"/>
        <w:spacing w:after="0" w:line="277"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product import and export.</w:t>
      </w:r>
    </w:p>
    <w:p>
      <w:pPr>
        <w:spacing w:after="0" w:line="144"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88" w:lineRule="auto"/>
        <w:rPr>
          <w:sz w:val="20"/>
          <w:szCs w:val="20"/>
          <w:color w:val="auto"/>
        </w:rPr>
      </w:pPr>
      <w:r>
        <w:rPr>
          <w:rFonts w:ascii="Arial" w:cs="Arial" w:eastAsia="Arial" w:hAnsi="Arial"/>
          <w:sz w:val="17"/>
          <w:szCs w:val="17"/>
          <w:color w:val="231F20"/>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 manufacturing facilities are possible. If any of these risks materialize, our business would be adversely affected.</w:t>
      </w:r>
    </w:p>
    <w:p>
      <w:pPr>
        <w:spacing w:after="0" w:line="142" w:lineRule="exact"/>
        <w:rPr>
          <w:sz w:val="20"/>
          <w:szCs w:val="20"/>
          <w:color w:val="auto"/>
        </w:rPr>
      </w:pPr>
    </w:p>
    <w:p>
      <w:pPr>
        <w:ind w:left="60" w:right="279"/>
        <w:spacing w:after="0" w:line="285" w:lineRule="auto"/>
        <w:rPr>
          <w:sz w:val="20"/>
          <w:szCs w:val="20"/>
          <w:color w:val="auto"/>
        </w:rPr>
      </w:pPr>
      <w:r>
        <w:rPr>
          <w:rFonts w:ascii="Arial" w:cs="Arial" w:eastAsia="Arial" w:hAnsi="Arial"/>
          <w:sz w:val="17"/>
          <w:szCs w:val="17"/>
          <w:b w:val="1"/>
          <w:bCs w:val="1"/>
          <w:i w:val="1"/>
          <w:iCs w:val="1"/>
          <w:color w:val="231F20"/>
        </w:rPr>
        <w:t>BAROSTIM NEO is also subject to extensive governmental regulation in foreign jurisdictions, such as Europe, and our failure to comply with applicable requirements could cause our business to suffer.</w:t>
      </w:r>
    </w:p>
    <w:p>
      <w:pPr>
        <w:spacing w:after="0" w:line="179"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In the EEA, BAROSTIM NEO must comply with the Essential Requirements laid down in Annex I to the EU Active Implantable Medical Devices Directive. Compliance with these requirements is a prerequisite to be able to affix the CE mark to BAROSTIM NEO, without which they cannot be marketed or sold in the EEA. To demonstrate compliance with the Essential Requirements and obtain the right to affix the CE Mark to BAROSTIM NEO, we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217"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68" w:lineRule="auto"/>
        <w:tabs>
          <w:tab w:leader="none" w:pos="33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206"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In order to continue to sell BAROSTIM NEO in Europe, we must maintain our CE Mark and continue to comply with certain EU Directives.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or BSI), which could impair our ability to market products in the EEA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0" w:right="339"/>
        <w:spacing w:after="0" w:line="238" w:lineRule="auto"/>
        <w:rPr>
          <w:sz w:val="20"/>
          <w:szCs w:val="20"/>
          <w:color w:val="auto"/>
        </w:rPr>
      </w:pPr>
      <w:r>
        <w:rPr>
          <w:rFonts w:ascii="Arial" w:cs="Arial" w:eastAsia="Arial" w:hAnsi="Arial"/>
          <w:sz w:val="18"/>
          <w:szCs w:val="18"/>
          <w:b w:val="1"/>
          <w:bCs w:val="1"/>
          <w:i w:val="1"/>
          <w:iCs w:val="1"/>
          <w:color w:val="231F20"/>
        </w:rPr>
        <w:t>Our business is subject to extensive governmental regulation that could make it more expensive and time consuming for us to bring BAROSTIM NEO to market in the U.S. and introduce new or improved products.</w:t>
      </w:r>
    </w:p>
    <w:p>
      <w:pPr>
        <w:spacing w:after="0" w:line="216"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Our products must comply with regulatory requirements imposed by the FDA in the U.S. and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96" w:lineRule="exact"/>
        <w:rPr>
          <w:sz w:val="20"/>
          <w:szCs w:val="20"/>
          <w:color w:val="auto"/>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Federal Food, Drug, and Cosmetic Act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California Department of Health Services requirements.</w:t>
      </w:r>
    </w:p>
    <w:p>
      <w:pPr>
        <w:spacing w:after="0" w:line="14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31F20"/>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w:t>
      </w:r>
    </w:p>
    <w:p>
      <w:pPr>
        <w:spacing w:after="0" w:line="203"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61" w:lineRule="exact"/>
        <w:rPr>
          <w:sz w:val="20"/>
          <w:szCs w:val="20"/>
          <w:color w:val="auto"/>
        </w:rPr>
      </w:pPr>
    </w:p>
    <w:p>
      <w:pPr>
        <w:ind w:left="60" w:right="439"/>
        <w:spacing w:after="0" w:line="233"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 investigations and sanctions from the FDA and other regulatory bodies if we are deemed to have engaged in inappropriate promotion.</w:t>
      </w:r>
    </w:p>
    <w:p>
      <w:pPr>
        <w:spacing w:after="0" w:line="21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BAROSTIM NEO has been indicated for the improvement of symptoms of HFrEF by the FDA and EEA. We may only promote or market BAROSTIM NEO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inappropriate promotion, including promotion of an off-label use, which could result in significant penalties, including, but not limited to, criminal, civil and/or administrative 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207"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Further, the advertising and promotion of our products is subject to EEA Member State laws implementing Directive 93/42/EEC concerning Medical Devices (the “EU Medical Devices Directive”),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6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b w:val="1"/>
          <w:bCs w:val="1"/>
          <w:i w:val="1"/>
          <w:iCs w:val="1"/>
          <w:color w:val="231F20"/>
        </w:rPr>
        <w:t>The discovery of serious safety issues with BAROSTIM NEO, or a recall of BAROSTIM NEO either voluntarily or at the direction of the FDA or another governmental authority, could harm our reputation, business and financial results.</w:t>
      </w:r>
    </w:p>
    <w:p>
      <w:pPr>
        <w:spacing w:after="0" w:line="216"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NEO could divert managerial and financial resources and could have an adverse effect on our financial condition, harm our reputation, and reduce our ability to achieve expected revenue.</w:t>
      </w:r>
    </w:p>
    <w:p>
      <w:pPr>
        <w:spacing w:after="0" w:line="206"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Quality System Regulation,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w:t>
      </w:r>
    </w:p>
    <w:p>
      <w:pPr>
        <w:sectPr>
          <w:pgSz w:w="11900" w:h="16838" w:orient="portrait"/>
          <w:cols w:equalWidth="0" w:num="1">
            <w:col w:w="9019"/>
          </w:cols>
          <w:pgMar w:left="1440" w:top="517"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231F20"/>
        </w:rPr>
        <w:t>injunctions or the imposition of civil or criminal penalties, which would adversely affect our business results and prospects.</w:t>
      </w:r>
    </w:p>
    <w:p>
      <w:pPr>
        <w:spacing w:after="0" w:line="197"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6"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61" w:lineRule="exact"/>
        <w:rPr>
          <w:sz w:val="20"/>
          <w:szCs w:val="20"/>
          <w:color w:val="auto"/>
        </w:rPr>
      </w:pPr>
    </w:p>
    <w:p>
      <w:pPr>
        <w:ind w:left="60" w:right="179"/>
        <w:spacing w:after="0" w:line="233" w:lineRule="auto"/>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 malfunctions that we are required to report to the FDA and European regulators, and if we fail to do so, we would be subject to sanctions that could harm our reputation, business, financial condition and results of operations.</w:t>
      </w:r>
    </w:p>
    <w:p>
      <w:pPr>
        <w:spacing w:after="0" w:line="217"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EU Medical Devices Directive (Directive 93/42/EEC),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99"/>
        <w:spacing w:after="0" w:line="230" w:lineRule="auto"/>
        <w:rPr>
          <w:sz w:val="20"/>
          <w:szCs w:val="20"/>
          <w:color w:val="auto"/>
        </w:rPr>
      </w:pPr>
      <w:r>
        <w:rPr>
          <w:rFonts w:ascii="Arial" w:cs="Arial" w:eastAsia="Arial" w:hAnsi="Arial"/>
          <w:sz w:val="18"/>
          <w:szCs w:val="18"/>
          <w:b w:val="1"/>
          <w:bCs w:val="1"/>
          <w:i w:val="1"/>
          <w:iCs w:val="1"/>
          <w:color w:val="231F20"/>
        </w:rPr>
        <w:t>We are subject to certain federal, state and foreign fraud and abuse laws, health information privacy and security laws and transparency laws and regulations, which, if violated, could subject us to substantial penalties. Additionally, any challenge to or investigation into our practices under these laws and regulations could cause adverse publicity and be costly to respond to, and thus could harm our business.</w:t>
      </w:r>
    </w:p>
    <w:p>
      <w:pPr>
        <w:spacing w:after="0" w:line="218"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206" w:lineRule="exact"/>
        <w:rPr>
          <w:sz w:val="20"/>
          <w:szCs w:val="20"/>
          <w:color w:val="auto"/>
        </w:rPr>
      </w:pPr>
    </w:p>
    <w:p>
      <w:pPr>
        <w:ind w:left="380" w:right="139" w:hanging="127"/>
        <w:spacing w:after="0" w:line="268"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98"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98" w:lineRule="exact"/>
        <w:rPr>
          <w:rFonts w:ascii="Arial" w:cs="Arial" w:eastAsia="Arial" w:hAnsi="Arial"/>
          <w:sz w:val="18"/>
          <w:szCs w:val="18"/>
          <w:color w:val="231F20"/>
        </w:rPr>
      </w:pPr>
    </w:p>
    <w:p>
      <w:pPr>
        <w:ind w:left="380" w:right="299" w:hanging="127"/>
        <w:spacing w:after="0" w:line="269"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8" w:lineRule="exact"/>
        <w:rPr>
          <w:rFonts w:ascii="Arial" w:cs="Arial" w:eastAsia="Arial" w:hAnsi="Arial"/>
          <w:sz w:val="18"/>
          <w:szCs w:val="18"/>
          <w:color w:val="231F20"/>
        </w:rPr>
      </w:pPr>
    </w:p>
    <w:p>
      <w:pPr>
        <w:ind w:left="380" w:right="239" w:hanging="127"/>
        <w:spacing w:after="0" w:line="269"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federal Health Insurance Portability and Accountability Act of 1996 (“HIPAA”), which created federal criminal laws that prohibit executing a scheme to defraud any healthcare benefit program or making false statements relating to healthcare matters. Similar to the Anti-Kickback Statute, a person or entity does not need to have actual knowledge of these statutes or specific intent to violate them;</w:t>
      </w:r>
    </w:p>
    <w:p>
      <w:pPr>
        <w:spacing w:after="0" w:line="98"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HIPAA, as amended by the Health Information Technology for Economic and Clinical Health Act of 2009,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96" w:lineRule="exact"/>
        <w:rPr>
          <w:rFonts w:ascii="Arial" w:cs="Arial" w:eastAsia="Arial" w:hAnsi="Arial"/>
          <w:sz w:val="18"/>
          <w:szCs w:val="18"/>
          <w:color w:val="231F20"/>
        </w:rPr>
      </w:pPr>
    </w:p>
    <w:p>
      <w:pPr>
        <w:jc w:val="both"/>
        <w:ind w:left="380" w:right="559" w:hanging="127"/>
        <w:spacing w:after="0" w:line="281" w:lineRule="auto"/>
        <w:tabs>
          <w:tab w:leader="none" w:pos="380" w:val="left"/>
        </w:tabs>
        <w:numPr>
          <w:ilvl w:val="0"/>
          <w:numId w:val="36"/>
        </w:numPr>
        <w:rPr>
          <w:rFonts w:ascii="Arial" w:cs="Arial" w:eastAsia="Arial" w:hAnsi="Arial"/>
          <w:sz w:val="17"/>
          <w:szCs w:val="17"/>
          <w:color w:val="231F20"/>
        </w:rPr>
      </w:pPr>
      <w:r>
        <w:rPr>
          <w:rFonts w:ascii="Arial" w:cs="Arial" w:eastAsia="Arial" w:hAnsi="Arial"/>
          <w:sz w:val="17"/>
          <w:szCs w:val="17"/>
          <w:color w:val="231F20"/>
        </w:rPr>
        <w:t>the federal physician sunshine requirements under the Patient Protection and Affordable Care Act as amended by the Health Care and Education Reconciliation Act (collectively, the “ACA”), which require certain manufacturers of drugs, devices, biologics and medical supplies to report annually to the U.S.</w:t>
      </w:r>
    </w:p>
    <w:p>
      <w:pPr>
        <w:spacing w:after="0" w:line="1" w:lineRule="exact"/>
        <w:rPr>
          <w:rFonts w:ascii="Arial" w:cs="Arial" w:eastAsia="Arial" w:hAnsi="Arial"/>
          <w:sz w:val="17"/>
          <w:szCs w:val="17"/>
          <w:color w:val="231F20"/>
        </w:rPr>
      </w:pPr>
    </w:p>
    <w:p>
      <w:pPr>
        <w:ind w:left="380" w:right="139"/>
        <w:spacing w:after="0" w:line="294" w:lineRule="auto"/>
        <w:rPr>
          <w:rFonts w:ascii="Arial" w:cs="Arial" w:eastAsia="Arial" w:hAnsi="Arial"/>
          <w:sz w:val="17"/>
          <w:szCs w:val="17"/>
          <w:color w:val="231F20"/>
        </w:rPr>
      </w:pPr>
      <w:r>
        <w:rPr>
          <w:rFonts w:ascii="Arial" w:cs="Arial" w:eastAsia="Arial" w:hAnsi="Arial"/>
          <w:sz w:val="17"/>
          <w:szCs w:val="17"/>
          <w:color w:val="231F20"/>
        </w:rPr>
        <w:t>Department of Health and Human Services information related to payments and other transfers of value to physicians (defined to include doctors, dentists, optometrists, podiatrists and chiropractors) and teaching hospitals, and ownership and investment interests held by physicians and their immediate family members;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79" w:hanging="127"/>
        <w:spacing w:after="0" w:line="236" w:lineRule="auto"/>
        <w:tabs>
          <w:tab w:leader="none" w:pos="38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state and foreign law equivalents of each of the above federal laws, such as state anti-kickback and false claims laws that may apply to items or services reimbursed by any third-party payor,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w:t>
      </w:r>
    </w:p>
    <w:p>
      <w:pPr>
        <w:spacing w:after="0" w:line="139"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color w:val="231F20"/>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206"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color w:val="231F20"/>
        </w:rPr>
        <w:t>The scope and enforcement of each of these laws is uncertain and subject to rapid change in the current environment of healthcare reform, especially in light of the lack of applicable precedent and regulations. Federal and state enforcement bodies continue to increase their scrutiny of interactions between healthcare companies and healthcare providers. The Office of the Inspector General of the Department of Health and Human Services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47"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In March 2010, the ACA was signed into law, which incorporates, among other things, comparative effectiveness research, an independent payment advisory board and payment system reforms, including shared savings pilots and other provisions, may significantly affect the payment for, and the availability of, healthcare services and result in fundamental changes to federal healthcare reimbursement programs, any of which may materially affect numerous aspects of our business.</w:t>
      </w:r>
    </w:p>
    <w:p>
      <w:pPr>
        <w:spacing w:after="0" w:line="20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Additionally, on April 5, 2017, the European Parliament passed the Medical Devices Regulation (Regulation 2017/745),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the EEA member state laws implementing them), in all EEA member states and are intended to eliminate current differences in the regulation of medical devices among the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Medical Devices Regulation became applicable in May 2020 and, among other things:</w:t>
      </w:r>
    </w:p>
    <w:p>
      <w:pPr>
        <w:spacing w:after="0" w:line="212" w:lineRule="exact"/>
        <w:rPr>
          <w:sz w:val="20"/>
          <w:szCs w:val="20"/>
          <w:color w:val="auto"/>
        </w:rPr>
      </w:pPr>
    </w:p>
    <w:p>
      <w:pPr>
        <w:ind w:left="540" w:right="679" w:hanging="139"/>
        <w:spacing w:after="0" w:line="246"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strengthened the rules on placing devices on the market and reinforced surveillance once they are available;</w:t>
      </w:r>
    </w:p>
    <w:p>
      <w:pPr>
        <w:spacing w:after="0" w:line="102" w:lineRule="exact"/>
        <w:rPr>
          <w:rFonts w:ascii="Arial" w:cs="Arial" w:eastAsia="Arial" w:hAnsi="Arial"/>
          <w:sz w:val="18"/>
          <w:szCs w:val="18"/>
          <w:color w:val="231F20"/>
        </w:rPr>
      </w:pPr>
    </w:p>
    <w:p>
      <w:pPr>
        <w:ind w:left="540" w:right="95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established explicit provisions on manufacturers’ responsibilities for the follow-up of the quality, performance and safety of devices placed on the market;</w:t>
      </w:r>
    </w:p>
    <w:p>
      <w:pPr>
        <w:spacing w:after="0" w:line="89" w:lineRule="exact"/>
        <w:rPr>
          <w:rFonts w:ascii="Arial" w:cs="Arial" w:eastAsia="Arial" w:hAnsi="Arial"/>
          <w:sz w:val="18"/>
          <w:szCs w:val="18"/>
          <w:color w:val="231F20"/>
        </w:rPr>
      </w:pPr>
    </w:p>
    <w:p>
      <w:pPr>
        <w:ind w:left="540" w:right="67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improved the traceability of medical devices throughout the supply chain to the end-user or patient through a unique identification number;</w:t>
      </w:r>
    </w:p>
    <w:p>
      <w:pPr>
        <w:spacing w:after="0" w:line="89" w:lineRule="exact"/>
        <w:rPr>
          <w:rFonts w:ascii="Arial" w:cs="Arial" w:eastAsia="Arial" w:hAnsi="Arial"/>
          <w:sz w:val="18"/>
          <w:szCs w:val="18"/>
          <w:color w:val="231F20"/>
        </w:rPr>
      </w:pPr>
    </w:p>
    <w:p>
      <w:pPr>
        <w:ind w:left="540" w:right="7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89" w:lineRule="exact"/>
        <w:rPr>
          <w:rFonts w:ascii="Arial" w:cs="Arial" w:eastAsia="Arial" w:hAnsi="Arial"/>
          <w:sz w:val="18"/>
          <w:szCs w:val="18"/>
          <w:color w:val="231F20"/>
        </w:rPr>
      </w:pPr>
    </w:p>
    <w:p>
      <w:pPr>
        <w:ind w:left="540" w:right="21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strengthened rules for the assessment of certain high-risk devices, such as implants, which may have to undergo an additional check by experts before they are placed on the market.</w:t>
      </w:r>
    </w:p>
    <w:p>
      <w:pPr>
        <w:spacing w:after="0" w:line="11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This regulation has not yet had a material effect on the way we conduct our business in the EEA. However, it is possible the regulation will change in the future and we cannot be certain that future changes will not have an adverse effect on our business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1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We are incurring and will incur significantly increased costs as a result of being a public company, and our management is required to devote substantial time to compliance with our public company responsibilities, which may adversely affect our business, financial condition and results of operations.</w:t>
      </w:r>
    </w:p>
    <w:p>
      <w:pPr>
        <w:spacing w:after="0" w:line="18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that we did not incur as a private company. For example, we are now subject to the reporting requirements of the Exchange Act and must comply with the applicable requirements of the Sarbanes-Oxley Act of 2002 (the “Sarbanes-Oxley Act”), and the Dodd-Frank Wall Street Reform and Consumer Protection Act, as well as rules and regulations subsequently implemented by the SEC and The Nasdaq Stock Market LLC (“Nasdaq”), including the establishment and maintenance of effective disclosure and financial controls and changes in corporate governance practices. Compliance with these requirements has and will continue to increase our legal and financial compliance costs and make some activities more time consuming and costly, which may adversely affect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addition, our management and other personnel must now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as defined by the JOBS Act, and are not a non-accelerated filer. We have hired, and will need to continue to hire additional accounting and financial staff with appropriate public company experience and technical accounting knowledge and have established an internal audit function. We cannot predict or estimate the amount of additional costs we may incur as a result of becoming a public company or the timing of such costs. Additional compensation costs and any future equity awards will increase our compensation expense, which would increase our general and administrative expense and could adversely affect our profitability. As a public company, it is more difficult and expensive for us to obtain director and officer liability insurance on reasonable terms. As a result, it may be more difficult for us to attract and retain qualified people to serve on our Board of Directors, our board committees, or as executive officers.</w:t>
      </w:r>
    </w:p>
    <w:p>
      <w:pPr>
        <w:spacing w:after="0" w:line="170"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89" w:lineRule="exact"/>
        <w:rPr>
          <w:sz w:val="20"/>
          <w:szCs w:val="20"/>
          <w:color w:val="auto"/>
        </w:rPr>
      </w:pPr>
    </w:p>
    <w:p>
      <w:pPr>
        <w:jc w:val="both"/>
        <w:ind w:left="60" w:right="339"/>
        <w:spacing w:after="0" w:line="271" w:lineRule="auto"/>
        <w:rPr>
          <w:sz w:val="20"/>
          <w:szCs w:val="20"/>
          <w:color w:val="auto"/>
        </w:rPr>
      </w:pPr>
      <w:r>
        <w:rPr>
          <w:rFonts w:ascii="Arial" w:cs="Arial" w:eastAsia="Arial" w:hAnsi="Arial"/>
          <w:sz w:val="18"/>
          <w:szCs w:val="18"/>
          <w:color w:val="231F20"/>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203" w:lineRule="exact"/>
        <w:rPr>
          <w:sz w:val="20"/>
          <w:szCs w:val="20"/>
          <w:color w:val="auto"/>
        </w:rPr>
      </w:pPr>
    </w:p>
    <w:p>
      <w:pPr>
        <w:ind w:left="540" w:right="55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results from, or any delays in, clinical trial programs relating to our product candidates, including the ongoing and future U.S. clinical trials for BAROSTIM NEO;</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announcements of new products by us or our competitors;</w:t>
      </w:r>
    </w:p>
    <w:p>
      <w:pPr>
        <w:spacing w:after="0" w:line="117" w:lineRule="exact"/>
        <w:rPr>
          <w:rFonts w:ascii="Arial" w:cs="Arial" w:eastAsia="Arial" w:hAnsi="Arial"/>
          <w:sz w:val="18"/>
          <w:szCs w:val="18"/>
          <w:color w:val="231F20"/>
        </w:rPr>
      </w:pPr>
    </w:p>
    <w:p>
      <w:pPr>
        <w:ind w:left="540" w:right="51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adverse actions taken by regulatory agencies with respect to our clinical trials, manufacturing supply chain or sales and marketing activities;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our operating results;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or developments in laws or regulations applicable to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any adverse changes in our relationship with any manufacturers or suppliers;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success of our efforts to acquire or develop additional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any intellectual property infringement actions in which we may become involved;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announcements concerning our competitors or the medical device industry in general;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achievement of expected product sales and profitability;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manufacture, supply or distribution shortages;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actual or anticipated fluctuations in our operating results;</w:t>
      </w:r>
    </w:p>
    <w:p>
      <w:pPr>
        <w:spacing w:after="0" w:line="117" w:lineRule="exact"/>
        <w:rPr>
          <w:rFonts w:ascii="Arial" w:cs="Arial" w:eastAsia="Arial" w:hAnsi="Arial"/>
          <w:sz w:val="18"/>
          <w:szCs w:val="18"/>
          <w:color w:val="231F20"/>
        </w:rPr>
      </w:pPr>
    </w:p>
    <w:p>
      <w:pPr>
        <w:ind w:left="540" w:right="47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FDA or other U.S. or foreign regulatory actions affecting us or our industry or other healthcare reform measures in the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financial estimates or recommendations by securities analysts;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trading volume of our common stock;</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sales of our common stock by us, our executive officers and directors or our stockholders in the future;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general economic and market conditions and overall fluctuations in the U.S. equity markets;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loss of any of our key scientific or management personnel.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7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231F20"/>
        </w:rPr>
        <w:t>We have broad discretion to determine how to use the funds raised in the IPO and may use them in ways that may not enhance our operating results or the price of our common stock.</w:t>
      </w:r>
    </w:p>
    <w:p>
      <w:pPr>
        <w:spacing w:after="0" w:line="189"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Our management has broad discretion over the use of proceeds from the IPO, and we could spend them in ways our stockholders may not agree with or that do not yield a favorable return, if at all. We currently expect to use the net proceeds from the IPO to continue funding the expansion of our direct sales force and commercial organization related to BAROSTIM NEO in the U.S., research and development activities related to BAROSTIM Therapy and working capital and general corporate purposes. If we do not invest or apply the proceeds of the IPO in ways that improve our operating results, we may fail to achieve expected financial results, which could cause our stock price to decline.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An active trading market for our shares of common stock may not be sustained.</w:t>
      </w:r>
    </w:p>
    <w:p>
      <w:pPr>
        <w:spacing w:after="0" w:line="247"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Our common stock began trading on June 30, 2021 and has a limited trading history upon which to assess whether an active public market for our shares may be sustained. The lack of an active market may impair the value of your shares or your ability to sell your shares at the time you wish to sell them or at a price that you consider reasonable. An inactive market may also impair our ability to raise capital by selling shares and may impair our ability to acquire other businesses or technologies or in-license new product candidates using our shares as consideration. Furthermore, there can be no guarantee that we will continue to satisfy the continued listing standards of Nasdaq. If we fail to satisfy these listing standards, we could be de-listed, which would have a negative effect on the price of our common stock.</w:t>
      </w:r>
    </w:p>
    <w:p>
      <w:pPr>
        <w:spacing w:after="0" w:line="17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89"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56"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82"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204" w:lineRule="exact"/>
        <w:rPr>
          <w:sz w:val="20"/>
          <w:szCs w:val="20"/>
          <w:color w:val="auto"/>
        </w:rPr>
      </w:pPr>
    </w:p>
    <w:p>
      <w:pPr>
        <w:ind w:left="60" w:right="199"/>
        <w:spacing w:after="0" w:line="267" w:lineRule="auto"/>
        <w:rPr>
          <w:sz w:val="20"/>
          <w:szCs w:val="20"/>
          <w:color w:val="auto"/>
        </w:rPr>
      </w:pPr>
      <w:r>
        <w:rPr>
          <w:rFonts w:ascii="Arial" w:cs="Arial" w:eastAsia="Arial" w:hAnsi="Arial"/>
          <w:sz w:val="18"/>
          <w:szCs w:val="18"/>
          <w:color w:val="231F20"/>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74"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204"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To comply with the requirements of being a public company, we are undertaking and expect to continue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have developed and expect to continue to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beginning with our second annual report following the IPO, which will be for our fiscal year ending December 31, 2022,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and are not a non-accelerated filer. We do not expect to have our independent registered public accounting firm attest to our management report on internal control over financial reporting for so long as we are an emerging growth company.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 consuming, costly and complicated.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8" w:lineRule="exact"/>
        <w:rPr>
          <w:sz w:val="20"/>
          <w:szCs w:val="20"/>
          <w:color w:val="auto"/>
        </w:rPr>
      </w:pPr>
    </w:p>
    <w:p>
      <w:pPr>
        <w:ind w:left="60" w:right="1379"/>
        <w:spacing w:after="0" w:line="256" w:lineRule="auto"/>
        <w:rPr>
          <w:sz w:val="20"/>
          <w:szCs w:val="20"/>
          <w:color w:val="auto"/>
        </w:rPr>
      </w:pPr>
      <w:r>
        <w:rPr>
          <w:rFonts w:ascii="Arial" w:cs="Arial" w:eastAsia="Arial" w:hAnsi="Arial"/>
          <w:sz w:val="18"/>
          <w:szCs w:val="18"/>
          <w:b w:val="1"/>
          <w:bCs w:val="1"/>
          <w:i w:val="1"/>
          <w:iCs w:val="1"/>
          <w:color w:val="231F20"/>
        </w:rPr>
        <w:t>If we sell shares of our common stock in future financings, stockholders may experience immediate dilution and, as a result, our stock price may decline.</w:t>
      </w:r>
    </w:p>
    <w:p>
      <w:pPr>
        <w:spacing w:after="0" w:line="201" w:lineRule="exact"/>
        <w:rPr>
          <w:sz w:val="20"/>
          <w:szCs w:val="20"/>
          <w:color w:val="auto"/>
        </w:rPr>
      </w:pPr>
    </w:p>
    <w:p>
      <w:pPr>
        <w:ind w:left="60" w:right="199"/>
        <w:spacing w:after="0" w:line="287" w:lineRule="auto"/>
        <w:rPr>
          <w:sz w:val="20"/>
          <w:szCs w:val="20"/>
          <w:color w:val="auto"/>
        </w:rPr>
      </w:pPr>
      <w:r>
        <w:rPr>
          <w:rFonts w:ascii="Arial" w:cs="Arial" w:eastAsia="Arial" w:hAnsi="Arial"/>
          <w:sz w:val="17"/>
          <w:szCs w:val="17"/>
          <w:color w:val="231F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4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b w:val="1"/>
          <w:bCs w:val="1"/>
          <w:i w:val="1"/>
          <w:iCs w:val="1"/>
          <w:color w:val="231F20"/>
        </w:rPr>
        <w:t>A significant portion of our total outstanding shares are restricted from immediate resale but may be sold into the market in the near future. Sales of a substantial number of shares of our common stock in the public market could cause our stock price to fall.</w:t>
      </w:r>
    </w:p>
    <w:p>
      <w:pPr>
        <w:spacing w:after="0" w:line="216"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231F20"/>
        </w:rPr>
        <w:t>Sales of a substantial number of shares of our common stock in the public market could occur at any time. These sales, or the perception in the market that these sales may occur, could result in a decrease in the market price of our common stock.</w:t>
      </w:r>
    </w:p>
    <w:p>
      <w:pPr>
        <w:spacing w:after="0" w:line="20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231F20"/>
        </w:rPr>
        <w:t>Approximately 20.3 million shares of common stock were outstanding immediately following the IPO. Of these shares, approximately 6.7 million shares of our common stock are freely tradable, without restriction.</w:t>
      </w:r>
    </w:p>
    <w:p>
      <w:pPr>
        <w:spacing w:after="0" w:line="197"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231F20"/>
        </w:rPr>
        <w:t>The lock-up agreements pertaining to the IPO will expire on December 26, 2021. After the lock-up agreements expire, up to an additional approximately 13.6 million shares of common stock will be eligible for sale in the public market, approximately 6.7 million of which shares are beneficially owned by current directors, executive officers and other affiliates and may be subject to volume limitations under Rule 144 under the Securities Act. The representatives of the underwriters, however, may, in their sole discretion, permit our officers, directors and other stockholders who are subject to lock-up agreements to sell shares prior to the expiration of the lock-up agreements.</w:t>
      </w:r>
    </w:p>
    <w:p>
      <w:pPr>
        <w:spacing w:after="0" w:line="205"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color w:val="231F20"/>
        </w:rPr>
        <w:t>In addition, as of June 30, 2021, approximately 2.7 million shares of common stock that are subject to outstanding options are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After the IPO, the holders of approximately 11.9 million shares of our outstanding common stock as of June 30, 2021, are entitled to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purchased by affiliates. We have also registered all shares of common stock that we may issue under our equity compensation plans, which shares can be freely sold in the public market, subject to volume limitations applicable to affiliates and the lock-up agreements referred to above.</w:t>
      </w:r>
    </w:p>
    <w:p>
      <w:pPr>
        <w:spacing w:after="0" w:line="16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Our principal stockholders, management and directors (four of whom are affiliated with our principal stockholders) own a significant percentage of our stock and will be able to exert significant control over matters subject to stockholder approval.</w:t>
      </w:r>
    </w:p>
    <w:p>
      <w:pPr>
        <w:spacing w:after="0" w:line="216"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Immediately following the IPO, our executive officers, directors, holders of 5% or more of our capital stock and their respective affiliates beneficially owned approximately 63% of our outstanding voting stock. Four of our non-employee directors are also affiliated with certain of our principal stockholders. Therefore, even after the IPO these stockholders, if they act together,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57" w:lineRule="exact"/>
        <w:rPr>
          <w:sz w:val="20"/>
          <w:szCs w:val="20"/>
          <w:color w:val="auto"/>
        </w:rPr>
      </w:pPr>
    </w:p>
    <w:p>
      <w:pPr>
        <w:ind w:left="60" w:right="219"/>
        <w:spacing w:after="0" w:line="233"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17"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or any action asserting a claim against us that is governed by the internal affairs doctrine. The exclusive forum provision does not apply to suits brought to enforce any liability or duty created by the Exchange Act or any other claim for which the 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w:t>
      </w:r>
    </w:p>
    <w:p>
      <w:pPr>
        <w:sectPr>
          <w:pgSz w:w="11900" w:h="16838" w:orient="portrait"/>
          <w:cols w:equalWidth="0" w:num="1">
            <w:col w:w="9019"/>
          </w:cols>
          <w:pgMar w:left="1440" w:top="517" w:right="1440"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56" w:lineRule="exact"/>
        <w:rPr>
          <w:sz w:val="20"/>
          <w:szCs w:val="20"/>
          <w:color w:val="auto"/>
        </w:rPr>
      </w:pPr>
    </w:p>
    <w:p>
      <w:pPr>
        <w:ind w:left="60" w:right="859"/>
        <w:spacing w:after="0" w:line="285"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79"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208" w:lineRule="exact"/>
        <w:rPr>
          <w:sz w:val="20"/>
          <w:szCs w:val="20"/>
          <w:color w:val="auto"/>
        </w:rPr>
      </w:pPr>
    </w:p>
    <w:p>
      <w:pPr>
        <w:jc w:val="both"/>
        <w:ind w:left="540" w:right="77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permit our Board of Directors to issue shares of preferred stock, with any rights, preferences and privileges as they may designate, without stockholder approval, which could be used to dilute the ownership of a hostile bidder significantly;</w:t>
      </w:r>
    </w:p>
    <w:p>
      <w:pPr>
        <w:spacing w:after="0" w:line="95" w:lineRule="exact"/>
        <w:rPr>
          <w:rFonts w:ascii="Arial" w:cs="Arial" w:eastAsia="Arial" w:hAnsi="Arial"/>
          <w:sz w:val="18"/>
          <w:szCs w:val="18"/>
          <w:color w:val="231F20"/>
        </w:rPr>
      </w:pPr>
    </w:p>
    <w:p>
      <w:pPr>
        <w:ind w:left="540" w:right="23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the authorized number of directors may be changed only by resolution of our Board of Directors and that a director may only be removed with cause by the affirmative vote of the holders of at least a majority of our outstanding voting stock, voting together as a single class;</w:t>
      </w:r>
    </w:p>
    <w:p>
      <w:pPr>
        <w:spacing w:after="0" w:line="95" w:lineRule="exact"/>
        <w:rPr>
          <w:rFonts w:ascii="Arial" w:cs="Arial" w:eastAsia="Arial" w:hAnsi="Arial"/>
          <w:sz w:val="18"/>
          <w:szCs w:val="18"/>
          <w:color w:val="231F20"/>
        </w:rPr>
      </w:pPr>
    </w:p>
    <w:p>
      <w:pPr>
        <w:jc w:val="both"/>
        <w:ind w:left="540" w:right="359" w:hanging="139"/>
        <w:spacing w:after="0" w:line="308" w:lineRule="auto"/>
        <w:tabs>
          <w:tab w:leader="none" w:pos="540"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provide that all vacancies, including newly created directorships, may, except as otherwise required by law, be filled by the affirmative vote of a majority of directors then in office, even if less than a quorum;</w:t>
      </w:r>
    </w:p>
    <w:p>
      <w:pPr>
        <w:spacing w:after="0" w:line="65" w:lineRule="exact"/>
        <w:rPr>
          <w:rFonts w:ascii="Arial" w:cs="Arial" w:eastAsia="Arial" w:hAnsi="Arial"/>
          <w:sz w:val="17"/>
          <w:szCs w:val="17"/>
          <w:color w:val="231F20"/>
        </w:rPr>
      </w:pPr>
    </w:p>
    <w:p>
      <w:pPr>
        <w:ind w:left="540" w:right="9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our amended and restated bylaws may only be altered, amended or repealed by our stockholders upon the affirmative vote of a two-thirds majority of the voting power of all of our outstanding voting stock, voting together as a single class;</w:t>
      </w:r>
    </w:p>
    <w:p>
      <w:pPr>
        <w:spacing w:after="0" w:line="95" w:lineRule="exact"/>
        <w:rPr>
          <w:rFonts w:ascii="Arial" w:cs="Arial" w:eastAsia="Arial" w:hAnsi="Arial"/>
          <w:sz w:val="18"/>
          <w:szCs w:val="18"/>
          <w:color w:val="231F20"/>
        </w:rPr>
      </w:pPr>
    </w:p>
    <w:p>
      <w:pPr>
        <w:ind w:left="540" w:right="179" w:hanging="139"/>
        <w:spacing w:after="0" w:line="268"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which may discourage or deter a potential acquiror from conducting a solicitation of proxies to elect the acquiror’s own slate of directors or otherwise attempting to obtain control of our company;</w:t>
      </w:r>
    </w:p>
    <w:p>
      <w:pPr>
        <w:spacing w:after="0" w:line="99" w:lineRule="exact"/>
        <w:rPr>
          <w:rFonts w:ascii="Arial" w:cs="Arial" w:eastAsia="Arial" w:hAnsi="Arial"/>
          <w:sz w:val="18"/>
          <w:szCs w:val="18"/>
          <w:color w:val="231F20"/>
        </w:rPr>
      </w:pPr>
    </w:p>
    <w:p>
      <w:pPr>
        <w:ind w:left="540" w:right="379" w:hanging="139"/>
        <w:spacing w:after="0" w:line="277"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prohibit cumulative voting in the election of directors, which limits the ability of minority stockholders to elect director candidates; and</w:t>
      </w:r>
    </w:p>
    <w:p>
      <w:pPr>
        <w:spacing w:after="0" w:line="89" w:lineRule="exact"/>
        <w:rPr>
          <w:rFonts w:ascii="Arial" w:cs="Arial" w:eastAsia="Arial" w:hAnsi="Arial"/>
          <w:sz w:val="18"/>
          <w:szCs w:val="18"/>
          <w:color w:val="231F20"/>
        </w:rPr>
      </w:pPr>
    </w:p>
    <w:p>
      <w:pPr>
        <w:ind w:left="540" w:right="259" w:hanging="139"/>
        <w:spacing w:after="0" w:line="269"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special meetings of our stockholders may be called only by the Chairman of the board, the 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61" w:lineRule="exact"/>
        <w:rPr>
          <w:sz w:val="20"/>
          <w:szCs w:val="20"/>
          <w:color w:val="auto"/>
        </w:rPr>
      </w:pPr>
    </w:p>
    <w:p>
      <w:pPr>
        <w:ind w:left="60" w:right="339"/>
        <w:spacing w:after="0" w:line="285" w:lineRule="auto"/>
        <w:rPr>
          <w:sz w:val="20"/>
          <w:szCs w:val="20"/>
          <w:color w:val="auto"/>
        </w:rPr>
      </w:pPr>
      <w:r>
        <w:rPr>
          <w:rFonts w:ascii="Arial" w:cs="Arial" w:eastAsia="Arial" w:hAnsi="Arial"/>
          <w:sz w:val="17"/>
          <w:szCs w:val="17"/>
          <w:b w:val="1"/>
          <w:bCs w:val="1"/>
          <w:color w:val="231F20"/>
        </w:rPr>
        <w:t>We do not currently intend to pay dividends on our common stock, and, consequently, your ability to achieve a return on your investment will depend on appreciation in the price of our common stock.</w:t>
      </w:r>
    </w:p>
    <w:p>
      <w:pPr>
        <w:spacing w:after="0" w:line="165"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231F20"/>
        </w:rPr>
        <w:t>We do not currently intend to pay any cash dividends on our common stock for the foreseeable future. We currently intend to invest our future earnings, if any, to fund our growth. Additionally, the terms of our Horizon loan agreement prohibit us from paying cash dividends on our capital stock.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 from the IPO</w:t>
      </w:r>
    </w:p>
    <w:p>
      <w:pPr>
        <w:spacing w:after="0" w:line="126"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On July 2, 2021, we completed our IPO and issued 8,050,000 shares of our common stock at a public offering price of $18.00 per share, which includes 1,050,000 shares of common stock issued upon the exercise in full by the underwriters of their option to purchase additional share, for total gross proceeds from the offering, before deducting the underwriting discount and other offering expenses, of approximately $144.9 million. After deducting the underwriting discount of $10.1 million and offering expenses of $1.5 million, we received net proceeds of approximately $133.3 million. No payments for such expenses were made directly or indirectly to</w:t>
      </w:r>
    </w:p>
    <w:p>
      <w:pPr>
        <w:spacing w:after="0" w:line="4" w:lineRule="exact"/>
        <w:rPr>
          <w:sz w:val="20"/>
          <w:szCs w:val="20"/>
          <w:color w:val="auto"/>
        </w:rPr>
      </w:pPr>
    </w:p>
    <w:p>
      <w:pPr>
        <w:ind w:left="60" w:right="79" w:hanging="10"/>
        <w:spacing w:after="0" w:line="237"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 our officers or directors or their associates, (ii) any persons owning 10% or more of any class of our equity securities or (iii) any of our affiliates. J.P. Morgan Securities LLC, Piper Sandler &amp; Co. and William Blair &amp; Company, L.L.C. acted as joint book-running managers of the IPO, and Canaccord Genuity LLC acted as a lead manager for the IPO. Shares of our common stock began trading on the Nasdaq Global Select Market on June 30, 2021. The offer and sale of the shares were registered under the Securities Act on Registration Statement on Form S-1 (File No. 333-256800), which was declared effective on June 29, 2021.</w:t>
      </w:r>
    </w:p>
    <w:p>
      <w:pPr>
        <w:spacing w:after="0" w:line="97"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dated June 29, 2021, filed with the SEC on July 1, 2021 pursuant to Rule 424(b) of the Securities Act.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8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gridSpan w:val="21"/>
          </w:tcPr>
          <w:p>
            <w:pPr>
              <w:ind w:left="160"/>
              <w:spacing w:after="0"/>
              <w:rPr>
                <w:sz w:val="20"/>
                <w:szCs w:val="20"/>
                <w:color w:val="auto"/>
              </w:rPr>
            </w:pPr>
            <w:r>
              <w:rPr>
                <w:rFonts w:ascii="Arial" w:cs="Arial" w:eastAsia="Arial" w:hAnsi="Arial"/>
                <w:sz w:val="22"/>
                <w:szCs w:val="22"/>
                <w:b w:val="1"/>
                <w:bCs w:val="1"/>
                <w:color w:val="auto"/>
              </w:rPr>
              <w:t>EXHIBIT INDEX</w:t>
            </w:r>
          </w:p>
        </w:tc>
      </w:tr>
      <w:tr>
        <w:trPr>
          <w:trHeight w:val="449"/>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25"/>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54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9"/>
              </w:rPr>
            </w:pPr>
            <w:hyperlink r:id="rId98">
              <w:r>
                <w:rPr>
                  <w:rFonts w:ascii="Arial" w:cs="Arial" w:eastAsia="Arial" w:hAnsi="Arial"/>
                  <w:sz w:val="18"/>
                  <w:szCs w:val="18"/>
                  <w:color w:val="0000EE"/>
                  <w:w w:val="99"/>
                </w:rPr>
                <w:t>Amended and Restated Certificate of Incorporation of CVRx, Inc. (incorporated by reference to</w:t>
              </w:r>
            </w:hyperlink>
          </w:p>
        </w:tc>
        <w:tc>
          <w:tcPr>
            <w:tcW w:w="380" w:type="dxa"/>
            <w:vAlign w:val="bottom"/>
            <w:tcBorders>
              <w:top w:val="single" w:sz="8" w:color="auto"/>
            </w:tcBorders>
            <w:gridSpan w:val="10"/>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Exhibit 3.1 to the Company’s Current Report on Form 8-K filed on July 7, 2021)</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500" w:type="dxa"/>
            <w:vAlign w:val="bottom"/>
            <w:tcBorders>
              <w:bottom w:val="single" w:sz="8" w:color="0000EE"/>
            </w:tcBorders>
            <w:gridSpan w:val="13"/>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Amended and Restated By-Laws of CVRx, Inc. (incorporated by reference to Exhibit 3.2 to the</w:t>
              </w:r>
            </w:hyperlink>
          </w:p>
        </w:tc>
        <w:tc>
          <w:tcPr>
            <w:tcW w:w="420" w:type="dxa"/>
            <w:vAlign w:val="bottom"/>
            <w:gridSpan w:val="11"/>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Company’s Current Report on Form 8-K filed on July 7, 2021)</w:t>
              </w:r>
            </w:hyperlink>
          </w:p>
        </w:tc>
        <w:tc>
          <w:tcPr>
            <w:tcW w:w="3020" w:type="dxa"/>
            <w:vAlign w:val="bottom"/>
            <w:gridSpan w:val="19"/>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7460" w:type="dxa"/>
            <w:vAlign w:val="bottom"/>
            <w:tcBorders>
              <w:bottom w:val="single" w:sz="8" w:color="0000EE"/>
            </w:tcBorders>
            <w:gridSpan w:val="12"/>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Form of Common Stock Certificate (incorporated by reference to Exhibit 4.2 to the Company’s</w:t>
              </w:r>
            </w:hyperlink>
          </w:p>
        </w:tc>
        <w:tc>
          <w:tcPr>
            <w:tcW w:w="460" w:type="dxa"/>
            <w:vAlign w:val="bottom"/>
            <w:gridSpan w:val="12"/>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Registration Statement on Form S-1/A filed on June 23, 2021)</w:t>
              </w:r>
            </w:hyperlink>
          </w:p>
        </w:tc>
        <w:tc>
          <w:tcPr>
            <w:tcW w:w="2980" w:type="dxa"/>
            <w:vAlign w:val="bottom"/>
            <w:gridSpan w:val="18"/>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7340" w:type="dxa"/>
            <w:vAlign w:val="bottom"/>
            <w:tcBorders>
              <w:bottom w:val="single" w:sz="8" w:color="0000EE"/>
            </w:tcBorders>
            <w:gridSpan w:val="10"/>
          </w:tcPr>
          <w:p>
            <w:pPr>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Warrant to Purchase Stock, dated as of September 12, 2014, issued by the Company to Life</w:t>
              </w:r>
            </w:hyperlink>
          </w:p>
        </w:tc>
        <w:tc>
          <w:tcPr>
            <w:tcW w:w="580" w:type="dxa"/>
            <w:vAlign w:val="bottom"/>
            <w:gridSpan w:val="14"/>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Science Loans, LLC (incorporated by reference to Exhibit 4.3 to the Company’s Registration</w:t>
              </w:r>
            </w:hyperlink>
          </w:p>
        </w:tc>
        <w:tc>
          <w:tcPr>
            <w:tcW w:w="600" w:type="dxa"/>
            <w:vAlign w:val="bottom"/>
            <w:gridSpan w:val="15"/>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Statement on Form S-1 filed on June 4, 2021)</w:t>
              </w:r>
            </w:hyperlink>
          </w:p>
        </w:tc>
        <w:tc>
          <w:tcPr>
            <w:tcW w:w="4260" w:type="dxa"/>
            <w:vAlign w:val="bottom"/>
            <w:gridSpan w:val="20"/>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Warrant to Purchase Stock, dated as of September 12, 2014, issued by the Company to Silicon</w:t>
              </w:r>
            </w:hyperlink>
          </w:p>
        </w:tc>
        <w:tc>
          <w:tcPr>
            <w:tcW w:w="340" w:type="dxa"/>
            <w:vAlign w:val="bottom"/>
            <w:gridSpan w:val="9"/>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Valley Bank (incorporated by reference to Exhibit 4.4 to the Company’s Registration Statement on</w:t>
              </w:r>
            </w:hyperlink>
          </w:p>
        </w:tc>
        <w:tc>
          <w:tcPr>
            <w:tcW w:w="120" w:type="dxa"/>
            <w:vAlign w:val="bottom"/>
            <w:gridSpan w:val="3"/>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Form S-1 filed on June 4, 2021)</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7920" w:type="dxa"/>
            <w:vAlign w:val="bottom"/>
            <w:gridSpan w:val="24"/>
          </w:tcPr>
          <w:p>
            <w:pPr>
              <w:spacing w:after="0"/>
              <w:rPr>
                <w:rFonts w:ascii="Arial" w:cs="Arial" w:eastAsia="Arial" w:hAnsi="Arial"/>
                <w:sz w:val="18"/>
                <w:szCs w:val="18"/>
                <w:color w:val="0000EE"/>
              </w:rPr>
            </w:pPr>
            <w:hyperlink r:id="rId103">
              <w:r>
                <w:rPr>
                  <w:rFonts w:ascii="Arial" w:cs="Arial" w:eastAsia="Arial" w:hAnsi="Arial"/>
                  <w:sz w:val="18"/>
                  <w:szCs w:val="18"/>
                  <w:color w:val="0000EE"/>
                </w:rPr>
                <w:t>Warrant to Purchase Stock, dated as of July 21, 2015, issued by the Company to Life Science</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tcBorders>
              <w:bottom w:val="single" w:sz="8" w:color="0000EE"/>
            </w:tcBorders>
            <w:gridSpan w:val="20"/>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Loans, LLC (incorporated by reference to Exhibit 4.5 to the Company’s Registration Statement on</w:t>
              </w:r>
            </w:hyperlink>
          </w:p>
        </w:tc>
        <w:tc>
          <w:tcPr>
            <w:tcW w:w="140" w:type="dxa"/>
            <w:vAlign w:val="bottom"/>
            <w:gridSpan w:val="4"/>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Form S-1 filed on June 4, 2021)</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7920" w:type="dxa"/>
            <w:vAlign w:val="bottom"/>
            <w:gridSpan w:val="24"/>
          </w:tcPr>
          <w:p>
            <w:pPr>
              <w:spacing w:after="0"/>
              <w:rPr>
                <w:rFonts w:ascii="Arial" w:cs="Arial" w:eastAsia="Arial" w:hAnsi="Arial"/>
                <w:sz w:val="18"/>
                <w:szCs w:val="18"/>
                <w:color w:val="0000EE"/>
              </w:rPr>
            </w:pPr>
            <w:hyperlink r:id="rId104">
              <w:r>
                <w:rPr>
                  <w:rFonts w:ascii="Arial" w:cs="Arial" w:eastAsia="Arial" w:hAnsi="Arial"/>
                  <w:sz w:val="18"/>
                  <w:szCs w:val="18"/>
                  <w:color w:val="0000EE"/>
                </w:rPr>
                <w:t>Warrant to Purchase Stock, dated as of July 21, 2015, issued by the Company to Silicon Valley</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Bank (incorporated by reference to Exhibit 4.6 to the Company’s Registration Statement on Form</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04">
              <w:r>
                <w:rPr>
                  <w:rFonts w:ascii="Arial" w:cs="Arial" w:eastAsia="Arial" w:hAnsi="Arial"/>
                  <w:sz w:val="18"/>
                  <w:szCs w:val="18"/>
                  <w:color w:val="0000EE"/>
                  <w:w w:val="98"/>
                </w:rPr>
                <w:t>S-1 filed on June 4, 2021)</w:t>
              </w:r>
            </w:hyperlink>
          </w:p>
        </w:tc>
        <w:tc>
          <w:tcPr>
            <w:tcW w:w="5640" w:type="dxa"/>
            <w:vAlign w:val="bottom"/>
            <w:tcBorders>
              <w:top w:val="single" w:sz="8" w:color="0000EE"/>
            </w:tcBorders>
            <w:gridSpan w:val="14"/>
          </w:tcPr>
          <w:p>
            <w:pPr>
              <w:spacing w:after="0"/>
              <w:rPr>
                <w:sz w:val="15"/>
                <w:szCs w:val="15"/>
                <w:color w:val="auto"/>
              </w:rPr>
            </w:pPr>
          </w:p>
        </w:tc>
        <w:tc>
          <w:tcPr>
            <w:tcW w:w="220" w:type="dxa"/>
            <w:vAlign w:val="bottom"/>
            <w:gridSpan w:val="8"/>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7760" w:type="dxa"/>
            <w:vAlign w:val="bottom"/>
            <w:tcBorders>
              <w:bottom w:val="single" w:sz="8" w:color="0000EE"/>
            </w:tcBorders>
            <w:gridSpan w:val="19"/>
          </w:tcPr>
          <w:p>
            <w:pPr>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Warrant to Purchase Stock, dated as of May 31, 2016, issued by the Company to Oxford Finance</w:t>
              </w:r>
            </w:hyperlink>
          </w:p>
        </w:tc>
        <w:tc>
          <w:tcPr>
            <w:tcW w:w="16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105">
              <w:r>
                <w:rPr>
                  <w:rFonts w:ascii="Arial" w:cs="Arial" w:eastAsia="Arial" w:hAnsi="Arial"/>
                  <w:sz w:val="18"/>
                  <w:szCs w:val="18"/>
                  <w:color w:val="0000EE"/>
                  <w:w w:val="99"/>
                </w:rPr>
                <w:t>LLC (incorporated by reference to Exhibit 4.7 to the Company’s Registration Statement on Form S-</w:t>
              </w:r>
            </w:hyperlink>
          </w:p>
        </w:tc>
        <w:tc>
          <w:tcPr>
            <w:tcW w:w="60" w:type="dxa"/>
            <w:vAlign w:val="bottom"/>
          </w:tcPr>
          <w:p>
            <w:pPr>
              <w:spacing w:after="0"/>
              <w:rPr>
                <w:sz w:val="15"/>
                <w:szCs w:val="15"/>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05">
              <w:r>
                <w:rPr>
                  <w:rFonts w:ascii="Arial" w:cs="Arial" w:eastAsia="Arial" w:hAnsi="Arial"/>
                  <w:sz w:val="18"/>
                  <w:szCs w:val="18"/>
                  <w:color w:val="0000EE"/>
                  <w:w w:val="98"/>
                </w:rPr>
                <w:t>1 filed on June 4, 2021)</w:t>
              </w:r>
            </w:hyperlink>
          </w:p>
        </w:tc>
        <w:tc>
          <w:tcPr>
            <w:tcW w:w="6040" w:type="dxa"/>
            <w:vAlign w:val="bottom"/>
            <w:gridSpan w:val="23"/>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7760" w:type="dxa"/>
            <w:vAlign w:val="bottom"/>
            <w:tcBorders>
              <w:bottom w:val="single" w:sz="8" w:color="0000EE"/>
            </w:tcBorders>
            <w:gridSpan w:val="19"/>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Warrant to Purchase Stock, dated as of May 31, 2016, issued by the Company to Oxford Finance</w:t>
              </w:r>
            </w:hyperlink>
          </w:p>
        </w:tc>
        <w:tc>
          <w:tcPr>
            <w:tcW w:w="16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LLC (incorporated by reference to Exhibit 4.8 to the Company’s Registration Statement on Form S-</w:t>
              </w:r>
            </w:hyperlink>
          </w:p>
        </w:tc>
        <w:tc>
          <w:tcPr>
            <w:tcW w:w="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06">
              <w:r>
                <w:rPr>
                  <w:rFonts w:ascii="Arial" w:cs="Arial" w:eastAsia="Arial" w:hAnsi="Arial"/>
                  <w:sz w:val="18"/>
                  <w:szCs w:val="18"/>
                  <w:color w:val="0000EE"/>
                  <w:w w:val="98"/>
                </w:rPr>
                <w:t>1 filed on June 4, 2021)</w:t>
              </w:r>
            </w:hyperlink>
          </w:p>
        </w:tc>
        <w:tc>
          <w:tcPr>
            <w:tcW w:w="6040" w:type="dxa"/>
            <w:vAlign w:val="bottom"/>
            <w:gridSpan w:val="23"/>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7760" w:type="dxa"/>
            <w:vAlign w:val="bottom"/>
            <w:tcBorders>
              <w:bottom w:val="single" w:sz="8" w:color="0000EE"/>
            </w:tcBorders>
            <w:gridSpan w:val="19"/>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Warrant to Purchase Stock, dated as of May 31, 2016, issued by the Company to Oxford Finance</w:t>
              </w:r>
            </w:hyperlink>
          </w:p>
        </w:tc>
        <w:tc>
          <w:tcPr>
            <w:tcW w:w="160" w:type="dxa"/>
            <w:vAlign w:val="bottom"/>
            <w:gridSpan w:val="5"/>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LLC (incorporated by reference to Exhibit 4.9 to the Company’s Registration Statement on Form S-</w:t>
              </w:r>
            </w:hyperlink>
          </w:p>
        </w:tc>
        <w:tc>
          <w:tcPr>
            <w:tcW w:w="6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07">
              <w:r>
                <w:rPr>
                  <w:rFonts w:ascii="Arial" w:cs="Arial" w:eastAsia="Arial" w:hAnsi="Arial"/>
                  <w:sz w:val="18"/>
                  <w:szCs w:val="18"/>
                  <w:color w:val="0000EE"/>
                  <w:w w:val="98"/>
                </w:rPr>
                <w:t>1 filed on June 4, 2021)</w:t>
              </w:r>
            </w:hyperlink>
          </w:p>
        </w:tc>
        <w:tc>
          <w:tcPr>
            <w:tcW w:w="6040" w:type="dxa"/>
            <w:vAlign w:val="bottom"/>
            <w:gridSpan w:val="23"/>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7740" w:type="dxa"/>
            <w:vAlign w:val="bottom"/>
            <w:tcBorders>
              <w:bottom w:val="single" w:sz="8" w:color="0000EE"/>
            </w:tcBorders>
            <w:gridSpan w:val="18"/>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Warrant to Purchase Stock, dated as of May 31, 2016, issued by the Company to Oxford Finance</w:t>
              </w:r>
            </w:hyperlink>
          </w:p>
        </w:tc>
        <w:tc>
          <w:tcPr>
            <w:tcW w:w="180" w:type="dxa"/>
            <w:vAlign w:val="bottom"/>
            <w:gridSpan w:val="6"/>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LLC (incorporated by reference to Exhibit 4.10 to the Company’s Registration Statement on Form</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08">
              <w:r>
                <w:rPr>
                  <w:rFonts w:ascii="Arial" w:cs="Arial" w:eastAsia="Arial" w:hAnsi="Arial"/>
                  <w:sz w:val="18"/>
                  <w:szCs w:val="18"/>
                  <w:color w:val="0000EE"/>
                  <w:w w:val="98"/>
                </w:rPr>
                <w:t>S-1 filed on June 4, 2021)</w:t>
              </w:r>
            </w:hyperlink>
          </w:p>
        </w:tc>
        <w:tc>
          <w:tcPr>
            <w:tcW w:w="5660" w:type="dxa"/>
            <w:vAlign w:val="bottom"/>
            <w:tcBorders>
              <w:top w:val="single" w:sz="8" w:color="0000EE"/>
            </w:tcBorders>
            <w:gridSpan w:val="15"/>
          </w:tcPr>
          <w:p>
            <w:pPr>
              <w:spacing w:after="0"/>
              <w:rPr>
                <w:sz w:val="15"/>
                <w:szCs w:val="15"/>
                <w:color w:val="auto"/>
              </w:rPr>
            </w:pPr>
          </w:p>
        </w:tc>
        <w:tc>
          <w:tcPr>
            <w:tcW w:w="200" w:type="dxa"/>
            <w:vAlign w:val="bottom"/>
            <w:gridSpan w:val="7"/>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7540" w:type="dxa"/>
            <w:vAlign w:val="bottom"/>
            <w:tcBorders>
              <w:bottom w:val="single" w:sz="8" w:color="0000EE"/>
            </w:tcBorders>
            <w:gridSpan w:val="14"/>
          </w:tcPr>
          <w:p>
            <w:pPr>
              <w:spacing w:after="0"/>
              <w:rPr>
                <w:rFonts w:ascii="Arial" w:cs="Arial" w:eastAsia="Arial" w:hAnsi="Arial"/>
                <w:sz w:val="18"/>
                <w:szCs w:val="18"/>
                <w:color w:val="0000EE"/>
                <w:w w:val="99"/>
              </w:rPr>
            </w:pPr>
            <w:hyperlink r:id="rId109">
              <w:r>
                <w:rPr>
                  <w:rFonts w:ascii="Arial" w:cs="Arial" w:eastAsia="Arial" w:hAnsi="Arial"/>
                  <w:sz w:val="18"/>
                  <w:szCs w:val="18"/>
                  <w:color w:val="0000EE"/>
                  <w:w w:val="99"/>
                </w:rPr>
                <w:t>Warrant to Purchase Series E-2 Convertible Preferred Stock, dated as of September 28, 2018,</w:t>
              </w:r>
            </w:hyperlink>
          </w:p>
        </w:tc>
        <w:tc>
          <w:tcPr>
            <w:tcW w:w="380" w:type="dxa"/>
            <w:vAlign w:val="bottom"/>
            <w:gridSpan w:val="10"/>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issued by the Company to Biosense Webster, Inc. (incorporated by reference to Exhibit 4.11 to the</w:t>
              </w:r>
            </w:hyperlink>
          </w:p>
        </w:tc>
        <w:tc>
          <w:tcPr>
            <w:tcW w:w="100" w:type="dxa"/>
            <w:vAlign w:val="bottom"/>
            <w:gridSpan w:val="2"/>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Company’s Registration Statement on Form S-1 filed on June 4, 2021)</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7"/>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7380" w:type="dxa"/>
            <w:vAlign w:val="bottom"/>
            <w:tcBorders>
              <w:bottom w:val="single" w:sz="8" w:color="0000EE"/>
            </w:tcBorders>
            <w:gridSpan w:val="11"/>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Warrant to Purchase Series G Convertible Preferred Stock, dated as of September 28, 2018,</w:t>
              </w:r>
            </w:hyperlink>
          </w:p>
        </w:tc>
        <w:tc>
          <w:tcPr>
            <w:tcW w:w="540" w:type="dxa"/>
            <w:vAlign w:val="bottom"/>
            <w:gridSpan w:val="13"/>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issued by the Company to Biosense Webster, Inc. (incorporated by reference to Exhibit 4.12 to the</w:t>
              </w:r>
            </w:hyperlink>
          </w:p>
        </w:tc>
        <w:tc>
          <w:tcPr>
            <w:tcW w:w="100" w:type="dxa"/>
            <w:vAlign w:val="bottom"/>
            <w:gridSpan w:val="2"/>
          </w:tcPr>
          <w:p>
            <w:pPr>
              <w:spacing w:after="0"/>
              <w:rPr>
                <w:sz w:val="15"/>
                <w:szCs w:val="15"/>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24"/>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Company’s Registration Statement on Form S-1 filed on June 4, 2021)</w:t>
              </w:r>
            </w:hyperlink>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12">
        <w:r>
          <w:rPr>
            <w:rFonts w:ascii="Arial" w:cs="Arial" w:eastAsia="Arial" w:hAnsi="Arial"/>
            <w:sz w:val="18"/>
            <w:szCs w:val="18"/>
            <w:u w:val="single" w:color="auto"/>
            <w:color w:val="0000EE"/>
          </w:rPr>
          <w:t>Warrant to Purchase Shares of Series G Preferred Stock (Loan A), dated as of September 30,</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Credit II LLC on February 6, 2020 (incorporated by reference to Exhibit 4.13 to the Company’s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13">
        <w:r>
          <w:rPr>
            <w:rFonts w:ascii="Arial" w:cs="Arial" w:eastAsia="Arial" w:hAnsi="Arial"/>
            <w:sz w:val="18"/>
            <w:szCs w:val="18"/>
            <w:u w:val="single" w:color="auto"/>
            <w:color w:val="0000EE"/>
          </w:rPr>
          <w:t>Warrant to Purchase Shares of Series G Preferred Stock (Loan B), dated as of September 30,</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Credit II LLC on February 6, 2020 (incorporated by reference to Exhibit 4.14 to the Company’s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14">
        <w:r>
          <w:rPr>
            <w:rFonts w:ascii="Arial" w:cs="Arial" w:eastAsia="Arial" w:hAnsi="Arial"/>
            <w:sz w:val="18"/>
            <w:szCs w:val="18"/>
            <w:u w:val="single" w:color="auto"/>
            <w:color w:val="0000EE"/>
          </w:rPr>
          <w:t>Warrant to Purchase Shares of Series G Preferred Stock (Loan C), dated as of September 30,</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Funding Trust 2019-1 on February 18, 2020 (incorporated by reference to Exhibit 4.15 to the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Company’s 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21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15">
        <w:r>
          <w:rPr>
            <w:rFonts w:ascii="Arial" w:cs="Arial" w:eastAsia="Arial" w:hAnsi="Arial"/>
            <w:sz w:val="18"/>
            <w:szCs w:val="18"/>
            <w:u w:val="single" w:color="auto"/>
            <w:color w:val="0000EE"/>
          </w:rPr>
          <w:t>Warrant to Purchase Shares of Series G Preferred Stock (Loan D), dated as of September 30,</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Funding Trust 2019-1 on February 18, 2020 (incorporated by reference to Exhibit 4.16 to the</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Company’s 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39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16">
        <w:r>
          <w:rPr>
            <w:rFonts w:ascii="Arial" w:cs="Arial" w:eastAsia="Arial" w:hAnsi="Arial"/>
            <w:sz w:val="18"/>
            <w:szCs w:val="18"/>
            <w:u w:val="single" w:color="auto"/>
            <w:color w:val="0000EE"/>
          </w:rPr>
          <w:t>Form of 2021 Equity Incentive Plan (incorporated by reference to Exhibit 10.9 to the Company’s</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Registration Statement on Form S-1/A filed on June 23, 2021)</w:t>
        </w:r>
      </w:hyperlink>
    </w:p>
    <w:p>
      <w:pPr>
        <w:spacing w:after="0" w:line="183" w:lineRule="exact"/>
        <w:rPr>
          <w:sz w:val="20"/>
          <w:szCs w:val="20"/>
          <w:color w:val="auto"/>
        </w:rPr>
      </w:pPr>
    </w:p>
    <w:p>
      <w:pPr>
        <w:ind w:left="1020" w:right="85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17">
        <w:r>
          <w:rPr>
            <w:rFonts w:ascii="Arial" w:cs="Arial" w:eastAsia="Arial" w:hAnsi="Arial"/>
            <w:sz w:val="18"/>
            <w:szCs w:val="18"/>
            <w:u w:val="single" w:color="auto"/>
            <w:color w:val="0000EE"/>
          </w:rPr>
          <w:t>Form of Employee Stock Purchase Plan (incorporated by reference to Exhibit 10.10 to the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Company’s Registration Statement on Form S-1/A filed on June 23, 2021)</w:t>
        </w:r>
      </w:hyperlink>
    </w:p>
    <w:p>
      <w:pPr>
        <w:spacing w:after="0" w:line="183" w:lineRule="exact"/>
        <w:rPr>
          <w:sz w:val="20"/>
          <w:szCs w:val="20"/>
          <w:color w:val="auto"/>
        </w:rPr>
      </w:pPr>
    </w:p>
    <w:p>
      <w:pPr>
        <w:ind w:left="1020" w:right="33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18">
        <w:r>
          <w:rPr>
            <w:rFonts w:ascii="Arial" w:cs="Arial" w:eastAsia="Arial" w:hAnsi="Arial"/>
            <w:sz w:val="18"/>
            <w:szCs w:val="18"/>
            <w:u w:val="single" w:color="auto"/>
            <w:color w:val="0000EE"/>
          </w:rPr>
          <w:t>Form of Executive Officer Employment Agreement (incorporated by reference to Exhibit 10.12 to</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the Company’s 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19">
        <w:r>
          <w:rPr>
            <w:rFonts w:ascii="Arial" w:cs="Arial" w:eastAsia="Arial" w:hAnsi="Arial"/>
            <w:sz w:val="18"/>
            <w:szCs w:val="18"/>
            <w:u w:val="single" w:color="auto"/>
            <w:color w:val="0000EE"/>
          </w:rPr>
          <w:t>Form of Indemnification Agreement between the Company and its directors and officers</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(incorporated by reference to Exhibit 10.13 to the Company’s Registration Statement on Form S-</w:t>
        </w:r>
      </w:hyperlink>
      <w:hyperlink r:id="rId119">
        <w:r>
          <w:rPr>
            <w:rFonts w:ascii="Arial" w:cs="Arial" w:eastAsia="Arial" w:hAnsi="Arial"/>
            <w:sz w:val="18"/>
            <w:szCs w:val="18"/>
            <w:u w:val="single" w:color="auto"/>
            <w:color w:val="0000EE"/>
          </w:rPr>
          <w:t>1/A filed on June 23, 2021)</w:t>
        </w:r>
      </w:hyperlink>
    </w:p>
    <w:p>
      <w:pPr>
        <w:spacing w:after="0" w:line="176" w:lineRule="exact"/>
        <w:rPr>
          <w:rFonts w:ascii="Arial" w:cs="Arial" w:eastAsia="Arial" w:hAnsi="Arial"/>
          <w:sz w:val="18"/>
          <w:szCs w:val="18"/>
          <w:u w:val="single" w:color="auto"/>
          <w:color w:val="0000EE"/>
        </w:rPr>
      </w:pPr>
    </w:p>
    <w:p>
      <w:pPr>
        <w:ind w:left="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83">
        <w:r>
          <w:rPr>
            <w:rFonts w:ascii="Arial" w:cs="Arial" w:eastAsia="Arial" w:hAnsi="Arial"/>
            <w:sz w:val="17"/>
            <w:szCs w:val="17"/>
            <w:u w:val="single" w:color="auto"/>
            <w:color w:val="0000EE"/>
          </w:rPr>
          <w:t>Certification of Chief Executive Officer Pursuant to Section 302 of the Sarbanes-Oxley Act of 2002</w:t>
        </w:r>
      </w:hyperlink>
    </w:p>
    <w:p>
      <w:pPr>
        <w:spacing w:after="0" w:line="212" w:lineRule="exact"/>
        <w:rPr>
          <w:rFonts w:ascii="Arial" w:cs="Arial" w:eastAsia="Arial" w:hAnsi="Arial"/>
          <w:sz w:val="18"/>
          <w:szCs w:val="18"/>
          <w:u w:val="single" w:color="auto"/>
          <w:color w:val="0000EE"/>
        </w:rPr>
      </w:pPr>
    </w:p>
    <w:p>
      <w:pPr>
        <w:ind w:left="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84">
        <w:r>
          <w:rPr>
            <w:rFonts w:ascii="Arial" w:cs="Arial" w:eastAsia="Arial" w:hAnsi="Arial"/>
            <w:sz w:val="17"/>
            <w:szCs w:val="17"/>
            <w:u w:val="single" w:color="auto"/>
            <w:color w:val="0000EE"/>
          </w:rPr>
          <w:t>Certification of Chief Financial Officer Pursuant to Section 302 of the Sarbanes-Oxley Act of 2002</w:t>
        </w:r>
      </w:hyperlink>
    </w:p>
    <w:p>
      <w:pPr>
        <w:spacing w:after="0" w:line="212" w:lineRule="exact"/>
        <w:rPr>
          <w:rFonts w:ascii="Arial" w:cs="Arial" w:eastAsia="Arial" w:hAnsi="Arial"/>
          <w:sz w:val="18"/>
          <w:szCs w:val="18"/>
          <w:u w:val="single" w:color="auto"/>
          <w:color w:val="0000EE"/>
        </w:rPr>
      </w:pPr>
    </w:p>
    <w:p>
      <w:pPr>
        <w:ind w:left="1020" w:right="139" w:hanging="969"/>
        <w:spacing w:after="0" w:line="26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85">
        <w:r>
          <w:rPr>
            <w:rFonts w:ascii="Arial" w:cs="Arial" w:eastAsia="Arial" w:hAnsi="Arial"/>
            <w:sz w:val="18"/>
            <w:szCs w:val="18"/>
            <w:u w:val="single" w:color="auto"/>
            <w:color w:val="0000EE"/>
          </w:rPr>
          <w:t>Certification of Chief Executive Officer Pursuant to 18 U.S.C. Section 1350, as adopted pursuant to</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Section 906 of the Sarbanes-Oxley Act of 2002</w:t>
        </w:r>
      </w:hyperlink>
    </w:p>
    <w:p>
      <w:pPr>
        <w:spacing w:after="0" w:line="184" w:lineRule="exact"/>
        <w:rPr>
          <w:sz w:val="20"/>
          <w:szCs w:val="20"/>
          <w:color w:val="auto"/>
        </w:rPr>
      </w:pPr>
    </w:p>
    <w:p>
      <w:pPr>
        <w:ind w:left="1020" w:right="199" w:hanging="969"/>
        <w:spacing w:after="0" w:line="26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86">
        <w:r>
          <w:rPr>
            <w:rFonts w:ascii="Arial" w:cs="Arial" w:eastAsia="Arial" w:hAnsi="Arial"/>
            <w:sz w:val="18"/>
            <w:szCs w:val="18"/>
            <w:u w:val="single" w:color="auto"/>
            <w:color w:val="0000EE"/>
          </w:rPr>
          <w:t>Certification of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Section 906 of the Sarbanes-Oxley Act of 2002</w:t>
        </w:r>
      </w:hyperlink>
    </w:p>
    <w:p>
      <w:pPr>
        <w:spacing w:after="0" w:line="184" w:lineRule="exact"/>
        <w:rPr>
          <w:sz w:val="20"/>
          <w:szCs w:val="20"/>
          <w:color w:val="auto"/>
        </w:rPr>
      </w:pPr>
    </w:p>
    <w:p>
      <w:pPr>
        <w:ind w:left="1020" w:right="299" w:hanging="969"/>
        <w:spacing w:after="0" w:line="277" w:lineRule="auto"/>
        <w:tabs>
          <w:tab w:leader="none" w:pos="10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right="259"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under the Securities Act. The Company agrees to furnish supplementally any omitted exhibits and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9, 2021</w:t>
      </w:r>
    </w:p>
    <w:p>
      <w:pPr>
        <w:spacing w:after="0" w:line="20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43"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ind w:left="394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212"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09,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Arial" w:cs="Arial" w:eastAsia="Arial" w:hAnsi="Arial"/>
                <w:sz w:val="18"/>
                <w:szCs w:val="18"/>
                <w:color w:val="auto"/>
                <w:w w:val="90"/>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09, 2021</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-121920</wp:posOffset>
            </wp:positionV>
            <wp:extent cx="266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CVRx, Inc (the “Company”) on Form 10-Q for the period ended June 30, 2021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57" w:lineRule="exact"/>
        <w:rPr>
          <w:sz w:val="20"/>
          <w:szCs w:val="20"/>
          <w:color w:val="auto"/>
        </w:rPr>
      </w:pPr>
    </w:p>
    <w:p>
      <w:pPr>
        <w:ind w:left="1300" w:right="2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09, 2021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5"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CVRx, Inc. (the “Company”) on Form 10-Q for the period ended June 30, 2021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57" w:lineRule="exact"/>
        <w:rPr>
          <w:sz w:val="20"/>
          <w:szCs w:val="20"/>
          <w:color w:val="auto"/>
        </w:rPr>
      </w:pPr>
    </w:p>
    <w:p>
      <w:pPr>
        <w:ind w:left="1300" w:right="22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09, 2021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Jared Oasheim</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lowerRoman"/>
      <w:start w:val="2"/>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upperLetter"/>
      <w:start w:val="6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1"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98" Type="http://schemas.openxmlformats.org/officeDocument/2006/relationships/hyperlink" Target="https://www.sec.gov/Archives/edgar/data/1235912/000110465921089779/tm2121505d1_ex3-1.htm" TargetMode="External"/><Relationship Id="rId99" Type="http://schemas.openxmlformats.org/officeDocument/2006/relationships/hyperlink" Target="https://www.sec.gov/Archives/edgar/data/1235912/000110465921089779/tm2121505d1_ex3-2.htm" TargetMode="External"/><Relationship Id="rId100" Type="http://schemas.openxmlformats.org/officeDocument/2006/relationships/hyperlink" Target="https://www.sec.gov/Archives/edgar/data/1235912/000110465921084344/tm2112357d10_ex4-2.htm" TargetMode="External"/><Relationship Id="rId101" Type="http://schemas.openxmlformats.org/officeDocument/2006/relationships/hyperlink" Target="https://www.sec.gov/Archives/edgar/data/1235912/000110465921077026/tm2112357d6_ex4-3.htm" TargetMode="External"/><Relationship Id="rId102" Type="http://schemas.openxmlformats.org/officeDocument/2006/relationships/hyperlink" Target="https://www.sec.gov/Archives/edgar/data/1235912/000110465921077026/tm2112357d6_ex4-4.htm" TargetMode="External"/><Relationship Id="rId103" Type="http://schemas.openxmlformats.org/officeDocument/2006/relationships/hyperlink" Target="https://www.sec.gov/Archives/edgar/data/1235912/000110465921077026/tm2112357d6_ex4-5.htm" TargetMode="External"/><Relationship Id="rId104" Type="http://schemas.openxmlformats.org/officeDocument/2006/relationships/hyperlink" Target="https://www.sec.gov/Archives/edgar/data/1235912/000110465921077026/tm2112357d6_ex4-6.htm" TargetMode="External"/><Relationship Id="rId105" Type="http://schemas.openxmlformats.org/officeDocument/2006/relationships/hyperlink" Target="https://www.sec.gov/Archives/edgar/data/1235912/000110465921077026/tm2112357d6_ex4-7.htm" TargetMode="External"/><Relationship Id="rId106" Type="http://schemas.openxmlformats.org/officeDocument/2006/relationships/hyperlink" Target="https://www.sec.gov/Archives/edgar/data/1235912/000110465921077026/tm2112357d6_ex4-8.htm" TargetMode="External"/><Relationship Id="rId107" Type="http://schemas.openxmlformats.org/officeDocument/2006/relationships/hyperlink" Target="https://www.sec.gov/Archives/edgar/data/1235912/000110465921077026/tm2112357d6_ex4-9.htm" TargetMode="External"/><Relationship Id="rId108" Type="http://schemas.openxmlformats.org/officeDocument/2006/relationships/hyperlink" Target="https://www.sec.gov/Archives/edgar/data/1235912/000110465921077026/tm2112357d6_ex4-10.htm" TargetMode="External"/><Relationship Id="rId109" Type="http://schemas.openxmlformats.org/officeDocument/2006/relationships/hyperlink" Target="https://www.sec.gov/Archives/edgar/data/1235912/000110465921077026/tm2112357d6_ex4-11.htm" TargetMode="External"/><Relationship Id="rId110" Type="http://schemas.openxmlformats.org/officeDocument/2006/relationships/hyperlink" Target="https://www.sec.gov/Archives/edgar/data/1235912/000110465921077026/tm2112357d6_ex4-12.htm" TargetMode="External"/><Relationship Id="rId112" Type="http://schemas.openxmlformats.org/officeDocument/2006/relationships/hyperlink" Target="https://www.sec.gov/Archives/edgar/data/1235912/000110465921077026/tm2112357d6_ex4-13.htm" TargetMode="External"/><Relationship Id="rId113" Type="http://schemas.openxmlformats.org/officeDocument/2006/relationships/hyperlink" Target="https://www.sec.gov/Archives/edgar/data/1235912/000110465921077026/tm2112357d6_ex4-14.htm" TargetMode="External"/><Relationship Id="rId114" Type="http://schemas.openxmlformats.org/officeDocument/2006/relationships/hyperlink" Target="https://www.sec.gov/Archives/edgar/data/1235912/000110465921077026/tm2112357d6_ex4-15.htm" TargetMode="External"/><Relationship Id="rId115" Type="http://schemas.openxmlformats.org/officeDocument/2006/relationships/hyperlink" Target="https://www.sec.gov/Archives/edgar/data/1235912/000110465921077026/tm2112357d6_ex4-16.htm" TargetMode="External"/><Relationship Id="rId116" Type="http://schemas.openxmlformats.org/officeDocument/2006/relationships/hyperlink" Target="https://www.sec.gov/Archives/edgar/data/1235912/000110465921084344/tm2112357d10_ex10-9.htm" TargetMode="External"/><Relationship Id="rId117" Type="http://schemas.openxmlformats.org/officeDocument/2006/relationships/hyperlink" Target="https://www.sec.gov/Archives/edgar/data/1235912/000110465921084344/tm2112357d10_ex10-10.htm" TargetMode="External"/><Relationship Id="rId118" Type="http://schemas.openxmlformats.org/officeDocument/2006/relationships/hyperlink" Target="https://www.sec.gov/Archives/edgar/data/1235912/000110465921084344/tm2112357d10_ex10-12.htm" TargetMode="External"/><Relationship Id="rId119" Type="http://schemas.openxmlformats.org/officeDocument/2006/relationships/hyperlink" Target="https://www.sec.gov/Archives/edgar/data/1235912/000110465921084344/tm2112357d10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2021-08-09T16:46:52Z</dcterms:created>
  <dcterms:modified xsi:type="dcterms:W3CDTF">2021-08-09T16:46:52Z</dcterms:modified>
</cp:coreProperties>
</file>