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96520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106680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(Mark One)</w:t>
      </w:r>
    </w:p>
    <w:p>
      <w:pPr>
        <w:spacing w:after="0" w:line="17" w:lineRule="exact"/>
        <w:rPr>
          <w:sz w:val="24"/>
          <w:szCs w:val="24"/>
          <w:color w:val="auto"/>
        </w:rPr>
      </w:pPr>
    </w:p>
    <w:p>
      <w:pPr>
        <w:ind w:left="1320" w:hanging="642"/>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5" w:lineRule="exact"/>
        <w:rPr>
          <w:rFonts w:ascii="MS PGothic" w:cs="MS PGothic" w:eastAsia="MS PGothic" w:hAnsi="MS PGothic"/>
          <w:sz w:val="16"/>
          <w:szCs w:val="16"/>
          <w:color w:val="auto"/>
        </w:rPr>
      </w:pPr>
    </w:p>
    <w:p>
      <w:pPr>
        <w:ind w:left="35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March 31, 2022</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1320" w:hanging="642"/>
        <w:spacing w:after="0"/>
        <w:tabs>
          <w:tab w:leader="none" w:pos="13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7" w:lineRule="exact"/>
        <w:rPr>
          <w:sz w:val="24"/>
          <w:szCs w:val="24"/>
          <w:color w:val="auto"/>
        </w:rPr>
      </w:pPr>
    </w:p>
    <w:p>
      <w:pPr>
        <w:ind w:left="3200"/>
        <w:spacing w:after="0"/>
        <w:tabs>
          <w:tab w:leader="none" w:pos="60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3345180</wp:posOffset>
            </wp:positionH>
            <wp:positionV relativeFrom="paragraph">
              <wp:posOffset>-10160</wp:posOffset>
            </wp:positionV>
            <wp:extent cx="1126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001-40545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126365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CVRx, Inc.</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121920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00" w:type="dxa"/>
            <w:vAlign w:val="bottom"/>
            <w:gridSpan w:val="3"/>
          </w:tcPr>
          <w:p>
            <w:pPr>
              <w:jc w:val="center"/>
              <w:ind w:left="1402"/>
              <w:spacing w:after="0"/>
              <w:rPr>
                <w:sz w:val="20"/>
                <w:szCs w:val="20"/>
                <w:color w:val="auto"/>
              </w:rPr>
            </w:pPr>
            <w:r>
              <w:rPr>
                <w:rFonts w:ascii="Arial" w:cs="Arial" w:eastAsia="Arial" w:hAnsi="Arial"/>
                <w:sz w:val="16"/>
                <w:szCs w:val="16"/>
                <w:b w:val="1"/>
                <w:bCs w:val="1"/>
                <w:color w:val="auto"/>
                <w:w w:val="99"/>
              </w:rPr>
              <w:t>Delaware</w:t>
            </w:r>
          </w:p>
        </w:tc>
        <w:tc>
          <w:tcPr>
            <w:tcW w:w="1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41-1983744</w:t>
            </w:r>
          </w:p>
        </w:tc>
      </w:tr>
      <w:tr>
        <w:trPr>
          <w:trHeight w:val="162"/>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(State or other jurisdiction of</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tcPr>
          <w:p>
            <w:pPr>
              <w:jc w:val="center"/>
              <w:ind w:right="1404"/>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700" w:type="dxa"/>
            <w:vAlign w:val="bottom"/>
            <w:gridSpan w:val="3"/>
          </w:tcPr>
          <w:p>
            <w:pPr>
              <w:jc w:val="center"/>
              <w:ind w:left="1402"/>
              <w:spacing w:after="0"/>
              <w:rPr>
                <w:sz w:val="20"/>
                <w:szCs w:val="20"/>
                <w:color w:val="auto"/>
              </w:rPr>
            </w:pPr>
            <w:r>
              <w:rPr>
                <w:rFonts w:ascii="Arial" w:cs="Arial" w:eastAsia="Arial" w:hAnsi="Arial"/>
                <w:sz w:val="14"/>
                <w:szCs w:val="14"/>
                <w:b w:val="1"/>
                <w:bCs w:val="1"/>
                <w:color w:val="auto"/>
              </w:rPr>
              <w:t>incorporation or organization)</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20" w:type="dxa"/>
            <w:vAlign w:val="bottom"/>
          </w:tcPr>
          <w:p>
            <w:pPr>
              <w:jc w:val="center"/>
              <w:ind w:right="1384"/>
              <w:spacing w:after="0"/>
              <w:rPr>
                <w:sz w:val="20"/>
                <w:szCs w:val="20"/>
                <w:color w:val="auto"/>
              </w:rPr>
            </w:pPr>
            <w:r>
              <w:rPr>
                <w:rFonts w:ascii="Arial" w:cs="Arial" w:eastAsia="Arial" w:hAnsi="Arial"/>
                <w:sz w:val="14"/>
                <w:szCs w:val="14"/>
                <w:b w:val="1"/>
                <w:bCs w:val="1"/>
                <w:color w:val="auto"/>
              </w:rPr>
              <w:t>Identification No.)</w:t>
            </w:r>
          </w:p>
        </w:tc>
      </w:tr>
      <w:tr>
        <w:trPr>
          <w:trHeight w:val="244"/>
        </w:trPr>
        <w:tc>
          <w:tcPr>
            <w:tcW w:w="3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9201 West Broadway Avenue</w:t>
            </w:r>
          </w:p>
        </w:tc>
        <w:tc>
          <w:tcPr>
            <w:tcW w:w="3220" w:type="dxa"/>
            <w:vAlign w:val="bottom"/>
          </w:tcPr>
          <w:p>
            <w:pPr>
              <w:spacing w:after="0"/>
              <w:rPr>
                <w:sz w:val="21"/>
                <w:szCs w:val="21"/>
                <w:color w:val="auto"/>
              </w:rPr>
            </w:pPr>
          </w:p>
        </w:tc>
      </w:tr>
      <w:tr>
        <w:trPr>
          <w:trHeight w:val="189"/>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Suite 650</w:t>
            </w:r>
          </w:p>
        </w:tc>
        <w:tc>
          <w:tcPr>
            <w:tcW w:w="3220" w:type="dxa"/>
            <w:vAlign w:val="bottom"/>
          </w:tcPr>
          <w:p>
            <w:pPr>
              <w:spacing w:after="0"/>
              <w:rPr>
                <w:sz w:val="16"/>
                <w:szCs w:val="16"/>
                <w:color w:val="auto"/>
              </w:rPr>
            </w:pPr>
          </w:p>
        </w:tc>
      </w:tr>
      <w:tr>
        <w:trPr>
          <w:trHeight w:val="194"/>
        </w:trPr>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rPr>
              <w:t>Minneapolis, MN 55445</w:t>
            </w:r>
          </w:p>
        </w:tc>
        <w:tc>
          <w:tcPr>
            <w:tcW w:w="3220" w:type="dxa"/>
            <w:vAlign w:val="bottom"/>
          </w:tcPr>
          <w:p>
            <w:pPr>
              <w:spacing w:after="0"/>
              <w:rPr>
                <w:sz w:val="16"/>
                <w:szCs w:val="16"/>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(Address of Principal Executive Offices)</w:t>
            </w:r>
          </w:p>
        </w:tc>
        <w:tc>
          <w:tcPr>
            <w:tcW w:w="3220" w:type="dxa"/>
            <w:vAlign w:val="bottom"/>
          </w:tcPr>
          <w:p>
            <w:pPr>
              <w:spacing w:after="0"/>
              <w:rPr>
                <w:sz w:val="17"/>
                <w:szCs w:val="17"/>
                <w:color w:val="auto"/>
              </w:rPr>
            </w:pPr>
          </w:p>
        </w:tc>
      </w:tr>
      <w:tr>
        <w:trPr>
          <w:trHeight w:val="263"/>
        </w:trPr>
        <w:tc>
          <w:tcPr>
            <w:tcW w:w="3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20" w:type="dxa"/>
            <w:vAlign w:val="bottom"/>
            <w:gridSpan w:val="2"/>
          </w:tcPr>
          <w:p>
            <w:pPr>
              <w:jc w:val="center"/>
              <w:ind w:left="104"/>
              <w:spacing w:after="0"/>
              <w:rPr>
                <w:sz w:val="20"/>
                <w:szCs w:val="20"/>
                <w:color w:val="auto"/>
              </w:rPr>
            </w:pPr>
            <w:r>
              <w:rPr>
                <w:rFonts w:ascii="Arial" w:cs="Arial" w:eastAsia="Arial" w:hAnsi="Arial"/>
                <w:sz w:val="16"/>
                <w:szCs w:val="16"/>
                <w:b w:val="1"/>
                <w:bCs w:val="1"/>
                <w:color w:val="auto"/>
              </w:rPr>
              <w:t>(763) 416-2840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20" w:type="dxa"/>
            <w:vAlign w:val="bottom"/>
          </w:tcPr>
          <w:p>
            <w:pPr>
              <w:spacing w:after="0"/>
              <w:rPr>
                <w:sz w:val="22"/>
                <w:szCs w:val="22"/>
                <w:color w:val="auto"/>
              </w:rPr>
            </w:pPr>
          </w:p>
        </w:tc>
      </w:tr>
      <w:tr>
        <w:trPr>
          <w:trHeight w:val="196"/>
        </w:trPr>
        <w:tc>
          <w:tcPr>
            <w:tcW w:w="3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(Registrant’s telephone number)</w:t>
            </w:r>
          </w:p>
        </w:tc>
        <w:tc>
          <w:tcPr>
            <w:tcW w:w="3220" w:type="dxa"/>
            <w:vAlign w:val="bottom"/>
          </w:tcPr>
          <w:p>
            <w:pPr>
              <w:spacing w:after="0"/>
              <w:rPr>
                <w:sz w:val="17"/>
                <w:szCs w:val="17"/>
                <w:color w:val="auto"/>
              </w:rPr>
            </w:pPr>
          </w:p>
        </w:tc>
      </w:tr>
      <w:tr>
        <w:trPr>
          <w:trHeight w:val="184"/>
        </w:trPr>
        <w:tc>
          <w:tcPr>
            <w:tcW w:w="3860" w:type="dxa"/>
            <w:vAlign w:val="bottom"/>
            <w:gridSpan w:val="4"/>
          </w:tcPr>
          <w:p>
            <w:pPr>
              <w:spacing w:after="0"/>
              <w:rPr>
                <w:sz w:val="16"/>
                <w:szCs w:val="16"/>
                <w:color w:val="auto"/>
              </w:rPr>
            </w:pPr>
          </w:p>
        </w:tc>
        <w:tc>
          <w:tcPr>
            <w:tcW w:w="2560" w:type="dxa"/>
            <w:vAlign w:val="bottom"/>
            <w:tcBorders>
              <w:bottom w:val="single" w:sz="8" w:color="auto"/>
            </w:tcBorders>
          </w:tcPr>
          <w:p>
            <w:pPr>
              <w:spacing w:after="0"/>
              <w:rPr>
                <w:sz w:val="16"/>
                <w:szCs w:val="16"/>
                <w:color w:val="auto"/>
              </w:rPr>
            </w:pPr>
          </w:p>
        </w:tc>
        <w:tc>
          <w:tcPr>
            <w:tcW w:w="400" w:type="dxa"/>
            <w:vAlign w:val="bottom"/>
            <w:gridSpan w:val="2"/>
          </w:tcPr>
          <w:p>
            <w:pPr>
              <w:spacing w:after="0"/>
              <w:rPr>
                <w:sz w:val="16"/>
                <w:szCs w:val="16"/>
                <w:color w:val="auto"/>
              </w:rPr>
            </w:pPr>
          </w:p>
        </w:tc>
        <w:tc>
          <w:tcPr>
            <w:tcW w:w="3220" w:type="dxa"/>
            <w:vAlign w:val="bottom"/>
          </w:tcPr>
          <w:p>
            <w:pPr>
              <w:spacing w:after="0"/>
              <w:rPr>
                <w:sz w:val="16"/>
                <w:szCs w:val="16"/>
                <w:color w:val="auto"/>
              </w:rPr>
            </w:pPr>
          </w:p>
        </w:tc>
      </w:tr>
      <w:tr>
        <w:trPr>
          <w:trHeight w:val="376"/>
        </w:trPr>
        <w:tc>
          <w:tcPr>
            <w:tcW w:w="6820" w:type="dxa"/>
            <w:vAlign w:val="bottom"/>
            <w:gridSpan w:val="7"/>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3220" w:type="dxa"/>
            <w:vAlign w:val="bottom"/>
          </w:tcPr>
          <w:p>
            <w:pPr>
              <w:spacing w:after="0"/>
              <w:rPr>
                <w:sz w:val="24"/>
                <w:szCs w:val="24"/>
                <w:color w:val="auto"/>
              </w:rPr>
            </w:pPr>
          </w:p>
        </w:tc>
      </w:tr>
      <w:tr>
        <w:trPr>
          <w:trHeight w:val="379"/>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w:t>
            </w:r>
          </w:p>
        </w:tc>
      </w:tr>
      <w:tr>
        <w:trPr>
          <w:trHeight w:val="230"/>
        </w:trPr>
        <w:tc>
          <w:tcPr>
            <w:tcW w:w="3700" w:type="dxa"/>
            <w:vAlign w:val="bottom"/>
            <w:gridSpan w:val="3"/>
          </w:tcPr>
          <w:p>
            <w:pPr>
              <w:jc w:val="center"/>
              <w:ind w:right="500"/>
              <w:spacing w:after="0"/>
              <w:rPr>
                <w:sz w:val="20"/>
                <w:szCs w:val="20"/>
                <w:color w:val="auto"/>
              </w:rPr>
            </w:pPr>
            <w:r>
              <w:rPr>
                <w:rFonts w:ascii="Arial" w:cs="Arial" w:eastAsia="Arial" w:hAnsi="Arial"/>
                <w:sz w:val="16"/>
                <w:szCs w:val="16"/>
                <w:color w:val="auto"/>
                <w:w w:val="99"/>
              </w:rPr>
              <w:t>Title of each class</w:t>
            </w:r>
          </w:p>
        </w:tc>
        <w:tc>
          <w:tcPr>
            <w:tcW w:w="160" w:type="dxa"/>
            <w:vAlign w:val="bottom"/>
          </w:tcPr>
          <w:p>
            <w:pPr>
              <w:spacing w:after="0"/>
              <w:rPr>
                <w:sz w:val="20"/>
                <w:szCs w:val="20"/>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6"/>
                <w:szCs w:val="16"/>
                <w:color w:val="auto"/>
              </w:rPr>
              <w:t>Trading Symbol(s)</w:t>
            </w:r>
          </w:p>
        </w:tc>
        <w:tc>
          <w:tcPr>
            <w:tcW w:w="3220" w:type="dxa"/>
            <w:vAlign w:val="bottom"/>
          </w:tcPr>
          <w:p>
            <w:pPr>
              <w:jc w:val="center"/>
              <w:spacing w:after="0"/>
              <w:rPr>
                <w:sz w:val="20"/>
                <w:szCs w:val="20"/>
                <w:color w:val="auto"/>
              </w:rPr>
            </w:pPr>
            <w:r>
              <w:rPr>
                <w:rFonts w:ascii="Arial" w:cs="Arial" w:eastAsia="Arial" w:hAnsi="Arial"/>
                <w:sz w:val="16"/>
                <w:szCs w:val="16"/>
                <w:color w:val="auto"/>
              </w:rPr>
              <w:t>on which registered</w:t>
            </w:r>
          </w:p>
        </w:tc>
      </w:tr>
      <w:tr>
        <w:trPr>
          <w:trHeight w:val="168"/>
        </w:trPr>
        <w:tc>
          <w:tcPr>
            <w:tcW w:w="318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740" w:type="dxa"/>
            <w:vAlign w:val="bottom"/>
            <w:tcBorders>
              <w:top w:val="single" w:sz="8" w:color="auto"/>
            </w:tcBorders>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CVRX</w:t>
            </w:r>
          </w:p>
        </w:tc>
        <w:tc>
          <w:tcPr>
            <w:tcW w:w="220" w:type="dxa"/>
            <w:vAlign w:val="bottom"/>
          </w:tcPr>
          <w:p>
            <w:pPr>
              <w:spacing w:after="0"/>
              <w:rPr>
                <w:sz w:val="14"/>
                <w:szCs w:val="14"/>
                <w:color w:val="auto"/>
              </w:rPr>
            </w:pPr>
          </w:p>
        </w:tc>
        <w:tc>
          <w:tcPr>
            <w:tcW w:w="32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rPr>
              <w:t>The Nasdaq Global Select Market</w:t>
            </w:r>
          </w:p>
        </w:tc>
      </w:tr>
      <w:tr>
        <w:trPr>
          <w:trHeight w:val="223"/>
        </w:trPr>
        <w:tc>
          <w:tcPr>
            <w:tcW w:w="37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rPr>
              <w:t>par value $0.01 per share</w:t>
            </w:r>
          </w:p>
        </w:tc>
        <w:tc>
          <w:tcPr>
            <w:tcW w:w="1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Pr>
          <w:p>
            <w:pPr>
              <w:spacing w:after="0"/>
              <w:rPr>
                <w:sz w:val="19"/>
                <w:szCs w:val="19"/>
                <w:color w:val="auto"/>
              </w:rPr>
            </w:pPr>
          </w:p>
        </w:tc>
      </w:tr>
    </w:tbl>
    <w:p>
      <w:pPr>
        <w:spacing w:after="0" w:line="277" w:lineRule="exact"/>
        <w:rPr>
          <w:sz w:val="24"/>
          <w:szCs w:val="24"/>
          <w:color w:val="auto"/>
        </w:rPr>
      </w:pPr>
    </w:p>
    <w:p>
      <w:pPr>
        <w:ind w:left="40"/>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left="40" w:right="320"/>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ind w:left="40" w:right="6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00" w:top="661" w:right="879" w:bottom="1440" w:gutter="0" w:footer="0" w:header="0"/>
        </w:sectPr>
      </w:pPr>
    </w:p>
    <w:p>
      <w:pPr>
        <w:spacing w:after="0" w:line="17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40" w:space="720"/>
            <w:col w:w="420" w:space="720"/>
            <w:col w:w="1920" w:space="720"/>
            <w:col w:w="4080"/>
          </w:cols>
          <w:pgMar w:left="800" w:top="661" w:right="879" w:bottom="1440" w:gutter="0" w:footer="0" w:header="0"/>
          <w:type w:val="continuous"/>
        </w:sectPr>
      </w:pP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3" w:lineRule="exact"/>
        <w:rPr>
          <w:sz w:val="24"/>
          <w:szCs w:val="24"/>
          <w:color w:val="auto"/>
        </w:rPr>
      </w:pPr>
    </w:p>
    <w:p>
      <w:pPr>
        <w:sectPr>
          <w:pgSz w:w="11900" w:h="16838" w:orient="portrait"/>
          <w:cols w:equalWidth="0" w:num="6">
            <w:col w:w="1640" w:space="720"/>
            <w:col w:w="420" w:space="720"/>
            <w:col w:w="1940" w:space="700"/>
            <w:col w:w="360" w:space="720"/>
            <w:col w:w="1920" w:space="560"/>
            <w:col w:w="520"/>
          </w:cols>
          <w:pgMar w:left="800" w:top="661" w:right="879" w:bottom="1440" w:gutter="0" w:footer="0" w:header="0"/>
          <w:type w:val="continuous"/>
        </w:sectPr>
      </w:pPr>
    </w:p>
    <w:p>
      <w:pPr>
        <w:ind w:left="40" w:right="26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40" w:right="840"/>
        <w:spacing w:after="0" w:line="27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25, 2022, there were 20,500,177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678815</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78740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121285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00" w:top="661" w:right="87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p>
      <w:pPr>
        <w:jc w:val="right"/>
        <w:ind w:right="99"/>
        <w:spacing w:after="0"/>
        <w:rPr>
          <w:sz w:val="20"/>
          <w:szCs w:val="20"/>
          <w:color w:val="auto"/>
        </w:rPr>
      </w:pPr>
      <w:r>
        <w:rPr>
          <w:rFonts w:ascii="Arial" w:cs="Arial" w:eastAsia="Arial" w:hAnsi="Arial"/>
          <w:sz w:val="14"/>
          <w:szCs w:val="14"/>
          <w:b w:val="1"/>
          <w:bCs w:val="1"/>
          <w:u w:val="single" w:color="auto"/>
          <w:color w:val="auto"/>
        </w:rPr>
        <w:t>Page</w:t>
      </w: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4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93"/>
              </w:rPr>
              <w:t>Part I</w:t>
            </w:r>
          </w:p>
        </w:tc>
        <w:tc>
          <w:tcPr>
            <w:tcW w:w="800" w:type="dxa"/>
            <w:vAlign w:val="bottom"/>
            <w:gridSpan w:val="7"/>
          </w:tcPr>
          <w:p>
            <w:pPr>
              <w:spacing w:after="0"/>
              <w:rPr>
                <w:sz w:val="17"/>
                <w:szCs w:val="17"/>
                <w:color w:val="auto"/>
              </w:rPr>
            </w:pPr>
          </w:p>
        </w:tc>
        <w:tc>
          <w:tcPr>
            <w:tcW w:w="18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8"/>
              </w:rPr>
              <w:t>Financial Information</w:t>
            </w:r>
          </w:p>
        </w:tc>
        <w:tc>
          <w:tcPr>
            <w:tcW w:w="5220" w:type="dxa"/>
            <w:vAlign w:val="bottom"/>
            <w:gridSpan w:val="14"/>
          </w:tcPr>
          <w:p>
            <w:pPr>
              <w:spacing w:after="0"/>
              <w:rPr>
                <w:sz w:val="17"/>
                <w:szCs w:val="17"/>
                <w:color w:val="auto"/>
              </w:rPr>
            </w:pPr>
          </w:p>
        </w:tc>
      </w:tr>
      <w:tr>
        <w:trPr>
          <w:trHeight w:val="398"/>
        </w:trPr>
        <w:tc>
          <w:tcPr>
            <w:tcW w:w="5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4"/>
              </w:rPr>
              <w:t>Item 1.</w:t>
            </w:r>
          </w:p>
        </w:tc>
        <w:tc>
          <w:tcPr>
            <w:tcW w:w="700" w:type="dxa"/>
            <w:vAlign w:val="bottom"/>
            <w:gridSpan w:val="5"/>
          </w:tcPr>
          <w:p>
            <w:pPr>
              <w:spacing w:after="0"/>
              <w:rPr>
                <w:sz w:val="24"/>
                <w:szCs w:val="24"/>
                <w:color w:val="auto"/>
              </w:rPr>
            </w:pPr>
          </w:p>
        </w:tc>
        <w:tc>
          <w:tcPr>
            <w:tcW w:w="16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Financial Statements</w:t>
            </w:r>
          </w:p>
        </w:tc>
        <w:tc>
          <w:tcPr>
            <w:tcW w:w="5360" w:type="dxa"/>
            <w:vAlign w:val="bottom"/>
            <w:gridSpan w:val="15"/>
          </w:tcPr>
          <w:p>
            <w:pPr>
              <w:spacing w:after="0"/>
              <w:rPr>
                <w:sz w:val="24"/>
                <w:szCs w:val="24"/>
                <w:color w:val="auto"/>
              </w:rPr>
            </w:pPr>
          </w:p>
        </w:tc>
      </w:tr>
      <w:tr>
        <w:trPr>
          <w:trHeight w:val="398"/>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Condensed Consolidated Balance Sheets as of March 31, 2022 and December 31, 2021</w:t>
            </w: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20" w:type="dxa"/>
            <w:vAlign w:val="bottom"/>
            <w:gridSpan w:val="21"/>
          </w:tcPr>
          <w:p>
            <w:pPr>
              <w:spacing w:after="0" w:line="196" w:lineRule="exact"/>
              <w:rPr>
                <w:sz w:val="20"/>
                <w:szCs w:val="20"/>
                <w:color w:val="auto"/>
              </w:rPr>
            </w:pPr>
            <w:r>
              <w:rPr>
                <w:rFonts w:ascii="Arial" w:cs="Arial" w:eastAsia="Arial" w:hAnsi="Arial"/>
                <w:sz w:val="18"/>
                <w:szCs w:val="18"/>
                <w:color w:val="0000EE"/>
              </w:rPr>
              <w:t>(Unaudited)</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22"/>
          </w:tcPr>
          <w:p>
            <w:pPr>
              <w:spacing w:after="0"/>
              <w:rPr>
                <w:sz w:val="20"/>
                <w:szCs w:val="20"/>
                <w:color w:val="auto"/>
              </w:rPr>
            </w:pPr>
            <w:r>
              <w:rPr>
                <w:rFonts w:ascii="Arial" w:cs="Arial" w:eastAsia="Arial" w:hAnsi="Arial"/>
                <w:sz w:val="18"/>
                <w:szCs w:val="18"/>
                <w:color w:val="0000EE"/>
              </w:rPr>
              <w:t>Condensed Consolidated Statements of Operations and Comprehensive Loss for the</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700" w:type="dxa"/>
            <w:vAlign w:val="bottom"/>
            <w:tcBorders>
              <w:top w:val="single" w:sz="8" w:color="0000EE"/>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three months ended March 31, 2022 and 2021 (Unaudited)</w:t>
            </w:r>
          </w:p>
        </w:tc>
        <w:tc>
          <w:tcPr>
            <w:tcW w:w="1940" w:type="dxa"/>
            <w:vAlign w:val="bottom"/>
            <w:tcBorders>
              <w:top w:val="single" w:sz="8" w:color="0000EE"/>
            </w:tcBorders>
            <w:gridSpan w:val="5"/>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4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Condensed Consolidated Statements of Convertible Preferred Stock and Stockholders</w:t>
            </w:r>
            <w:r>
              <w:rPr>
                <w:rFonts w:ascii="Times New Roman" w:cs="Times New Roman" w:eastAsia="Times New Roman" w:hAnsi="Times New Roman"/>
                <w:sz w:val="18"/>
                <w:szCs w:val="18"/>
                <w:color w:val="0000EE"/>
                <w:w w:val="99"/>
              </w:rPr>
              <w:t>’</w:t>
            </w:r>
          </w:p>
        </w:tc>
        <w:tc>
          <w:tcPr>
            <w:tcW w:w="10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8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9"/>
              </w:rPr>
              <w:t>Equity (Deficit) for the three months ended March 31, 2022 and 2021 (Unaudited)</w:t>
            </w:r>
          </w:p>
        </w:tc>
        <w:tc>
          <w:tcPr>
            <w:tcW w:w="440" w:type="dxa"/>
            <w:vAlign w:val="bottom"/>
            <w:gridSpan w:val="4"/>
          </w:tcPr>
          <w:p>
            <w:pPr>
              <w:spacing w:after="0"/>
              <w:rPr>
                <w:sz w:val="17"/>
                <w:szCs w:val="17"/>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22"/>
          </w:tcPr>
          <w:p>
            <w:pPr>
              <w:spacing w:after="0"/>
              <w:rPr>
                <w:sz w:val="20"/>
                <w:szCs w:val="20"/>
                <w:color w:val="auto"/>
              </w:rPr>
            </w:pPr>
            <w:r>
              <w:rPr>
                <w:rFonts w:ascii="Arial" w:cs="Arial" w:eastAsia="Arial" w:hAnsi="Arial"/>
                <w:sz w:val="18"/>
                <w:szCs w:val="18"/>
                <w:color w:val="0000EE"/>
              </w:rPr>
              <w:t>Condensed Consolidated Statements of Cash Flows for the three months ended March</w:t>
            </w:r>
          </w:p>
        </w:tc>
      </w:tr>
      <w:tr>
        <w:trPr>
          <w:trHeight w:val="183"/>
        </w:trPr>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50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31, 2022 and 2021 (Unaudited)</w:t>
            </w:r>
          </w:p>
        </w:tc>
        <w:tc>
          <w:tcPr>
            <w:tcW w:w="4300" w:type="dxa"/>
            <w:vAlign w:val="bottom"/>
            <w:tcBorders>
              <w:top w:val="single" w:sz="8" w:color="0000EE"/>
            </w:tcBorders>
            <w:gridSpan w:val="8"/>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385"/>
        </w:trPr>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22"/>
          </w:tcPr>
          <w:p>
            <w:pPr>
              <w:spacing w:after="0"/>
              <w:rPr>
                <w:sz w:val="20"/>
                <w:szCs w:val="20"/>
                <w:color w:val="auto"/>
              </w:rPr>
            </w:pPr>
            <w:r>
              <w:rPr>
                <w:rFonts w:ascii="Arial" w:cs="Arial" w:eastAsia="Arial" w:hAnsi="Arial"/>
                <w:sz w:val="18"/>
                <w:szCs w:val="18"/>
                <w:color w:val="0000EE"/>
              </w:rPr>
              <w:t>Notes to Condensed Consolidated Financial Statements (Unaudited)</w:t>
            </w:r>
          </w:p>
        </w:tc>
      </w:tr>
      <w:tr>
        <w:trPr>
          <w:trHeight w:val="20"/>
        </w:trPr>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r>
      <w:tr>
        <w:trPr>
          <w:trHeight w:val="399"/>
        </w:trPr>
        <w:tc>
          <w:tcPr>
            <w:tcW w:w="540" w:type="dxa"/>
            <w:vAlign w:val="bottom"/>
            <w:gridSpan w:val="3"/>
          </w:tcPr>
          <w:p>
            <w:pPr>
              <w:spacing w:after="0"/>
              <w:rPr>
                <w:sz w:val="20"/>
                <w:szCs w:val="20"/>
                <w:color w:val="auto"/>
              </w:rPr>
            </w:pPr>
            <w:r>
              <w:rPr>
                <w:rFonts w:ascii="Arial" w:cs="Arial" w:eastAsia="Arial" w:hAnsi="Arial"/>
                <w:sz w:val="18"/>
                <w:szCs w:val="18"/>
                <w:color w:val="0000EE"/>
                <w:w w:val="94"/>
              </w:rPr>
              <w:t>Item 2.</w:t>
            </w:r>
          </w:p>
        </w:tc>
        <w:tc>
          <w:tcPr>
            <w:tcW w:w="700" w:type="dxa"/>
            <w:vAlign w:val="bottom"/>
            <w:gridSpan w:val="5"/>
          </w:tcPr>
          <w:p>
            <w:pPr>
              <w:spacing w:after="0"/>
              <w:rPr>
                <w:sz w:val="24"/>
                <w:szCs w:val="24"/>
                <w:color w:val="auto"/>
              </w:rPr>
            </w:pPr>
          </w:p>
        </w:tc>
        <w:tc>
          <w:tcPr>
            <w:tcW w:w="7040" w:type="dxa"/>
            <w:vAlign w:val="bottom"/>
            <w:gridSpan w:val="22"/>
          </w:tcPr>
          <w:p>
            <w:pPr>
              <w:spacing w:after="0"/>
              <w:rPr>
                <w:sz w:val="20"/>
                <w:szCs w:val="20"/>
                <w:color w:val="auto"/>
              </w:rPr>
            </w:pPr>
            <w:r>
              <w:rPr>
                <w:rFonts w:ascii="Arial" w:cs="Arial" w:eastAsia="Arial" w:hAnsi="Arial"/>
                <w:sz w:val="18"/>
                <w:szCs w:val="18"/>
                <w:color w:val="0000EE"/>
              </w:rPr>
              <w:t>Management</w:t>
            </w:r>
            <w:r>
              <w:rPr>
                <w:rFonts w:ascii="Times New Roman" w:cs="Times New Roman" w:eastAsia="Times New Roman" w:hAnsi="Times New Roman"/>
                <w:sz w:val="18"/>
                <w:szCs w:val="18"/>
                <w:color w:val="0000EE"/>
              </w:rPr>
              <w:t>’</w:t>
            </w:r>
            <w:r>
              <w:rPr>
                <w:rFonts w:ascii="Arial" w:cs="Arial" w:eastAsia="Arial" w:hAnsi="Arial"/>
                <w:sz w:val="18"/>
                <w:szCs w:val="18"/>
                <w:color w:val="0000EE"/>
              </w:rPr>
              <w:t>s Discussion and Analysis of Financial Condition and Results of</w:t>
            </w:r>
          </w:p>
        </w:tc>
      </w:tr>
      <w:tr>
        <w:trPr>
          <w:trHeight w:val="196"/>
        </w:trPr>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94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Operations</w:t>
            </w:r>
          </w:p>
        </w:tc>
        <w:tc>
          <w:tcPr>
            <w:tcW w:w="5100" w:type="dxa"/>
            <w:vAlign w:val="bottom"/>
            <w:tcBorders>
              <w:top w:val="single" w:sz="8" w:color="0000EE"/>
            </w:tcBorders>
            <w:gridSpan w:val="13"/>
          </w:tcPr>
          <w:p>
            <w:pPr>
              <w:spacing w:after="0"/>
              <w:rPr>
                <w:sz w:val="17"/>
                <w:szCs w:val="17"/>
                <w:color w:val="auto"/>
              </w:rPr>
            </w:pPr>
          </w:p>
        </w:tc>
        <w:tc>
          <w:tcPr>
            <w:tcW w:w="880" w:type="dxa"/>
            <w:vAlign w:val="bottom"/>
            <w:gridSpan w:val="5"/>
          </w:tcPr>
          <w:p>
            <w:pPr>
              <w:spacing w:after="0"/>
              <w:rPr>
                <w:sz w:val="17"/>
                <w:szCs w:val="17"/>
                <w:color w:val="auto"/>
              </w:rPr>
            </w:pPr>
          </w:p>
        </w:tc>
      </w:tr>
      <w:tr>
        <w:trPr>
          <w:trHeight w:val="385"/>
        </w:trPr>
        <w:tc>
          <w:tcPr>
            <w:tcW w:w="560" w:type="dxa"/>
            <w:vAlign w:val="bottom"/>
            <w:gridSpan w:val="4"/>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7040" w:type="dxa"/>
            <w:vAlign w:val="bottom"/>
            <w:gridSpan w:val="22"/>
          </w:tcPr>
          <w:p>
            <w:pPr>
              <w:spacing w:after="0"/>
              <w:rPr>
                <w:sz w:val="20"/>
                <w:szCs w:val="20"/>
                <w:color w:val="auto"/>
              </w:rPr>
            </w:pPr>
            <w:r>
              <w:rPr>
                <w:rFonts w:ascii="Arial" w:cs="Arial" w:eastAsia="Arial" w:hAnsi="Arial"/>
                <w:sz w:val="18"/>
                <w:szCs w:val="18"/>
                <w:color w:val="0000EE"/>
              </w:rPr>
              <w:t>Quantitative and Qualitative Disclosures About Market Risk</w:t>
            </w:r>
          </w:p>
        </w:tc>
      </w:tr>
      <w:tr>
        <w:trPr>
          <w:trHeight w:val="399"/>
        </w:trPr>
        <w:tc>
          <w:tcPr>
            <w:tcW w:w="5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w w:val="94"/>
              </w:rPr>
              <w:t>Item 4.</w:t>
            </w:r>
          </w:p>
        </w:tc>
        <w:tc>
          <w:tcPr>
            <w:tcW w:w="20" w:type="dxa"/>
            <w:vAlign w:val="bottom"/>
            <w:tcBorders>
              <w:top w:val="single" w:sz="8" w:color="0000EE"/>
            </w:tcBorders>
          </w:tcPr>
          <w:p>
            <w:pPr>
              <w:spacing w:after="0"/>
              <w:rPr>
                <w:sz w:val="24"/>
                <w:szCs w:val="24"/>
                <w:color w:val="auto"/>
              </w:rPr>
            </w:pPr>
          </w:p>
        </w:tc>
        <w:tc>
          <w:tcPr>
            <w:tcW w:w="680" w:type="dxa"/>
            <w:vAlign w:val="bottom"/>
            <w:gridSpan w:val="4"/>
          </w:tcPr>
          <w:p>
            <w:pPr>
              <w:spacing w:after="0"/>
              <w:rPr>
                <w:sz w:val="24"/>
                <w:szCs w:val="24"/>
                <w:color w:val="auto"/>
              </w:rPr>
            </w:pPr>
          </w:p>
        </w:tc>
        <w:tc>
          <w:tcPr>
            <w:tcW w:w="47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Controls and Procedures</w:t>
            </w:r>
          </w:p>
        </w:tc>
        <w:tc>
          <w:tcPr>
            <w:tcW w:w="2340" w:type="dxa"/>
            <w:vAlign w:val="bottom"/>
            <w:gridSpan w:val="9"/>
          </w:tcPr>
          <w:p>
            <w:pPr>
              <w:spacing w:after="0"/>
              <w:rPr>
                <w:sz w:val="24"/>
                <w:szCs w:val="24"/>
                <w:color w:val="auto"/>
              </w:rPr>
            </w:pPr>
          </w:p>
        </w:tc>
      </w:tr>
      <w:tr>
        <w:trPr>
          <w:trHeight w:val="398"/>
        </w:trPr>
        <w:tc>
          <w:tcPr>
            <w:tcW w:w="54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0000EE"/>
              </w:rPr>
              <w:t>Part II</w:t>
            </w:r>
          </w:p>
        </w:tc>
        <w:tc>
          <w:tcPr>
            <w:tcW w:w="700" w:type="dxa"/>
            <w:vAlign w:val="bottom"/>
            <w:gridSpan w:val="5"/>
          </w:tcPr>
          <w:p>
            <w:pPr>
              <w:spacing w:after="0"/>
              <w:rPr>
                <w:sz w:val="24"/>
                <w:szCs w:val="24"/>
                <w:color w:val="auto"/>
              </w:rPr>
            </w:pPr>
          </w:p>
        </w:tc>
        <w:tc>
          <w:tcPr>
            <w:tcW w:w="1980" w:type="dxa"/>
            <w:vAlign w:val="bottom"/>
            <w:tcBorders>
              <w:top w:val="single" w:sz="8" w:color="0000EE"/>
            </w:tcBorders>
            <w:gridSpan w:val="10"/>
          </w:tcPr>
          <w:p>
            <w:pPr>
              <w:spacing w:after="0"/>
              <w:rPr>
                <w:sz w:val="20"/>
                <w:szCs w:val="20"/>
                <w:color w:val="auto"/>
              </w:rPr>
            </w:pPr>
            <w:r>
              <w:rPr>
                <w:rFonts w:ascii="Arial" w:cs="Arial" w:eastAsia="Arial" w:hAnsi="Arial"/>
                <w:sz w:val="18"/>
                <w:szCs w:val="18"/>
                <w:b w:val="1"/>
                <w:bCs w:val="1"/>
                <w:color w:val="0000EE"/>
              </w:rPr>
              <w:t>Other Information</w:t>
            </w:r>
          </w:p>
        </w:tc>
        <w:tc>
          <w:tcPr>
            <w:tcW w:w="5060" w:type="dxa"/>
            <w:vAlign w:val="bottom"/>
            <w:gridSpan w:val="12"/>
          </w:tcPr>
          <w:p>
            <w:pPr>
              <w:spacing w:after="0"/>
              <w:rPr>
                <w:sz w:val="24"/>
                <w:szCs w:val="24"/>
                <w:color w:val="auto"/>
              </w:rPr>
            </w:pP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r>
      <w:tr>
        <w:trPr>
          <w:trHeight w:val="398"/>
        </w:trPr>
        <w:tc>
          <w:tcPr>
            <w:tcW w:w="560" w:type="dxa"/>
            <w:vAlign w:val="bottom"/>
            <w:gridSpan w:val="4"/>
          </w:tcPr>
          <w:p>
            <w:pPr>
              <w:spacing w:after="0"/>
              <w:rPr>
                <w:sz w:val="20"/>
                <w:szCs w:val="20"/>
                <w:color w:val="auto"/>
              </w:rPr>
            </w:pPr>
            <w:r>
              <w:rPr>
                <w:rFonts w:ascii="Arial" w:cs="Arial" w:eastAsia="Arial" w:hAnsi="Arial"/>
                <w:sz w:val="18"/>
                <w:szCs w:val="18"/>
                <w:color w:val="0000EE"/>
                <w:w w:val="98"/>
              </w:rPr>
              <w:t>Item 1.</w:t>
            </w:r>
          </w:p>
        </w:tc>
        <w:tc>
          <w:tcPr>
            <w:tcW w:w="680" w:type="dxa"/>
            <w:vAlign w:val="bottom"/>
            <w:gridSpan w:val="4"/>
          </w:tcPr>
          <w:p>
            <w:pPr>
              <w:spacing w:after="0"/>
              <w:rPr>
                <w:sz w:val="24"/>
                <w:szCs w:val="24"/>
                <w:color w:val="auto"/>
              </w:rPr>
            </w:pPr>
          </w:p>
        </w:tc>
        <w:tc>
          <w:tcPr>
            <w:tcW w:w="7040" w:type="dxa"/>
            <w:vAlign w:val="bottom"/>
            <w:gridSpan w:val="22"/>
          </w:tcPr>
          <w:p>
            <w:pPr>
              <w:spacing w:after="0"/>
              <w:rPr>
                <w:sz w:val="20"/>
                <w:szCs w:val="20"/>
                <w:color w:val="auto"/>
              </w:rPr>
            </w:pPr>
            <w:r>
              <w:rPr>
                <w:rFonts w:ascii="Arial" w:cs="Arial" w:eastAsia="Arial" w:hAnsi="Arial"/>
                <w:sz w:val="18"/>
                <w:szCs w:val="18"/>
                <w:color w:val="0000EE"/>
              </w:rPr>
              <w:t>Legal Proceedings</w:t>
            </w:r>
          </w:p>
        </w:tc>
      </w:tr>
      <w:tr>
        <w:trPr>
          <w:trHeight w:val="20"/>
        </w:trPr>
        <w:tc>
          <w:tcPr>
            <w:tcW w:w="5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r>
      <w:tr>
        <w:trPr>
          <w:trHeight w:val="399"/>
        </w:trPr>
        <w:tc>
          <w:tcPr>
            <w:tcW w:w="6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5"/>
              </w:rPr>
              <w:t>Item 1A.</w:t>
            </w:r>
          </w:p>
        </w:tc>
        <w:tc>
          <w:tcPr>
            <w:tcW w:w="580" w:type="dxa"/>
            <w:vAlign w:val="bottom"/>
            <w:gridSpan w:val="3"/>
          </w:tcPr>
          <w:p>
            <w:pPr>
              <w:spacing w:after="0"/>
              <w:rPr>
                <w:sz w:val="24"/>
                <w:szCs w:val="24"/>
                <w:color w:val="auto"/>
              </w:rPr>
            </w:pPr>
          </w:p>
        </w:tc>
        <w:tc>
          <w:tcPr>
            <w:tcW w:w="10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6040" w:type="dxa"/>
            <w:vAlign w:val="bottom"/>
            <w:gridSpan w:val="19"/>
          </w:tcPr>
          <w:p>
            <w:pPr>
              <w:spacing w:after="0"/>
              <w:rPr>
                <w:sz w:val="24"/>
                <w:szCs w:val="24"/>
                <w:color w:val="auto"/>
              </w:rPr>
            </w:pPr>
          </w:p>
        </w:tc>
      </w:tr>
      <w:tr>
        <w:trPr>
          <w:trHeight w:val="398"/>
        </w:trPr>
        <w:tc>
          <w:tcPr>
            <w:tcW w:w="560" w:type="dxa"/>
            <w:vAlign w:val="bottom"/>
            <w:gridSpan w:val="4"/>
          </w:tcPr>
          <w:p>
            <w:pPr>
              <w:spacing w:after="0"/>
              <w:rPr>
                <w:sz w:val="20"/>
                <w:szCs w:val="20"/>
                <w:color w:val="auto"/>
              </w:rPr>
            </w:pPr>
            <w:r>
              <w:rPr>
                <w:rFonts w:ascii="Arial" w:cs="Arial" w:eastAsia="Arial" w:hAnsi="Arial"/>
                <w:sz w:val="18"/>
                <w:szCs w:val="18"/>
                <w:color w:val="0000EE"/>
                <w:w w:val="98"/>
              </w:rPr>
              <w:t>Item 2.</w:t>
            </w:r>
          </w:p>
        </w:tc>
        <w:tc>
          <w:tcPr>
            <w:tcW w:w="680" w:type="dxa"/>
            <w:vAlign w:val="bottom"/>
            <w:gridSpan w:val="4"/>
          </w:tcPr>
          <w:p>
            <w:pPr>
              <w:spacing w:after="0"/>
              <w:rPr>
                <w:sz w:val="24"/>
                <w:szCs w:val="24"/>
                <w:color w:val="auto"/>
              </w:rPr>
            </w:pPr>
          </w:p>
        </w:tc>
        <w:tc>
          <w:tcPr>
            <w:tcW w:w="7040" w:type="dxa"/>
            <w:vAlign w:val="bottom"/>
            <w:gridSpan w:val="22"/>
          </w:tcPr>
          <w:p>
            <w:pPr>
              <w:spacing w:after="0"/>
              <w:rPr>
                <w:sz w:val="20"/>
                <w:szCs w:val="20"/>
                <w:color w:val="auto"/>
              </w:rPr>
            </w:pPr>
            <w:r>
              <w:rPr>
                <w:rFonts w:ascii="Arial" w:cs="Arial" w:eastAsia="Arial" w:hAnsi="Arial"/>
                <w:sz w:val="18"/>
                <w:szCs w:val="18"/>
                <w:color w:val="0000EE"/>
              </w:rPr>
              <w:t>Unregistered Sales of Equity Securities and Use of Proceeds</w:t>
            </w:r>
          </w:p>
        </w:tc>
      </w:tr>
      <w:tr>
        <w:trPr>
          <w:trHeight w:val="398"/>
        </w:trPr>
        <w:tc>
          <w:tcPr>
            <w:tcW w:w="5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w w:val="98"/>
              </w:rPr>
              <w:t>Item 3.</w:t>
            </w:r>
          </w:p>
        </w:tc>
        <w:tc>
          <w:tcPr>
            <w:tcW w:w="680" w:type="dxa"/>
            <w:vAlign w:val="bottom"/>
            <w:gridSpan w:val="4"/>
          </w:tcPr>
          <w:p>
            <w:pPr>
              <w:spacing w:after="0"/>
              <w:rPr>
                <w:sz w:val="24"/>
                <w:szCs w:val="24"/>
                <w:color w:val="auto"/>
              </w:rPr>
            </w:pPr>
          </w:p>
        </w:tc>
        <w:tc>
          <w:tcPr>
            <w:tcW w:w="484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Defaults Upon Senior Securities</w:t>
            </w:r>
          </w:p>
        </w:tc>
        <w:tc>
          <w:tcPr>
            <w:tcW w:w="2200" w:type="dxa"/>
            <w:vAlign w:val="bottom"/>
            <w:gridSpan w:val="7"/>
          </w:tcPr>
          <w:p>
            <w:pPr>
              <w:spacing w:after="0"/>
              <w:rPr>
                <w:sz w:val="24"/>
                <w:szCs w:val="24"/>
                <w:color w:val="auto"/>
              </w:rPr>
            </w:pPr>
          </w:p>
        </w:tc>
      </w:tr>
      <w:tr>
        <w:trPr>
          <w:trHeight w:val="399"/>
        </w:trPr>
        <w:tc>
          <w:tcPr>
            <w:tcW w:w="56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w w:val="98"/>
              </w:rPr>
              <w:t>Item 4.</w:t>
            </w:r>
          </w:p>
        </w:tc>
        <w:tc>
          <w:tcPr>
            <w:tcW w:w="680" w:type="dxa"/>
            <w:vAlign w:val="bottom"/>
            <w:gridSpan w:val="4"/>
          </w:tcPr>
          <w:p>
            <w:pPr>
              <w:spacing w:after="0"/>
              <w:rPr>
                <w:sz w:val="24"/>
                <w:szCs w:val="24"/>
                <w:color w:val="auto"/>
              </w:rPr>
            </w:pPr>
          </w:p>
        </w:tc>
        <w:tc>
          <w:tcPr>
            <w:tcW w:w="254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Mine Safety Disclosures</w:t>
            </w:r>
          </w:p>
        </w:tc>
        <w:tc>
          <w:tcPr>
            <w:tcW w:w="4500" w:type="dxa"/>
            <w:vAlign w:val="bottom"/>
            <w:gridSpan w:val="11"/>
          </w:tcPr>
          <w:p>
            <w:pPr>
              <w:spacing w:after="0"/>
              <w:rPr>
                <w:sz w:val="24"/>
                <w:szCs w:val="24"/>
                <w:color w:val="auto"/>
              </w:rPr>
            </w:pPr>
          </w:p>
        </w:tc>
      </w:tr>
      <w:tr>
        <w:trPr>
          <w:trHeight w:val="398"/>
        </w:trPr>
        <w:tc>
          <w:tcPr>
            <w:tcW w:w="5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8"/>
              </w:rPr>
              <w:t>Item 5.</w:t>
            </w:r>
          </w:p>
        </w:tc>
        <w:tc>
          <w:tcPr>
            <w:tcW w:w="680" w:type="dxa"/>
            <w:vAlign w:val="bottom"/>
            <w:gridSpan w:val="4"/>
          </w:tcPr>
          <w:p>
            <w:pPr>
              <w:spacing w:after="0"/>
              <w:rPr>
                <w:sz w:val="24"/>
                <w:szCs w:val="24"/>
                <w:color w:val="auto"/>
              </w:rPr>
            </w:pPr>
          </w:p>
        </w:tc>
        <w:tc>
          <w:tcPr>
            <w:tcW w:w="14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4"/>
          </w:tcPr>
          <w:p>
            <w:pPr>
              <w:spacing w:after="0"/>
              <w:rPr>
                <w:sz w:val="24"/>
                <w:szCs w:val="24"/>
                <w:color w:val="auto"/>
              </w:rPr>
            </w:pPr>
          </w:p>
        </w:tc>
        <w:tc>
          <w:tcPr>
            <w:tcW w:w="5120" w:type="dxa"/>
            <w:vAlign w:val="bottom"/>
            <w:gridSpan w:val="13"/>
          </w:tcPr>
          <w:p>
            <w:pPr>
              <w:spacing w:after="0"/>
              <w:rPr>
                <w:sz w:val="24"/>
                <w:szCs w:val="24"/>
                <w:color w:val="auto"/>
              </w:rPr>
            </w:pPr>
          </w:p>
        </w:tc>
      </w:tr>
      <w:tr>
        <w:trPr>
          <w:trHeight w:val="398"/>
        </w:trPr>
        <w:tc>
          <w:tcPr>
            <w:tcW w:w="540" w:type="dxa"/>
            <w:vAlign w:val="bottom"/>
            <w:gridSpan w:val="3"/>
          </w:tcPr>
          <w:p>
            <w:pPr>
              <w:spacing w:after="0"/>
              <w:rPr>
                <w:sz w:val="20"/>
                <w:szCs w:val="20"/>
                <w:color w:val="auto"/>
              </w:rPr>
            </w:pPr>
            <w:r>
              <w:rPr>
                <w:rFonts w:ascii="Arial" w:cs="Arial" w:eastAsia="Arial" w:hAnsi="Arial"/>
                <w:sz w:val="18"/>
                <w:szCs w:val="18"/>
                <w:color w:val="0000EE"/>
                <w:w w:val="94"/>
              </w:rPr>
              <w:t>Item 6.</w:t>
            </w:r>
          </w:p>
        </w:tc>
        <w:tc>
          <w:tcPr>
            <w:tcW w:w="700" w:type="dxa"/>
            <w:vAlign w:val="bottom"/>
            <w:gridSpan w:val="5"/>
          </w:tcPr>
          <w:p>
            <w:pPr>
              <w:spacing w:after="0"/>
              <w:rPr>
                <w:sz w:val="24"/>
                <w:szCs w:val="24"/>
                <w:color w:val="auto"/>
              </w:rPr>
            </w:pPr>
          </w:p>
        </w:tc>
        <w:tc>
          <w:tcPr>
            <w:tcW w:w="7040" w:type="dxa"/>
            <w:vAlign w:val="bottom"/>
            <w:gridSpan w:val="22"/>
          </w:tcPr>
          <w:p>
            <w:pPr>
              <w:spacing w:after="0"/>
              <w:rPr>
                <w:sz w:val="20"/>
                <w:szCs w:val="20"/>
                <w:color w:val="auto"/>
              </w:rPr>
            </w:pPr>
            <w:r>
              <w:rPr>
                <w:rFonts w:ascii="Arial" w:cs="Arial" w:eastAsia="Arial" w:hAnsi="Arial"/>
                <w:sz w:val="18"/>
                <w:szCs w:val="18"/>
                <w:color w:val="0000EE"/>
              </w:rPr>
              <w:t>Exhibits</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10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6"/>
              </w:rPr>
              <w:t>Exhibit Index</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8"/>
        </w:trPr>
        <w:tc>
          <w:tcPr>
            <w:tcW w:w="8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7"/>
              </w:rPr>
              <w:t>Signatures</w:t>
            </w:r>
          </w:p>
        </w:tc>
        <w:tc>
          <w:tcPr>
            <w:tcW w:w="3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w:t>
      </w: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w:t>
      </w: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w:t>
      </w: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7</w:t>
      </w: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18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28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ectPr>
          <w:pgSz w:w="11900" w:h="16838" w:orient="portrait"/>
          <w:cols w:equalWidth="0" w:num="2">
            <w:col w:w="8340" w:space="380"/>
            <w:col w:w="29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the impact of the ongoing and global COVID-19 pandemic on our business, financial results and financial position, clinical trial results, prospective products, product approvals, research and development costs, timing and likelihood of success, and the plans and objectives of management for future operations.</w:t>
      </w:r>
    </w:p>
    <w:p>
      <w:pPr>
        <w:spacing w:after="0" w:line="18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2021, which are summarized below. Moreover, we operate in an evolving environment. New risk factors and uncertainties may emerge from time to time, and it is not possible for management to predict all risk factors and uncertainties.</w:t>
      </w:r>
    </w:p>
    <w:p>
      <w:pPr>
        <w:spacing w:after="0" w:line="18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94"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our Annual Report on Form 10-K for the year ended December 31, 2021. You should carefully consider these risks and uncertainties when investing in our common stock. The principal risks and uncertainties affecting our business include, but are not limited to, the following:</w:t>
      </w:r>
    </w:p>
    <w:p>
      <w:pPr>
        <w:spacing w:after="0" w:line="174" w:lineRule="exact"/>
        <w:rPr>
          <w:sz w:val="20"/>
          <w:szCs w:val="20"/>
          <w:color w:val="auto"/>
        </w:rPr>
      </w:pPr>
    </w:p>
    <w:p>
      <w:pPr>
        <w:ind w:left="720" w:right="71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significant losses, which we expect to continue, and we may not be able to achieve or sustain profitability;</w:t>
      </w:r>
    </w:p>
    <w:p>
      <w:pPr>
        <w:spacing w:after="0" w:line="46" w:lineRule="exact"/>
        <w:rPr>
          <w:rFonts w:ascii="Times New Roman" w:cs="Times New Roman" w:eastAsia="Times New Roman" w:hAnsi="Times New Roman"/>
          <w:sz w:val="18"/>
          <w:szCs w:val="18"/>
          <w:color w:val="auto"/>
        </w:rPr>
      </w:pPr>
    </w:p>
    <w:p>
      <w:pPr>
        <w:ind w:left="720" w:right="63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management and directors (four of whom are affiliated with our principal stockholders) own a significant percentage of our stock and are able to exert significant control over matters subject to stockholder approval;</w:t>
      </w:r>
    </w:p>
    <w:p>
      <w:pPr>
        <w:spacing w:after="0" w:line="62" w:lineRule="exact"/>
        <w:rPr>
          <w:rFonts w:ascii="Times New Roman" w:cs="Times New Roman" w:eastAsia="Times New Roman" w:hAnsi="Times New Roman"/>
          <w:sz w:val="18"/>
          <w:szCs w:val="18"/>
          <w:color w:val="auto"/>
        </w:rPr>
      </w:pPr>
    </w:p>
    <w:p>
      <w:pPr>
        <w:jc w:val="both"/>
        <w:ind w:left="720" w:right="89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history operating as a commercial company and are highly dependent on a single product, Barostim, and the failure to obtain market acceptance in the U.S. for Barostim would negatively impact our business, liquidity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20" w:right="959" w:hanging="319"/>
        <w:spacing w:after="0" w:line="274"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limited commercial sales experience marketing and selling Barostim, and if we are unable to establish and maintain sales and marketing capabilities, we will be unable to successfully commercialize Barostim or generate sustained and increasing product revenue;</w:t>
      </w:r>
    </w:p>
    <w:p>
      <w:pPr>
        <w:spacing w:after="0" w:line="45" w:lineRule="exact"/>
        <w:rPr>
          <w:rFonts w:ascii="Times New Roman" w:cs="Times New Roman" w:eastAsia="Times New Roman" w:hAnsi="Times New Roman"/>
          <w:sz w:val="17"/>
          <w:szCs w:val="17"/>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must demonstrate to physicians and patients the merits of Barostim;</w:t>
      </w:r>
    </w:p>
    <w:p>
      <w:pPr>
        <w:spacing w:after="0" w:line="116" w:lineRule="exact"/>
        <w:rPr>
          <w:rFonts w:ascii="Times New Roman" w:cs="Times New Roman" w:eastAsia="Times New Roman" w:hAnsi="Times New Roman"/>
          <w:sz w:val="18"/>
          <w:szCs w:val="18"/>
          <w:color w:val="auto"/>
        </w:rPr>
      </w:pPr>
    </w:p>
    <w:p>
      <w:pPr>
        <w:ind w:left="720" w:right="12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third-party payors do not provide adequate coverage and reimbursement for the use of Barostim, our revenue will be negatively impacted;</w:t>
      </w:r>
    </w:p>
    <w:p>
      <w:pPr>
        <w:spacing w:after="0" w:line="46" w:lineRule="exact"/>
        <w:rPr>
          <w:rFonts w:ascii="Times New Roman" w:cs="Times New Roman" w:eastAsia="Times New Roman" w:hAnsi="Times New Roman"/>
          <w:sz w:val="18"/>
          <w:szCs w:val="18"/>
          <w:color w:val="auto"/>
        </w:rPr>
      </w:pPr>
    </w:p>
    <w:p>
      <w:pPr>
        <w:ind w:left="720" w:right="73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industry is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spacing w:after="0" w:line="7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receive access to hospitals, our sales may decrease;</w:t>
      </w:r>
    </w:p>
    <w:p>
      <w:pPr>
        <w:spacing w:after="0" w:line="116" w:lineRule="exact"/>
        <w:rPr>
          <w:rFonts w:ascii="Times New Roman" w:cs="Times New Roman" w:eastAsia="Times New Roman" w:hAnsi="Times New Roman"/>
          <w:sz w:val="18"/>
          <w:szCs w:val="18"/>
          <w:color w:val="auto"/>
        </w:rPr>
      </w:pPr>
    </w:p>
    <w:p>
      <w:pPr>
        <w:ind w:left="720" w:right="8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dependent upon third-party manufacturers and suppliers, and in some cases a limited number of suppliers, making us vulnerable to supply shortages, loss or degradation in performance of the suppliers and price fluctuations, which could harm our business;</w:t>
      </w:r>
    </w:p>
    <w:p>
      <w:pPr>
        <w:spacing w:after="0" w:line="62" w:lineRule="exact"/>
        <w:rPr>
          <w:rFonts w:ascii="Times New Roman" w:cs="Times New Roman" w:eastAsia="Times New Roman" w:hAnsi="Times New Roman"/>
          <w:sz w:val="18"/>
          <w:szCs w:val="18"/>
          <w:color w:val="auto"/>
        </w:rPr>
      </w:pPr>
    </w:p>
    <w:p>
      <w:pPr>
        <w:ind w:left="720" w:right="57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risks may adversely affect our ability to manufacture our product and could reduce our gross margin and profitability;</w:t>
      </w:r>
    </w:p>
    <w:p>
      <w:pPr>
        <w:spacing w:after="0" w:line="46" w:lineRule="exact"/>
        <w:rPr>
          <w:rFonts w:ascii="Times New Roman" w:cs="Times New Roman" w:eastAsia="Times New Roman" w:hAnsi="Times New Roman"/>
          <w:sz w:val="18"/>
          <w:szCs w:val="18"/>
          <w:color w:val="auto"/>
        </w:rPr>
      </w:pPr>
    </w:p>
    <w:p>
      <w:pPr>
        <w:ind w:left="720" w:right="599" w:hanging="319"/>
        <w:spacing w:after="0" w:line="252"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 pandemic, epidemic or outbreak of an infectious disease in the U.S. or worldwide, including the outbreak of the novel strain of coronavirus disease, COVID-19, could adversely affect our business;</w:t>
      </w:r>
    </w:p>
    <w:p>
      <w:pPr>
        <w:spacing w:after="0" w:line="62" w:lineRule="exact"/>
        <w:rPr>
          <w:rFonts w:ascii="Times New Roman" w:cs="Times New Roman" w:eastAsia="Times New Roman" w:hAnsi="Times New Roman"/>
          <w:sz w:val="18"/>
          <w:szCs w:val="18"/>
          <w:color w:val="auto"/>
        </w:rPr>
      </w:pPr>
    </w:p>
    <w:p>
      <w:pPr>
        <w:ind w:left="720" w:right="59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face product liability claims that could be costly, divert management’s attention and harm our reputation;</w:t>
      </w:r>
    </w:p>
    <w:p>
      <w:pPr>
        <w:spacing w:after="0" w:line="46" w:lineRule="exact"/>
        <w:rPr>
          <w:rFonts w:ascii="Times New Roman" w:cs="Times New Roman" w:eastAsia="Times New Roman" w:hAnsi="Times New Roman"/>
          <w:sz w:val="18"/>
          <w:szCs w:val="18"/>
          <w:color w:val="auto"/>
        </w:rPr>
      </w:pPr>
    </w:p>
    <w:p>
      <w:pPr>
        <w:ind w:left="720" w:right="51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w:t>
      </w:r>
    </w:p>
    <w:p>
      <w:pPr>
        <w:spacing w:after="0" w:line="68" w:lineRule="exact"/>
        <w:rPr>
          <w:rFonts w:ascii="Times New Roman" w:cs="Times New Roman" w:eastAsia="Times New Roman" w:hAnsi="Times New Roman"/>
          <w:sz w:val="18"/>
          <w:szCs w:val="18"/>
          <w:color w:val="auto"/>
        </w:rPr>
      </w:pPr>
    </w:p>
    <w:p>
      <w:pPr>
        <w:ind w:left="720" w:right="67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if we fail to retain our key executives or recruit and hire new employees, our operations and financial results may be adversely affected while we attract other highly qualified personnel; and</w:t>
      </w:r>
    </w:p>
    <w:p>
      <w:pPr>
        <w:spacing w:after="0" w:line="23" w:lineRule="exact"/>
        <w:rPr>
          <w:rFonts w:ascii="Times New Roman" w:cs="Times New Roman" w:eastAsia="Times New Roman" w:hAnsi="Times New Roman"/>
          <w:sz w:val="17"/>
          <w:szCs w:val="17"/>
          <w:color w:val="auto"/>
        </w:rPr>
      </w:pPr>
    </w:p>
    <w:p>
      <w:pPr>
        <w:ind w:left="720" w:right="53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continue to obtain long-term clinical data regarding the safety and efficacy of our products, which could impact future adoption and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65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131,177</w:t>
            </w:r>
          </w:p>
        </w:tc>
        <w:tc>
          <w:tcPr>
            <w:tcW w:w="32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142,072</w:t>
            </w: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3,673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5,261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142,201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151,097</w:t>
            </w: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1,656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144,405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152,548</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1,607</w:t>
            </w:r>
          </w:p>
        </w:tc>
        <w:tc>
          <w:tcPr>
            <w:tcW w:w="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4,985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196"/>
        </w:trPr>
        <w:tc>
          <w:tcPr>
            <w:tcW w:w="6540" w:type="dxa"/>
            <w:vAlign w:val="bottom"/>
          </w:tcPr>
          <w:p>
            <w:pPr>
              <w:ind w:left="32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6,592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non-current portion</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7,602</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Commitments and contingencies (Notes 5 and 10)</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540" w:type="dxa"/>
            <w:vAlign w:val="bottom"/>
          </w:tcPr>
          <w:p>
            <w:pPr>
              <w:spacing w:after="0" w:line="183" w:lineRule="exact"/>
              <w:rPr>
                <w:sz w:val="20"/>
                <w:szCs w:val="20"/>
                <w:color w:val="auto"/>
              </w:rPr>
            </w:pPr>
            <w:r>
              <w:rPr>
                <w:rFonts w:ascii="Arial" w:cs="Arial" w:eastAsia="Arial" w:hAnsi="Arial"/>
                <w:sz w:val="18"/>
                <w:szCs w:val="18"/>
                <w:color w:val="auto"/>
              </w:rPr>
              <w:t>Common stock, $0.01 par value, 200,000,000 authorized as of March 31, 2022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and December 31, 2021; 20,486,971 and 20,399,337 shares issued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540" w:type="dxa"/>
            <w:vAlign w:val="bottom"/>
          </w:tcPr>
          <w:p>
            <w:pPr>
              <w:spacing w:after="0"/>
              <w:rPr>
                <w:sz w:val="20"/>
                <w:szCs w:val="20"/>
                <w:color w:val="auto"/>
              </w:rPr>
            </w:pPr>
            <w:r>
              <w:rPr>
                <w:rFonts w:ascii="Arial" w:cs="Arial" w:eastAsia="Arial" w:hAnsi="Arial"/>
                <w:sz w:val="18"/>
                <w:szCs w:val="18"/>
                <w:color w:val="auto"/>
              </w:rPr>
              <w:t>outstanding as of March 31, 2022 and December 31, 2021, respectively</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541,547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540,707</w:t>
            </w:r>
          </w:p>
        </w:tc>
        <w:tc>
          <w:tcPr>
            <w:tcW w:w="0" w:type="dxa"/>
            <w:vAlign w:val="bottom"/>
          </w:tcPr>
          <w:p>
            <w:pPr>
              <w:spacing w:after="0"/>
              <w:rPr>
                <w:sz w:val="1"/>
                <w:szCs w:val="1"/>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(404,745)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(394,754)</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136,803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145,959</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144,405</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152,548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r>
      <w:tr>
        <w:trPr>
          <w:trHeight w:val="178"/>
        </w:trPr>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r>
      <w:tr>
        <w:trPr>
          <w:trHeight w:val="196"/>
        </w:trPr>
        <w:tc>
          <w:tcPr>
            <w:tcW w:w="64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2"/>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2,860</w:t>
            </w:r>
          </w:p>
        </w:tc>
      </w:tr>
      <w:tr>
        <w:trPr>
          <w:trHeight w:val="203"/>
        </w:trPr>
        <w:tc>
          <w:tcPr>
            <w:tcW w:w="6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867</w:t>
            </w:r>
          </w:p>
        </w:tc>
      </w:tr>
      <w:tr>
        <w:trPr>
          <w:trHeight w:val="196"/>
        </w:trPr>
        <w:tc>
          <w:tcPr>
            <w:tcW w:w="64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1,993</w:t>
            </w: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4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w:t>
            </w:r>
          </w:p>
        </w:tc>
      </w:tr>
      <w:tr>
        <w:trPr>
          <w:trHeight w:val="203"/>
        </w:trPr>
        <w:tc>
          <w:tcPr>
            <w:tcW w:w="64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10,777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4,460</w:t>
            </w:r>
          </w:p>
        </w:tc>
      </w:tr>
      <w:tr>
        <w:trPr>
          <w:trHeight w:val="196"/>
        </w:trPr>
        <w:tc>
          <w:tcPr>
            <w:tcW w:w="64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13,035</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6,210</w:t>
            </w:r>
          </w:p>
        </w:tc>
      </w:tr>
      <w:tr>
        <w:trPr>
          <w:trHeight w:val="196"/>
        </w:trPr>
        <w:tc>
          <w:tcPr>
            <w:tcW w:w="6420" w:type="dxa"/>
            <w:vAlign w:val="bottom"/>
          </w:tcPr>
          <w:p>
            <w:pPr>
              <w:ind w:left="3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(9,908)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(4,217)</w:t>
            </w:r>
          </w:p>
        </w:tc>
      </w:tr>
      <w:tr>
        <w:trPr>
          <w:trHeight w:val="203"/>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w:t>
            </w:r>
          </w:p>
        </w:tc>
      </w:tr>
      <w:tr>
        <w:trPr>
          <w:trHeight w:val="203"/>
        </w:trPr>
        <w:tc>
          <w:tcPr>
            <w:tcW w:w="6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(3,792)</w:t>
            </w:r>
          </w:p>
        </w:tc>
      </w:tr>
      <w:tr>
        <w:trPr>
          <w:trHeight w:val="196"/>
        </w:trPr>
        <w:tc>
          <w:tcPr>
            <w:tcW w:w="64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(9,965)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(8,610)</w:t>
            </w:r>
          </w:p>
        </w:tc>
      </w:tr>
      <w:tr>
        <w:trPr>
          <w:trHeight w:val="203"/>
        </w:trPr>
        <w:tc>
          <w:tcPr>
            <w:tcW w:w="6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r>
      <w:tr>
        <w:trPr>
          <w:trHeight w:val="196"/>
        </w:trPr>
        <w:tc>
          <w:tcPr>
            <w:tcW w:w="64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(9,991)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(8,627)</w:t>
            </w:r>
          </w:p>
        </w:tc>
      </w:tr>
      <w:tr>
        <w:trPr>
          <w:trHeight w:val="203"/>
        </w:trPr>
        <w:tc>
          <w:tcPr>
            <w:tcW w:w="6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Cumulative translation adjustment</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r>
      <w:tr>
        <w:trPr>
          <w:trHeight w:val="196"/>
        </w:trPr>
        <w:tc>
          <w:tcPr>
            <w:tcW w:w="642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Comprehensive loss</w:t>
            </w: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(9,997)</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(8,631)</w:t>
            </w:r>
          </w:p>
        </w:tc>
      </w:tr>
      <w:tr>
        <w:trPr>
          <w:trHeight w:val="196"/>
        </w:trPr>
        <w:tc>
          <w:tcPr>
            <w:tcW w:w="642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26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(0.49)</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(23.92)</w:t>
            </w:r>
          </w:p>
        </w:tc>
      </w:tr>
      <w:tr>
        <w:trPr>
          <w:trHeight w:val="184"/>
        </w:trPr>
        <w:tc>
          <w:tcPr>
            <w:tcW w:w="64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common shares used to compute net loss per share, basic</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and diluted</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20,453,341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360,675</w:t>
            </w: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0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Convertible</w:t>
            </w:r>
          </w:p>
        </w:tc>
        <w:tc>
          <w:tcPr>
            <w:tcW w:w="1420" w:type="dxa"/>
            <w:vAlign w:val="bottom"/>
            <w:gridSpan w:val="4"/>
            <w:vMerge w:val="restart"/>
          </w:tcPr>
          <w:p>
            <w:pPr>
              <w:jc w:val="right"/>
              <w:ind w:right="19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1"/>
                <w:szCs w:val="11"/>
                <w:color w:val="auto"/>
              </w:rPr>
            </w:pPr>
          </w:p>
        </w:tc>
        <w:tc>
          <w:tcPr>
            <w:tcW w:w="6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Additional</w:t>
            </w:r>
          </w:p>
        </w:tc>
        <w:tc>
          <w:tcPr>
            <w:tcW w:w="9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8"/>
              </w:rPr>
              <w:t>other</w:t>
            </w: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4"/>
              </w:rPr>
              <w:t>stockholders’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0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7"/>
              </w:rPr>
              <w:t>preferred stock</w:t>
            </w:r>
          </w:p>
        </w:tc>
        <w:tc>
          <w:tcPr>
            <w:tcW w:w="142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paid-in</w:t>
            </w:r>
          </w:p>
        </w:tc>
        <w:tc>
          <w:tcPr>
            <w:tcW w:w="940" w:type="dxa"/>
            <w:vAlign w:val="bottom"/>
            <w:gridSpan w:val="3"/>
            <w:vMerge w:val="continue"/>
          </w:tcPr>
          <w:p>
            <w:pPr>
              <w:spacing w:after="0"/>
              <w:rPr>
                <w:sz w:val="13"/>
                <w:szCs w:val="13"/>
                <w:color w:val="auto"/>
              </w:rPr>
            </w:pPr>
          </w:p>
        </w:tc>
        <w:tc>
          <w:tcPr>
            <w:tcW w:w="12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77"/>
              <w:spacing w:after="0"/>
              <w:rPr>
                <w:sz w:val="20"/>
                <w:szCs w:val="20"/>
                <w:color w:val="auto"/>
              </w:rPr>
            </w:pPr>
            <w:r>
              <w:rPr>
                <w:rFonts w:ascii="Arial" w:cs="Arial" w:eastAsia="Arial" w:hAnsi="Arial"/>
                <w:sz w:val="13"/>
                <w:szCs w:val="13"/>
                <w:b w:val="1"/>
                <w:bCs w:val="1"/>
                <w:color w:val="auto"/>
                <w:w w:val="93"/>
              </w:rPr>
              <w:t>(deficit)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78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7"/>
              </w:rPr>
              <w:t>capital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99"/>
              </w:rPr>
              <w:t>loss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96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color w:val="auto"/>
              </w:rPr>
              <w:t>Balances as of</w:t>
            </w:r>
          </w:p>
        </w:tc>
        <w:tc>
          <w:tcPr>
            <w:tcW w:w="7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December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20,399,337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540,707</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145,959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87,634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 stock compensation</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793</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tcPr>
          <w:p>
            <w:pPr>
              <w:spacing w:after="0" w:line="117" w:lineRule="exact"/>
              <w:rPr>
                <w:sz w:val="20"/>
                <w:szCs w:val="20"/>
                <w:color w:val="auto"/>
              </w:rPr>
            </w:pPr>
            <w:r>
              <w:rPr>
                <w:rFonts w:ascii="Arial" w:cs="Arial" w:eastAsia="Arial" w:hAnsi="Arial"/>
                <w:sz w:val="13"/>
                <w:szCs w:val="13"/>
                <w:color w:val="auto"/>
              </w:rPr>
              <w:t>Net loss for the three months</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80" w:type="dxa"/>
            <w:vAlign w:val="bottom"/>
            <w:gridSpan w:val="2"/>
          </w:tcPr>
          <w:p>
            <w:pPr>
              <w:spacing w:after="0"/>
              <w:rPr>
                <w:sz w:val="20"/>
                <w:szCs w:val="20"/>
                <w:color w:val="auto"/>
              </w:rPr>
            </w:pPr>
            <w:r>
              <w:rPr>
                <w:rFonts w:ascii="Arial" w:cs="Arial" w:eastAsia="Arial" w:hAnsi="Arial"/>
                <w:sz w:val="13"/>
                <w:szCs w:val="13"/>
                <w:color w:val="auto"/>
              </w:rPr>
              <w:t>ended March 31, 2022</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(9,991)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(9,991)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Cumulative translation</w:t>
            </w: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adjustment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as of March 31, 2022</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8"/>
              </w:rPr>
              <w:t>20,486,971</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205</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541,547</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(404,745)</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(204)</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136,803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9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Balances as of</w:t>
            </w: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223,541,754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329,983</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360,412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58,624</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(351,676)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4,862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Employee stock compensation</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tcPr>
          <w:p>
            <w:pPr>
              <w:spacing w:after="0" w:line="117" w:lineRule="exact"/>
              <w:rPr>
                <w:sz w:val="20"/>
                <w:szCs w:val="20"/>
                <w:color w:val="auto"/>
              </w:rPr>
            </w:pPr>
            <w:r>
              <w:rPr>
                <w:rFonts w:ascii="Arial" w:cs="Arial" w:eastAsia="Arial" w:hAnsi="Arial"/>
                <w:sz w:val="13"/>
                <w:szCs w:val="13"/>
                <w:color w:val="auto"/>
              </w:rPr>
              <w:t>Net loss for the three months</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80" w:type="dxa"/>
            <w:vAlign w:val="bottom"/>
            <w:gridSpan w:val="2"/>
          </w:tcPr>
          <w:p>
            <w:pPr>
              <w:spacing w:after="0"/>
              <w:rPr>
                <w:sz w:val="20"/>
                <w:szCs w:val="20"/>
                <w:color w:val="auto"/>
              </w:rPr>
            </w:pPr>
            <w:r>
              <w:rPr>
                <w:rFonts w:ascii="Arial" w:cs="Arial" w:eastAsia="Arial" w:hAnsi="Arial"/>
                <w:sz w:val="13"/>
                <w:szCs w:val="13"/>
                <w:color w:val="auto"/>
              </w:rPr>
              <w:t>ended March 31, 2021</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(8,627)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(8,627)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6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Cumulative translation</w:t>
            </w: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3"/>
                <w:szCs w:val="13"/>
                <w:color w:val="auto"/>
              </w:rPr>
              <w:t>adjustment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960" w:type="dxa"/>
            <w:vAlign w:val="bottom"/>
          </w:tcPr>
          <w:p>
            <w:pPr>
              <w:spacing w:after="0" w:line="129" w:lineRule="exact"/>
              <w:rPr>
                <w:sz w:val="20"/>
                <w:szCs w:val="20"/>
                <w:color w:val="auto"/>
              </w:rPr>
            </w:pPr>
            <w:r>
              <w:rPr>
                <w:rFonts w:ascii="Arial" w:cs="Arial" w:eastAsia="Arial" w:hAnsi="Arial"/>
                <w:sz w:val="13"/>
                <w:szCs w:val="13"/>
                <w:b w:val="1"/>
                <w:bCs w:val="1"/>
                <w:color w:val="auto"/>
              </w:rPr>
              <w:t>Balances as of March 31, 2021</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223,541,754</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329,983</w:t>
            </w:r>
          </w:p>
        </w:tc>
        <w:tc>
          <w:tcPr>
            <w:tcW w:w="1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365,274</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4</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58,687</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(360,303)</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(194)</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(301,806)</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r>
      <w:tr>
        <w:trPr>
          <w:trHeight w:val="196"/>
        </w:trPr>
        <w:tc>
          <w:tcPr>
            <w:tcW w:w="628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(9,991)</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(8,627)</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Depreciation of property and equipment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Amortization of deferred financing costs and loan discount</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2"/>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Changes in fair value of convertible preferred stock warrants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3,689</w:t>
            </w: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Accounts receivable</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Inventory</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(1,381)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314</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w:t>
            </w:r>
          </w:p>
        </w:tc>
      </w:tr>
      <w:tr>
        <w:trPr>
          <w:trHeight w:val="203"/>
        </w:trPr>
        <w:tc>
          <w:tcPr>
            <w:tcW w:w="628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1,097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364</w:t>
            </w: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Accrued expenses</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(10,644)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(5,038)</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2"/>
        </w:trPr>
        <w:tc>
          <w:tcPr>
            <w:tcW w:w="6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Purchase of property and equipment</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196"/>
        </w:trPr>
        <w:tc>
          <w:tcPr>
            <w:tcW w:w="62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196"/>
        </w:trPr>
        <w:tc>
          <w:tcPr>
            <w:tcW w:w="628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 of currency exchange on cash and cash equivalents</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280" w:type="dxa"/>
            <w:vAlign w:val="bottom"/>
          </w:tcPr>
          <w:p>
            <w:pPr>
              <w:spacing w:after="0" w:line="196" w:lineRule="exact"/>
              <w:rPr>
                <w:sz w:val="20"/>
                <w:szCs w:val="20"/>
                <w:color w:val="auto"/>
              </w:rPr>
            </w:pPr>
            <w:r>
              <w:rPr>
                <w:rFonts w:ascii="Arial" w:cs="Arial" w:eastAsia="Arial" w:hAnsi="Arial"/>
                <w:sz w:val="18"/>
                <w:szCs w:val="18"/>
                <w:b w:val="1"/>
                <w:bCs w:val="1"/>
                <w:color w:val="auto"/>
              </w:rPr>
              <w:t>Net change in cash and cash equivalents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(10,895)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(5,141)</w:t>
            </w:r>
          </w:p>
        </w:tc>
      </w:tr>
      <w:tr>
        <w:trPr>
          <w:trHeight w:val="203"/>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5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142,072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59,112</w:t>
            </w:r>
          </w:p>
        </w:tc>
      </w:tr>
      <w:tr>
        <w:trPr>
          <w:trHeight w:val="196"/>
        </w:trPr>
        <w:tc>
          <w:tcPr>
            <w:tcW w:w="62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Cash and cash equivalents at end of period</w:t>
            </w:r>
          </w:p>
        </w:tc>
        <w:tc>
          <w:tcPr>
            <w:tcW w:w="5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131,177</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53,971</w:t>
            </w: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Cash paid for interest</w:t>
            </w:r>
          </w:p>
        </w:tc>
        <w:tc>
          <w:tcPr>
            <w:tcW w:w="68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r>
      <w:tr>
        <w:trPr>
          <w:trHeight w:val="203"/>
        </w:trPr>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paid for income taxes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CVRx,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 Business organization</w:t>
      </w:r>
    </w:p>
    <w:p>
      <w:pPr>
        <w:spacing w:after="0" w:line="216"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spacing w:after="0" w:line="169"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Management expects that operating losses and negative cash flows from operations could continue in the foreseeable future. There is no assurance that the Company will generate sufficient product sales to produce positive earnings or cash flows.</w:t>
      </w: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Statement presentation and basis of consolidation</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spacing w:after="0" w:line="180"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The condensed consolidated financial statements include the accounts of CVRx, Inc., its wholly owned subsidiary, CVRx Switzerland LLC, and its sales branch in Italy. All intercompany balances and transactions have been eliminated in consolidation.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12"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The Company is an emerging growth company under the Jumpstart Our Business Startups Act of 2012 (the “JOBS Act”). As a result, the Company has elected to take advantage of certain exemptions from various reporting requirements that are applicable to other public companies that are not emerging growth companies.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As of March 31, 2022 and December 31, 2021, cash equivalents consisted of money market funds, which are stated at cost and approximate fair value.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1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Trade accounts receivable are recorded at the invoiced amount and do not bear interest. Customer credit terms are established prior to shipment with the standard generally being net 30 days. We do not record an allowance on our trade accounts receivable but monitor the collectability of individual customer accounts on an ongoing basis.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Inventory is stated at the lower of cost or net realizable value, with cost determined on a first-in, first-out basis. The Company regularly reviews inventory quantities in consideration of actual loss experiences, projected future demand and remaining shelf life to record a provision for excess and obsolete inventory when appropriate.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1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judgement based on information available at lease commencement.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The Company sells its products primarily through a direct sales force and to a lesser extent through a combination of sales agents and independent distributors. The Company’s revenue consists primarily of the sale of its Barostim, which consists of two implantable components: a pulse generator and a stimulation lead.</w:t>
      </w:r>
    </w:p>
    <w:p>
      <w:pPr>
        <w:spacing w:after="0" w:line="15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 xml:space="preserve">Under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The Company recognizes net revenue on product sales when the customer obtains control of the Company’s product, which generally occurs at a point in time upon delivery based on the contractual shipping terms of a contract.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 xml:space="preserve">We recognize equity-based compensation expense for awards of equity instruments to employees and non-employees based on the grant date fair value of those awards in accordance with Financial Accounting Standards Board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 We account for forfeitures as they occur. We expense the fair value of our equity-based compensation awards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granted to employees on a straight-line basis over the associated service period, which is generally the period in which the related services are received.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 xml:space="preserve">On January 1, 2022, the Company adopted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utilizing the alternative modified retrospective transition approach. Under the alternative modified retrospective transition approach, the reported results for 2022 reflect the application of Topic 842 guidance, whereas comparative periods and their respective disclosures prior to the adoption of Topic 842 are presented using the legacy guidance of ASC 840. As a result of adopting the new standard, the Company recognized right-of-use assets of $579,000 and lease liabilities of $561,000 as of January 1, 2022. The lease liabilities represent the present value of the remaining lease payments, discounted using the Company’s incremental borrowing rate as of January 1, 2022. The corresponding ROU assets are recorded based on the lease liabilities and the cumulative difference between rent expense and the amounts paid under the lease. The Company did not elect any practical expedients.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3. Selected balance sheet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 consists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2,399</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1,593</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tcPr>
          <w:p>
            <w:pPr>
              <w:spacing w:after="0" w:line="202" w:lineRule="exact"/>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2,109</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5,261</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ind w:left="20"/>
              <w:spacing w:after="0"/>
              <w:rPr>
                <w:sz w:val="20"/>
                <w:szCs w:val="20"/>
                <w:color w:val="auto"/>
              </w:rPr>
            </w:pPr>
            <w:r>
              <w:rPr>
                <w:rFonts w:ascii="Arial" w:cs="Arial" w:eastAsia="Arial" w:hAnsi="Arial"/>
                <w:sz w:val="18"/>
                <w:szCs w:val="18"/>
                <w:color w:val="auto"/>
              </w:rPr>
              <w:t>Property and equipment, net consists of the following at:</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6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6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1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Office furniture and equipment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Lab equipment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1,594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Capital equipment in process</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3,586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4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1,656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Depreciation expense was $62,000 and $33,000 for the three months ended March 31, 2022 and 2021, respectively.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expenses consist of the following at: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2021</w:t>
            </w: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Clinical trial and other professional fees</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1,803</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1,607</w:t>
            </w:r>
          </w:p>
        </w:tc>
      </w:tr>
      <w:tr>
        <w:trPr>
          <w:trHeight w:val="203"/>
        </w:trPr>
        <w:tc>
          <w:tcPr>
            <w:tcW w:w="6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Bonuses</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1,202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2,028</w:t>
            </w:r>
          </w:p>
        </w:tc>
      </w:tr>
      <w:tr>
        <w:trPr>
          <w:trHeight w:val="202"/>
        </w:trPr>
        <w:tc>
          <w:tcPr>
            <w:tcW w:w="6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Paid time off</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w:t>
            </w:r>
          </w:p>
        </w:tc>
      </w:tr>
      <w:tr>
        <w:trPr>
          <w:trHeight w:val="203"/>
        </w:trPr>
        <w:tc>
          <w:tcPr>
            <w:tcW w:w="6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Customer rebates</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380</w:t>
            </w:r>
          </w:p>
        </w:tc>
      </w:tr>
      <w:tr>
        <w:trPr>
          <w:trHeight w:val="203"/>
        </w:trPr>
        <w:tc>
          <w:tcPr>
            <w:tcW w:w="6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r>
      <w:tr>
        <w:trPr>
          <w:trHeight w:val="196"/>
        </w:trPr>
        <w:tc>
          <w:tcPr>
            <w:tcW w:w="6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4,985</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5,398</w:t>
            </w:r>
          </w:p>
        </w:tc>
      </w:tr>
      <w:tr>
        <w:trPr>
          <w:trHeight w:val="20"/>
        </w:trPr>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4. Fair value measurements</w:t>
      </w:r>
    </w:p>
    <w:p>
      <w:pPr>
        <w:spacing w:after="0" w:line="21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Fair value is defined as the price that would be received upon the sale of an asset or paid to transfer a liability in an orderly transaction between market participants on the measurement date. Valuation techniques used to measure fair value maximize the use of observable inputs and minimize the use of unobservable inputs. The fair value hierarchy defines a three-level valuation hierarchy for disclosure of fair value measurements as follows:</w:t>
      </w:r>
    </w:p>
    <w:p>
      <w:pPr>
        <w:spacing w:after="0" w:line="176"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1 — Inputs are quoted prices in active markets for identical assets or liabilities.</w:t>
      </w:r>
    </w:p>
    <w:p>
      <w:pPr>
        <w:spacing w:after="0" w:line="224" w:lineRule="exact"/>
        <w:rPr>
          <w:rFonts w:ascii="Times New Roman" w:cs="Times New Roman" w:eastAsia="Times New Roman" w:hAnsi="Times New Roman"/>
          <w:sz w:val="18"/>
          <w:szCs w:val="18"/>
          <w:color w:val="auto"/>
        </w:rPr>
      </w:pPr>
    </w:p>
    <w:p>
      <w:pPr>
        <w:ind w:left="380" w:right="299" w:hanging="330"/>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spacing w:after="0" w:line="170"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Level 3 — Inputs are unobservable for the asset or liability.</w:t>
      </w:r>
    </w:p>
    <w:p>
      <w:pPr>
        <w:spacing w:after="0" w:line="224"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There was no convertible preferred stock warranty liability as of the periods ended March 31, 2022 and December 31, 2021.</w:t>
      </w:r>
    </w:p>
    <w:p>
      <w:pPr>
        <w:spacing w:after="0" w:line="14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Company’s recurring fair value measurements using significant unobservable inputs (Level 3) related solely to the Company’s convertible preferred stock warrant liability. The convertible preferred stock warrant liability was remeasured at each financial reporting period with any changes in fair value being recognized as a component of other expense, net in the condensed consolidated statements of operations and comprehensive loss. In connection with the closing of the initial public offering (“IPO”), all of the outstanding convertible preferred stock warrants were converted to common stock warrants. The related liability was remeasured at the time of the IPO and reclassed to additional paid-in capital.</w:t>
      </w:r>
    </w:p>
    <w:p>
      <w:pPr>
        <w:spacing w:after="0" w:line="185"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The following table sets forth a summary of changes in the estimated fair value of the Company’s convertible preferred stock warrants during the three months ended:</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6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of the period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03"/>
        </w:trPr>
        <w:tc>
          <w:tcPr>
            <w:tcW w:w="6860" w:type="dxa"/>
            <w:vAlign w:val="bottom"/>
          </w:tcPr>
          <w:p>
            <w:pPr>
              <w:ind w:left="100"/>
              <w:spacing w:after="0" w:line="202" w:lineRule="exact"/>
              <w:rPr>
                <w:sz w:val="20"/>
                <w:szCs w:val="20"/>
                <w:color w:val="auto"/>
              </w:rPr>
            </w:pPr>
            <w:r>
              <w:rPr>
                <w:rFonts w:ascii="Arial" w:cs="Arial" w:eastAsia="Arial" w:hAnsi="Arial"/>
                <w:sz w:val="18"/>
                <w:szCs w:val="18"/>
                <w:color w:val="auto"/>
              </w:rPr>
              <w:t>Change in fair value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Conversion to common stock warrants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860" w:type="dxa"/>
            <w:vAlign w:val="bottom"/>
          </w:tcPr>
          <w:p>
            <w:pPr>
              <w:spacing w:after="0" w:line="196" w:lineRule="exact"/>
              <w:rPr>
                <w:sz w:val="20"/>
                <w:szCs w:val="20"/>
                <w:color w:val="auto"/>
              </w:rPr>
            </w:pPr>
            <w:r>
              <w:rPr>
                <w:rFonts w:ascii="Arial" w:cs="Arial" w:eastAsia="Arial" w:hAnsi="Arial"/>
                <w:sz w:val="18"/>
                <w:szCs w:val="18"/>
                <w:color w:val="auto"/>
              </w:rPr>
              <w:t>End of the period</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0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There were no transfers in or out of Level 1, Level 2 or Level 3 fair value measurements during the periods ended March 31, 2022 and 2021.</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5. Leases</w:t>
      </w:r>
    </w:p>
    <w:p>
      <w:pPr>
        <w:spacing w:after="0" w:line="21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 xml:space="preserve">We lease 23,890 square feet of office space in Minneapolis, Minnesota, which houses our principal executive offices and our manufacturing facility. We lease this space under an operating lease agreement that commenced December 1, 2008 and expires July 31, 2024. We intend to add new facilities as we grow, and we believe that suitable additional or substitute space will be available as needed to accommodate any such expansion of our operations. Our operating lease agreement includes an option to renew for one additional period of five years. The exercise of the lease renewal option is at our sole discretion and was not included in the lease term for the calculation of the ROU asset and lease liability upon adoption of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on January 1, 2022, as it is not reasonably certain of exercise.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In addition to base rent, we will also pay our proportionate share of operating expenses, as defined in the lease. These payments will be made monthly and will be adjusted annually to reflect actual charges incurred for operating expenses, such as common area maintenance, taxes and insurance.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lease balances within the condensed consolidated balance sheets: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120"/>
              <w:spacing w:after="0"/>
              <w:rPr>
                <w:sz w:val="20"/>
                <w:szCs w:val="20"/>
                <w:color w:val="auto"/>
              </w:rPr>
            </w:pPr>
            <w:r>
              <w:rPr>
                <w:rFonts w:ascii="Arial" w:cs="Arial" w:eastAsia="Arial" w:hAnsi="Arial"/>
                <w:sz w:val="18"/>
                <w:szCs w:val="18"/>
                <w:color w:val="auto"/>
              </w:rPr>
              <w:t>Operating lease right-of-use asset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 liability, non-current portion</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196"/>
        </w:trPr>
        <w:tc>
          <w:tcPr>
            <w:tcW w:w="76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ind w:left="20"/>
              <w:spacing w:after="0"/>
              <w:rPr>
                <w:sz w:val="20"/>
                <w:szCs w:val="20"/>
                <w:color w:val="auto"/>
              </w:rPr>
            </w:pPr>
            <w:r>
              <w:rPr>
                <w:rFonts w:ascii="Arial" w:cs="Arial" w:eastAsia="Arial" w:hAnsi="Arial"/>
                <w:sz w:val="18"/>
                <w:szCs w:val="18"/>
                <w:color w:val="auto"/>
              </w:rPr>
              <w:t>Maturities of our lease liability for our operating lease are as follows as of March 31, 2022:</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6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7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73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2022</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76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76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Present value of lease liability</w:t>
            </w: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60" w:right="239"/>
        <w:spacing w:after="0" w:line="301" w:lineRule="auto"/>
        <w:rPr>
          <w:sz w:val="20"/>
          <w:szCs w:val="20"/>
          <w:color w:val="auto"/>
        </w:rPr>
      </w:pPr>
      <w:r>
        <w:rPr>
          <w:rFonts w:ascii="Arial" w:cs="Arial" w:eastAsia="Arial" w:hAnsi="Arial"/>
          <w:sz w:val="17"/>
          <w:szCs w:val="17"/>
          <w:color w:val="auto"/>
        </w:rPr>
        <w:t>As of March 31, 2022, the remaining lease term was 2.3 years and the discount rate was 5.0%. The operating cash outflows from our operating lease were $0.2 million for the three months ended March 31, 2022.</w:t>
      </w:r>
    </w:p>
    <w:p>
      <w:pPr>
        <w:spacing w:after="0" w:line="32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6. Stockholders’ equity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1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On July 2, 2021, the Company closed its IPO of 8,050,000 shares of its common stock at a public offering price of $18.00 per share, which included 1,050,000 shares of common stock issued upon the exercise in full by the underwriters of their option to purchase additional shares, for net proceeds from the IPO, after deducting the underwriting discount and other offering expenses payable by the Company totaling $1.6 million, of $133.2 million.</w:t>
      </w:r>
    </w:p>
    <w:p>
      <w:pPr>
        <w:spacing w:after="0" w:line="176"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Upon the closing of the IPO, all shares of convertible preferred stock were automatically converted into common stock. Series G convertible preferred stock was converted into common stock on a 15.819-for-1 basis, and all other shares of convertible preferred stock were automatically converted into common stock on a 39.548-for-1 basis. The conversion of the outstanding preferred stock resulted in an aggregate of 11,929,584 shares of common stock.</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Reverse Stock Split</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connection with the IPO, the Company’s Board of Directors and stockholders approved a 1-for-39.548 reverse stock split of the Company’s common stock. The reverse stock split became effective on June 22, 2021. The par value of the common stock was not adjusted as a result of the reverse stock split. Adjustments corresponding to the reverse stock split were made to the ratio at which the convertible preferred stock converted into common stock in connection with the closing of the IPO. Accordingly, all share and per-share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amounts for all periods presented in these financial statements and notes thereto have been adjusted retroactively, where applicable, to reflect the reverse stock split and the adjustment of the conversion ratio of the convertible preferred stock.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connection with the IPO, the warrants to purchase shares of convertible preferred stock automatically converted into warrants to purchase common stock, resulting in the reclassification of the related convertible preferred stock warrant liability to additional paid-in capital. Upon the closing of the IPO, these warrants to purchase convertible preferred stock became exercisable for 716,131 shares of common stock upon conversion at a weighted average exercise price of $2.39 per share.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7.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plans and activity</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 June 2001, the Company’s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w:t>
      </w:r>
    </w:p>
    <w:p>
      <w:pPr>
        <w:spacing w:after="0" w:line="17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In connection with the IPO in 2021, the Company’s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will automatically increase on the first day of each year, commencing January 1, 2022 and ending on (and including) January 1, 2031, in an amount equal to 5% of the total number of shares of the Company’s common stock outstanding on the last day of the calendar month before the date of each automatic increase, or such lesser number of shares as determined by the Board of Directors. The annual increase resulted in an additional 1,019,967 shares being reserved for issuance under the 2021 Plan as of January 1, 2022. The 2021 Plan provides for the issuance of stock options, stock appreciation rights, 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made under the 2001 Plan following the adoption of the 2021 Plan. As of March 31, 2022, there were 2,042,964 shares available for future issuance under the 2021 Plan.</w:t>
      </w:r>
    </w:p>
    <w:p>
      <w:pPr>
        <w:spacing w:after="0" w:line="186" w:lineRule="exact"/>
        <w:rPr>
          <w:sz w:val="20"/>
          <w:szCs w:val="20"/>
          <w:color w:val="auto"/>
        </w:rPr>
      </w:pPr>
    </w:p>
    <w:p>
      <w:pPr>
        <w:ind w:left="60" w:right="659"/>
        <w:spacing w:after="0" w:line="271" w:lineRule="auto"/>
        <w:rPr>
          <w:sz w:val="20"/>
          <w:szCs w:val="20"/>
          <w:color w:val="auto"/>
        </w:rPr>
      </w:pPr>
      <w:r>
        <w:rPr>
          <w:rFonts w:ascii="Arial" w:cs="Arial" w:eastAsia="Arial" w:hAnsi="Arial"/>
          <w:sz w:val="18"/>
          <w:szCs w:val="18"/>
          <w:color w:val="auto"/>
        </w:rPr>
        <w:t>Options are granted at exercise prices not less than the fair market value (as determined by the Board of Directors) of the Company’s common stock on the date of grant.</w:t>
      </w:r>
    </w:p>
    <w:p>
      <w:pPr>
        <w:spacing w:after="0" w:line="154"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During the years 2008 through March 31, 2022, the Board of Directors authorized the grant of stock options for the purchase of shares of common stock to the employers of certain non-employee directors. The options were not granted under the 2001 Plan or the 2021 Plan, but terms are substantially the same as the Company’s standard form of option agreement for non-employee directors as they have an exercise price not less than the fair market value on the grant date and vest over 48 months from the date of grant.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stock option activity:</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26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rPr>
              <w:t>Aggregate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26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rPr>
              <w:t>Intrinsic</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660" w:type="dxa"/>
            <w:vAlign w:val="bottom"/>
          </w:tcPr>
          <w:p>
            <w:pPr>
              <w:spacing w:after="0"/>
              <w:rPr>
                <w:sz w:val="14"/>
                <w:szCs w:val="14"/>
                <w:color w:val="auto"/>
              </w:rPr>
            </w:pPr>
          </w:p>
        </w:tc>
        <w:tc>
          <w:tcPr>
            <w:tcW w:w="600" w:type="dxa"/>
            <w:vAlign w:val="bottom"/>
          </w:tcPr>
          <w:p>
            <w:pPr>
              <w:jc w:val="center"/>
              <w:ind w:right="108"/>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2,749,441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Granted</w:t>
            </w:r>
          </w:p>
        </w:tc>
        <w:tc>
          <w:tcPr>
            <w:tcW w:w="960" w:type="dxa"/>
            <w:vAlign w:val="bottom"/>
          </w:tcPr>
          <w:p>
            <w:pPr>
              <w:jc w:val="right"/>
              <w:spacing w:after="0"/>
              <w:rPr>
                <w:sz w:val="20"/>
                <w:szCs w:val="20"/>
                <w:color w:val="auto"/>
              </w:rPr>
            </w:pPr>
            <w:r>
              <w:rPr>
                <w:rFonts w:ascii="Arial" w:cs="Arial" w:eastAsia="Arial" w:hAnsi="Arial"/>
                <w:sz w:val="14"/>
                <w:szCs w:val="14"/>
                <w:color w:val="auto"/>
              </w:rPr>
              <w:t>632,988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8.85</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 / Forfeited</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(3,836)</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(87,634)</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0.54</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March 31, 2022</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3,290,959</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8.29</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auto"/>
            </w:tcBorders>
            <w:shd w:val="clear" w:color="auto" w:fill="CCEEFF"/>
          </w:tcPr>
          <w:p>
            <w:pPr>
              <w:jc w:val="right"/>
              <w:ind w:right="448"/>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CCEEFF"/>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Arial" w:cs="Arial" w:eastAsia="Arial" w:hAnsi="Arial"/>
                <w:sz w:val="14"/>
                <w:szCs w:val="14"/>
                <w:color w:val="auto"/>
              </w:rPr>
              <w:t>Options exercisable as of March 31, 2022</w:t>
            </w: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3.24</w:t>
            </w: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20" w:type="dxa"/>
            <w:vAlign w:val="bottom"/>
            <w:vMerge w:val="continue"/>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1,167,639</w:t>
            </w:r>
          </w:p>
        </w:tc>
        <w:tc>
          <w:tcPr>
            <w:tcW w:w="2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3,441</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As of March 31, 2022, stock options outstanding included 9,993 options that were not granted under the 2001 Plan or the 2021 Plan. For options outstanding as of March 31, 2022, the weighted average remaining contractual life was 8.3 years. For options exercisable as of March 31, 2022, the weighted average remaining contractual life was 6.9 years.</w:t>
      </w:r>
    </w:p>
    <w:p>
      <w:pPr>
        <w:spacing w:after="0" w:line="17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connection with the IPO, the Company’s Board of Directors and stockholders also established an Employee Stock Purchase Plan (the “ESPP”). The number of shares of common stock initially reserved for issuance under the ESPP was 278,170. The shares available for issuance under the ESPP will automatically increase on the first day of each year, commencing January 1, 2022 and ending on (and including) January 1, 2031, in an amount equal to 1% of the total number of shares of the Company’s common stock outstanding on the last day of the calendar month before the date of each automatic increase, or such lesser number of shares as determined by the Board of Directors. The annual increase resulted in an additional 203,993 shares being reserved for issuance under the ESPP as of January 1, 2022. The ESPP will permit certain of the Company’s U.S. employees to purchase shares of the Company’s common stock at a price per share not less than 85% of the lower of (i) the closing market price per share of the Company’s common stock on the first day of the applicable purchase period or (ii) the closing market price per share of the Company’s common stock on the purchase date at the end of the applicable six-month purchase period. The Company expects the first purchase period to commence in 2022. Accordingly, as of March 31, 2022, no shares of common stock have been purchased under the ESPP. As of March 31, 2022 there were 482,163 shares available for issuance under the ESPP.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ind w:left="60" w:right="179"/>
        <w:spacing w:after="0" w:line="261" w:lineRule="auto"/>
        <w:rPr>
          <w:sz w:val="20"/>
          <w:szCs w:val="20"/>
          <w:color w:val="auto"/>
        </w:rPr>
      </w:pPr>
      <w:r>
        <w:rPr>
          <w:rFonts w:ascii="Arial" w:cs="Arial" w:eastAsia="Arial" w:hAnsi="Arial"/>
          <w:sz w:val="17"/>
          <w:szCs w:val="17"/>
          <w:color w:val="auto"/>
        </w:rPr>
        <w:t>The Company uses the Black-Scholes option pricing model to determine the fair value of stock options on the grant date. The Company measures stock-based compensation expense based on the grant date fair value of the award and recognizes compensation expense over the requisite service period, which is generally the vesting period. The amount of stock-based compensation expense recognized during a period is based on the portion of the awards that are ultimately expected to vest. The Company accounts for forfeitures as they occur.</w:t>
      </w:r>
    </w:p>
    <w:p>
      <w:pPr>
        <w:spacing w:after="0" w:line="166" w:lineRule="exact"/>
        <w:rPr>
          <w:sz w:val="20"/>
          <w:szCs w:val="20"/>
          <w:color w:val="auto"/>
        </w:rPr>
      </w:pPr>
    </w:p>
    <w:p>
      <w:pPr>
        <w:ind w:left="60" w:right="319"/>
        <w:spacing w:after="0" w:line="301" w:lineRule="auto"/>
        <w:rPr>
          <w:sz w:val="20"/>
          <w:szCs w:val="20"/>
          <w:color w:val="auto"/>
        </w:rPr>
      </w:pPr>
      <w:r>
        <w:rPr>
          <w:rFonts w:ascii="Arial" w:cs="Arial" w:eastAsia="Arial" w:hAnsi="Arial"/>
          <w:sz w:val="17"/>
          <w:szCs w:val="17"/>
          <w:color w:val="auto"/>
        </w:rPr>
        <w:t>The following table provides the weighted average fair value of options granted to employees and the related assumptions used in the Black-Scholes option pricing model for the three months ended March 31, 2022.</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4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fair value of options granted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7"/>
                <w:szCs w:val="17"/>
                <w:color w:val="auto"/>
              </w:rPr>
            </w:pPr>
          </w:p>
        </w:tc>
      </w:tr>
      <w:tr>
        <w:trPr>
          <w:trHeight w:val="184"/>
        </w:trPr>
        <w:tc>
          <w:tcPr>
            <w:tcW w:w="7440" w:type="dxa"/>
            <w:vAlign w:val="bottom"/>
          </w:tcPr>
          <w:p>
            <w:pPr>
              <w:spacing w:after="0" w:line="183" w:lineRule="exact"/>
              <w:rPr>
                <w:sz w:val="20"/>
                <w:szCs w:val="20"/>
                <w:color w:val="auto"/>
              </w:rPr>
            </w:pPr>
            <w:r>
              <w:rPr>
                <w:rFonts w:ascii="Arial" w:cs="Arial" w:eastAsia="Arial" w:hAnsi="Arial"/>
                <w:sz w:val="18"/>
                <w:szCs w:val="18"/>
                <w:color w:val="auto"/>
              </w:rPr>
              <w:t>Expected term (in years) — non-officer employees</w:t>
            </w:r>
          </w:p>
        </w:tc>
        <w:tc>
          <w:tcPr>
            <w:tcW w:w="24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6.1</w:t>
            </w:r>
          </w:p>
        </w:tc>
        <w:tc>
          <w:tcPr>
            <w:tcW w:w="180" w:type="dxa"/>
            <w:vAlign w:val="bottom"/>
          </w:tcPr>
          <w:p>
            <w:pPr>
              <w:spacing w:after="0"/>
              <w:rPr>
                <w:sz w:val="15"/>
                <w:szCs w:val="15"/>
                <w:color w:val="auto"/>
              </w:rPr>
            </w:pPr>
          </w:p>
        </w:tc>
      </w:tr>
      <w:tr>
        <w:trPr>
          <w:trHeight w:val="220"/>
        </w:trPr>
        <w:tc>
          <w:tcPr>
            <w:tcW w:w="7440" w:type="dxa"/>
            <w:vAlign w:val="bottom"/>
          </w:tcPr>
          <w:p>
            <w:pPr>
              <w:spacing w:after="0"/>
              <w:rPr>
                <w:sz w:val="20"/>
                <w:szCs w:val="20"/>
                <w:color w:val="auto"/>
              </w:rPr>
            </w:pPr>
            <w:r>
              <w:rPr>
                <w:rFonts w:ascii="Arial" w:cs="Arial" w:eastAsia="Arial" w:hAnsi="Arial"/>
                <w:sz w:val="18"/>
                <w:szCs w:val="18"/>
                <w:color w:val="auto"/>
              </w:rPr>
              <w:t>Expected term (in years) — officer employees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2890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3"/>
        </w:trPr>
        <w:tc>
          <w:tcPr>
            <w:tcW w:w="3120" w:type="dxa"/>
            <w:vAlign w:val="bottom"/>
          </w:tcPr>
          <w:p>
            <w:pPr>
              <w:spacing w:after="0" w:line="203" w:lineRule="exact"/>
              <w:rPr>
                <w:sz w:val="20"/>
                <w:szCs w:val="20"/>
                <w:color w:val="auto"/>
              </w:rPr>
            </w:pPr>
            <w:r>
              <w:rPr>
                <w:rFonts w:ascii="Arial" w:cs="Arial" w:eastAsia="Arial" w:hAnsi="Arial"/>
                <w:sz w:val="18"/>
                <w:szCs w:val="18"/>
                <w:color w:val="auto"/>
              </w:rPr>
              <w:t>Expected volatility</w:t>
            </w:r>
          </w:p>
        </w:tc>
        <w:tc>
          <w:tcPr>
            <w:tcW w:w="5580" w:type="dxa"/>
            <w:vAlign w:val="bottom"/>
          </w:tcPr>
          <w:p>
            <w:pPr>
              <w:ind w:left="4440"/>
              <w:spacing w:after="0" w:line="203" w:lineRule="exact"/>
              <w:rPr>
                <w:sz w:val="20"/>
                <w:szCs w:val="20"/>
                <w:color w:val="auto"/>
              </w:rPr>
            </w:pPr>
            <w:r>
              <w:rPr>
                <w:rFonts w:ascii="Arial" w:cs="Arial" w:eastAsia="Arial" w:hAnsi="Arial"/>
                <w:sz w:val="18"/>
                <w:szCs w:val="18"/>
                <w:color w:val="auto"/>
              </w:rPr>
              <w:t>56.3% to 56.8</w:t>
            </w: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5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39"/>
        </w:trPr>
        <w:tc>
          <w:tcPr>
            <w:tcW w:w="3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580" w:type="dxa"/>
            <w:vAlign w:val="bottom"/>
          </w:tcPr>
          <w:p>
            <w:pPr>
              <w:ind w:left="4440"/>
              <w:spacing w:after="0"/>
              <w:rPr>
                <w:sz w:val="20"/>
                <w:szCs w:val="20"/>
                <w:color w:val="auto"/>
              </w:rPr>
            </w:pPr>
            <w:r>
              <w:rPr>
                <w:rFonts w:ascii="Arial" w:cs="Arial" w:eastAsia="Arial" w:hAnsi="Arial"/>
                <w:sz w:val="18"/>
                <w:szCs w:val="18"/>
                <w:color w:val="auto"/>
              </w:rPr>
              <w:t>1.75% to 2.40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02"/>
        </w:trPr>
        <w:tc>
          <w:tcPr>
            <w:tcW w:w="3120" w:type="dxa"/>
            <w:vAlign w:val="bottom"/>
          </w:tcPr>
          <w:p>
            <w:pPr>
              <w:spacing w:after="0"/>
              <w:rPr>
                <w:sz w:val="24"/>
                <w:szCs w:val="24"/>
                <w:color w:val="auto"/>
              </w:rPr>
            </w:pPr>
          </w:p>
        </w:tc>
        <w:tc>
          <w:tcPr>
            <w:tcW w:w="5580" w:type="dxa"/>
            <w:vAlign w:val="bottom"/>
          </w:tcPr>
          <w:p>
            <w:pPr>
              <w:jc w:val="right"/>
              <w:ind w:right="405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r>
      <w:tr>
        <w:trPr>
          <w:trHeight w:val="543"/>
        </w:trPr>
        <w:tc>
          <w:tcPr>
            <w:tcW w:w="31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Company reviews these assumptions on a periodic basis and adjusts them, as necessary. The expected term of an award was determined based on the Company’s analysis of historical exercise behavior while taking into consideration various participant demographics and option characteristics. We utilize the simplified method to develop the estimate of the expected term. The expected volatility is based upon observed volatility of comparable public companies. The expected dividend yield is assumed to be zero, as the Company has never paid dividends and has no current plans to do so. The risk-free interest rate is based on the yield on U.S. Treasury securities for a period approximating the expected term of the options being valued.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recognized stock-based compensation expense for the periods indicated:</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1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Selling, general &amp; administrative</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Research &amp; development</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793</w:t>
            </w:r>
          </w:p>
        </w:tc>
        <w:tc>
          <w:tcPr>
            <w:tcW w:w="2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color w:val="auto"/>
        </w:rPr>
        <w:t>As of March 31, 2022, unrecognized compensation expense related to unvested stock-based compensation arrangements was $9.1 million. As of March 31, 2022, the related weighted average period over which the expense is expected to be recognized is approximately 3.3 years.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Early exercise of stock options</w:t>
      </w:r>
    </w:p>
    <w:p>
      <w:pPr>
        <w:spacing w:after="0" w:line="212"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Under the 2001 Plan, the Company has issued options to certain executive officers with early-exercise provisions. The options may be exercised by the holder any time after they are granted. The Company has the right to repurchase, at the original option exercise price, shares issued pursuant to such early-exercise provisions, upon the termination of employment or death of the stockholder. This repurchase right expires based upon the original option vesting schedule. As of March 31, 2022 and 2021, there have been no early exercises and therefore there is no liability recorded for the early exercise of stock options.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8. Income taxes</w:t>
      </w:r>
    </w:p>
    <w:p>
      <w:pPr>
        <w:spacing w:after="0" w:line="216" w:lineRule="exact"/>
        <w:rPr>
          <w:sz w:val="20"/>
          <w:szCs w:val="20"/>
          <w:color w:val="auto"/>
        </w:rPr>
      </w:pPr>
    </w:p>
    <w:p>
      <w:pPr>
        <w:jc w:val="both"/>
        <w:ind w:left="60" w:right="459"/>
        <w:spacing w:after="0" w:line="253" w:lineRule="auto"/>
        <w:rPr>
          <w:sz w:val="20"/>
          <w:szCs w:val="20"/>
          <w:color w:val="auto"/>
        </w:rPr>
      </w:pPr>
      <w:r>
        <w:rPr>
          <w:rFonts w:ascii="Arial" w:cs="Arial" w:eastAsia="Arial" w:hAnsi="Arial"/>
          <w:sz w:val="18"/>
          <w:szCs w:val="18"/>
          <w:color w:val="auto"/>
        </w:rPr>
        <w:t>As of March 31, 2022 and December 31, 2021, a valuation allowance was recorded against all deferred tax assets due to the Company’s cumulative net loss position. Provision for income taxes for the three months ended March 31, 2022 and 2021 was $26,000 and $17,000, respectively.</w:t>
      </w:r>
    </w:p>
    <w:p>
      <w:pPr>
        <w:spacing w:after="0" w:line="169"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As of December 31, 2021, the Company had federal and state net operating loss carryforwards (“NOLs”) of approximately $324.8 million and $6.5 million, respectively. The federal NOLs began expiring in 2021 and the state NOLs began expiring in 2020. As of December 31, 2021, the Company had federal and state tax credit carryforwards of approximately $8.9 million and $1.6 million, respectively. The federal tax credit carryforwards began expiring in 2021 and the state tax credit carryforwards will begin expiring in 2028.</w:t>
      </w:r>
    </w:p>
    <w:p>
      <w:pPr>
        <w:spacing w:after="0" w:line="176"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Utilization of NOLs may be subject to an annual limitation due to the ownership change limitations provided by Section 382 of the Internal Revenue Code of 1986 and similar state provisions. The Company has not performed a detailed analysis to determine whether an ownership change has occurred. Such a change of ownership would limit the Company’s utilization of the NOLs and could be triggered by subsequent sales of securities by the Company or its stockholders.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9. (Loss) Earnings Per Share</w:t>
      </w:r>
    </w:p>
    <w:p>
      <w:pPr>
        <w:spacing w:after="0" w:line="21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color w:val="auto"/>
        </w:rPr>
        <w:t>Basic and diluted net loss per share attributable to common stockholders was calculated for the periods indicated (in thousands, except share and per share data):</w:t>
      </w:r>
    </w:p>
    <w:p>
      <w:pPr>
        <w:spacing w:after="0" w:line="177"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56"/>
        </w:trPr>
        <w:tc>
          <w:tcPr>
            <w:tcW w:w="63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(9,991)</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(8,627)</w:t>
            </w: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3"/>
        </w:trPr>
        <w:tc>
          <w:tcPr>
            <w:tcW w:w="63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Weighted average common shares outstanding — basic and diluted</w:t>
            </w:r>
          </w:p>
        </w:tc>
        <w:tc>
          <w:tcPr>
            <w:tcW w:w="3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20,453,341</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360,675</w:t>
            </w:r>
          </w:p>
        </w:tc>
      </w:tr>
      <w:tr>
        <w:trPr>
          <w:trHeight w:val="183"/>
        </w:trPr>
        <w:tc>
          <w:tcPr>
            <w:tcW w:w="634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Net loss per share attributable to common stockholders — basic and diluted</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(0.49)</w:t>
            </w:r>
          </w:p>
        </w:tc>
        <w:tc>
          <w:tcPr>
            <w:tcW w:w="30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92)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potentially dilutive securities, which include stock options, shares of convertible preferred stock, warrants to purchase shares of convertible preferred stock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12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78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67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6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3,290,959</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2,017,441</w:t>
            </w:r>
          </w:p>
        </w:tc>
      </w:tr>
      <w:tr>
        <w:trPr>
          <w:trHeight w:val="184"/>
        </w:trPr>
        <w:tc>
          <w:tcPr>
            <w:tcW w:w="6780" w:type="dxa"/>
            <w:vAlign w:val="bottom"/>
          </w:tcPr>
          <w:p>
            <w:pPr>
              <w:spacing w:after="0" w:line="183" w:lineRule="exact"/>
              <w:rPr>
                <w:sz w:val="20"/>
                <w:szCs w:val="20"/>
                <w:color w:val="auto"/>
              </w:rPr>
            </w:pPr>
            <w:r>
              <w:rPr>
                <w:rFonts w:ascii="Arial" w:cs="Arial" w:eastAsia="Arial" w:hAnsi="Arial"/>
                <w:sz w:val="18"/>
                <w:szCs w:val="18"/>
                <w:color w:val="auto"/>
              </w:rPr>
              <w:t>Warrants to purchase redeemable convertible preferred stock (as converted to</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1"/>
        </w:trPr>
        <w:tc>
          <w:tcPr>
            <w:tcW w:w="6780" w:type="dxa"/>
            <w:vAlign w:val="bottom"/>
          </w:tcPr>
          <w:p>
            <w:pPr>
              <w:spacing w:after="0"/>
              <w:rPr>
                <w:sz w:val="20"/>
                <w:szCs w:val="20"/>
                <w:color w:val="auto"/>
              </w:rPr>
            </w:pPr>
            <w:r>
              <w:rPr>
                <w:rFonts w:ascii="Arial" w:cs="Arial" w:eastAsia="Arial" w:hAnsi="Arial"/>
                <w:sz w:val="18"/>
                <w:szCs w:val="18"/>
                <w:color w:val="auto"/>
              </w:rPr>
              <w:t>common stock)</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108,406</w:t>
            </w:r>
          </w:p>
        </w:tc>
      </w:tr>
      <w:tr>
        <w:trPr>
          <w:trHeight w:val="203"/>
        </w:trPr>
        <w:tc>
          <w:tcPr>
            <w:tcW w:w="6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716,131</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 (as converted to common stock)</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11,929,584</w:t>
            </w:r>
          </w:p>
        </w:tc>
      </w:tr>
      <w:tr>
        <w:trPr>
          <w:trHeight w:val="196"/>
        </w:trPr>
        <w:tc>
          <w:tcPr>
            <w:tcW w:w="67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4,007,090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14,055,431</w:t>
            </w:r>
          </w:p>
        </w:tc>
      </w:tr>
      <w:tr>
        <w:trPr>
          <w:trHeight w:val="20"/>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10.Commitments and contingencies</w:t>
      </w:r>
    </w:p>
    <w:p>
      <w:pPr>
        <w:spacing w:after="0" w:line="216"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There have been no contingent liabilities requiring accrual or disclosure as of March 31, 2022 or December 31, 2021.</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11. Employee benefit plans</w:t>
      </w:r>
    </w:p>
    <w:p>
      <w:pPr>
        <w:spacing w:after="0" w:line="21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Company sponsors a voluntary defined-contribution employee retirement plan (the “401(k) plan”) for its U.S. employees. The 401(k) plan provides that each participant may contribute pre-tax or post-tax compensation up to the statutory limit allowable. Under the 401(k) plan, each participant is fully vested in his or her deferred salary contributions when contributed. The Company does not provide matching contributions to employees.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12.Segment, geographic information and revenue disaggregation</w:t>
      </w:r>
    </w:p>
    <w:p>
      <w:pPr>
        <w:spacing w:after="0" w:line="21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 revenue by geographic region, for purposes of allocating resources and evaluating financial performance.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evaluate performance based primarily on revenue in the geographic locations in which the Company operates.</w:t>
      </w:r>
    </w:p>
    <w:p>
      <w:pPr>
        <w:spacing w:after="0" w:line="17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Company derives all its revenues from sales to customers in Europe and the U.S. The following table provides revenue by country for each location accounting for more than 10% of the total revenue for the periods indicated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r>
      <w:tr>
        <w:trPr>
          <w:trHeight w:val="156"/>
        </w:trPr>
        <w:tc>
          <w:tcPr>
            <w:tcW w:w="70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7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3,058</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1,612</w:t>
            </w: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Germany</w:t>
            </w: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803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1,109</w:t>
            </w:r>
          </w:p>
        </w:tc>
      </w:tr>
      <w:tr>
        <w:trPr>
          <w:trHeight w:val="203"/>
        </w:trPr>
        <w:tc>
          <w:tcPr>
            <w:tcW w:w="7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countries</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w:t>
            </w:r>
          </w:p>
        </w:tc>
      </w:tr>
      <w:tr>
        <w:trPr>
          <w:trHeight w:val="196"/>
        </w:trPr>
        <w:tc>
          <w:tcPr>
            <w:tcW w:w="70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4,076</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2,860</w:t>
            </w: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2022 and December 31, 2021, long-lived assets were located primarily in the U.S.</w:t>
      </w:r>
    </w:p>
    <w:p>
      <w:pPr>
        <w:spacing w:after="0" w:line="391" w:lineRule="exact"/>
        <w:rPr>
          <w:sz w:val="20"/>
          <w:szCs w:val="20"/>
          <w:color w:val="auto"/>
        </w:rPr>
      </w:pPr>
    </w:p>
    <w:p>
      <w:pPr>
        <w:ind w:left="60" w:right="259"/>
        <w:spacing w:after="0" w:line="27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Overview</w:t>
      </w:r>
    </w:p>
    <w:p>
      <w:pPr>
        <w:spacing w:after="0" w:line="21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HF with reduced Ejection Fraction (“HFrEF”)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approved by the U.S. Food and Drug Administration (the “FDA”) to improve the symptoms of patients with HFrEF and is CE Marked for HFrEF and resistant hypertension.</w:t>
      </w:r>
    </w:p>
    <w:p>
      <w:pPr>
        <w:spacing w:after="0" w:line="18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Since our inception we have generated minimal revenue, as our activities have consisted primarily of developing Barostim Therapy, conducting our BeAT-HF pre-market and post-market pivotal studies in the U.S. and filing for regulatory approvals. Our ability to generate revenue from product sales and become profitable will depend on our ability to successfully commercialize Barostim and any product enhancements we may advance in the future. We expect to derive future revenue by expanding our own dedicated salesforce and increasing awareness of Barostim among payors, physicians and patients.</w:t>
      </w:r>
    </w:p>
    <w:p>
      <w:pPr>
        <w:spacing w:after="0" w:line="179"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Our sales and marketing efforts are directed at electrophysiologists, HF specialists,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who treat HFrEF about the advantages of Barostim and train them on the implant procedure.</w:t>
      </w:r>
    </w:p>
    <w:p>
      <w:pPr>
        <w:spacing w:after="0" w:line="185"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The costs for the device and implantation procedure are reimbursed through various third-party payors, such as government agencies and commercial payors. In the U.S., we estimate that 67% of our target patient population is Medicare-eligible based on the age demographic of the HFrEF patient population indicated for</w:t>
      </w:r>
    </w:p>
    <w:p>
      <w:pPr>
        <w:sectPr>
          <w:pgSz w:w="11900" w:h="16838" w:orient="portrait"/>
          <w:cols w:equalWidth="0" w:num="1">
            <w:col w:w="9019"/>
          </w:cols>
          <w:pgMar w:left="1440" w:top="513" w:right="1440"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Barostim. As a result, we have prioritized coverage by the Centers for Medicare and Medicaid Services (“CMS”) while simultaneously developing processes to engage commercial payors. All Medicare Administrative Contractors have retired automatic coverage denial policies for our Current Procedural Terminology codes, thereby allowing hospitals to be paid for the Barostim procedure. Our reimbursement strategy involves continuing to broaden our current coverage and build our in-house market access team to assist patients and physicians in obtaining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Union (“EU”), such as Germany, where annual healthcare budgets for the hospital generally determine the number of patients to be treated and the prices to be paid for the related devices that may be purchased.</w:t>
      </w:r>
    </w:p>
    <w:p>
      <w:pPr>
        <w:spacing w:after="0" w:line="186" w:lineRule="exact"/>
        <w:rPr>
          <w:sz w:val="20"/>
          <w:szCs w:val="20"/>
          <w:color w:val="auto"/>
        </w:rPr>
      </w:pPr>
    </w:p>
    <w:p>
      <w:pPr>
        <w:ind w:left="60" w:right="99"/>
        <w:spacing w:after="0" w:line="256" w:lineRule="auto"/>
        <w:rPr>
          <w:sz w:val="20"/>
          <w:szCs w:val="20"/>
          <w:color w:val="auto"/>
        </w:rPr>
      </w:pPr>
      <w:r>
        <w:rPr>
          <w:rFonts w:ascii="Arial" w:cs="Arial" w:eastAsia="Arial" w:hAnsi="Arial"/>
          <w:sz w:val="17"/>
          <w:szCs w:val="17"/>
          <w:color w:val="auto"/>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spacing w:after="0" w:line="168"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From our inception until the IPO, we financed our operations primarily through preferred stock financings, and additionally, from sales of our Barostim products and amounts borrowed under our past credit facilities. We have devoted substantially all of our resources to research and development activities related to Barostim Therapy, including clinical and regulatory initiatives to obtain marketing approval and sales and marketing activities.</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intend to use a portion of the IPO proceeds to continue funding the expansion of our direct sales force and commercial organization related to Barostim in the U.S. We also intend to continue investing in research and development in the near term to improve clinical outcomes, optimize patient adoption and comfort, increase patient access and enhance the physician and patient experience. Longer term, we plan to explore Barostim’s potential to expand its indications for use to other cardiovascular diseases. As a result of these investments and our commercialization efforts, we expect to continue to incur net losses for the next several years, which may require additional funding and could include future equity and debt financings.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developments</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Since it was reported to have surfaced in December 2019, a novel strain of coronavirus (“COVID-19”) has spread across the world and has been declared a pandemic by the World Health Organization. Efforts to contain the spread of COVID-19 have been significant and governments around the world, including in the U.S., have implemented severe travel restrictions, social distancing requirements, quarantines, stay-at-home orders and other significant restrictions. As a result, the current COVID-19 pandemic has presented a substantial public health and economic challenge and is affecting hospitals, physicians, patients, communities and business operations, as well as contributing to significant volatility and negative pressure on the U.S. and world economy and in financial markets.</w:t>
      </w:r>
    </w:p>
    <w:p>
      <w:pPr>
        <w:spacing w:after="0" w:line="18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COVID-19 pandemic has negatively impacted our business, financial condition and results of operations by decreasing and delaying procedures performed to implant Barostim, and we expect the pandemic will continue to negatively impact our business, financial condition and results of operations. Beginning in March 2020, our revenue was negatively impacted by COVID-19 as healthcare facilities and clinics began restricting in-person access to their clinicians, reducing patient consultations and treatments or temporarily closing their facilities. As a result, substantially all of our then-scheduled procedures were postponed, and numerous other cases could not be scheduled. During May 2020, the widespread shutdown resulted in key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physician-society conferences being moved to a virtual setting, which directly impacted our planned commercial launch in the U.S.</w:t>
      </w:r>
    </w:p>
    <w:p>
      <w:pPr>
        <w:spacing w:after="0" w:line="154" w:lineRule="exact"/>
        <w:rPr>
          <w:sz w:val="20"/>
          <w:szCs w:val="20"/>
          <w:color w:val="auto"/>
        </w:rPr>
      </w:pPr>
    </w:p>
    <w:p>
      <w:pPr>
        <w:ind w:left="60" w:right="619"/>
        <w:spacing w:after="0" w:line="253" w:lineRule="auto"/>
        <w:rPr>
          <w:sz w:val="20"/>
          <w:szCs w:val="20"/>
          <w:color w:val="auto"/>
        </w:rPr>
      </w:pPr>
      <w:r>
        <w:rPr>
          <w:rFonts w:ascii="Arial" w:cs="Arial" w:eastAsia="Arial" w:hAnsi="Arial"/>
          <w:sz w:val="18"/>
          <w:szCs w:val="18"/>
          <w:color w:val="auto"/>
        </w:rPr>
        <w:t>In response to the COVID-19 pandemic, we have implemented a variety of measures intended to help us manage its impact while maintaining business continuity to support our customers and patients. These measures include:</w:t>
      </w:r>
    </w:p>
    <w:p>
      <w:pPr>
        <w:spacing w:after="0" w:line="169" w:lineRule="exact"/>
        <w:rPr>
          <w:sz w:val="20"/>
          <w:szCs w:val="20"/>
          <w:color w:val="auto"/>
        </w:rPr>
      </w:pPr>
    </w:p>
    <w:p>
      <w:pPr>
        <w:ind w:left="380" w:right="87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safety protocols, facility enhancements and work-from-home strategies to protect our employees;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Ensuring that our manufacturing and supply chain operations remain intact and operational;</w:t>
      </w:r>
    </w:p>
    <w:p>
      <w:pPr>
        <w:spacing w:after="0" w:line="224" w:lineRule="exact"/>
        <w:rPr>
          <w:rFonts w:ascii="Times New Roman" w:cs="Times New Roman" w:eastAsia="Times New Roman" w:hAnsi="Times New Roman"/>
          <w:sz w:val="18"/>
          <w:szCs w:val="18"/>
          <w:color w:val="231F20"/>
        </w:rPr>
      </w:pPr>
    </w:p>
    <w:p>
      <w:pPr>
        <w:ind w:left="380" w:right="45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Keeping our workforce intact, including our experienced and specialized U.S. sales and clinical support team;</w:t>
      </w:r>
    </w:p>
    <w:p>
      <w:pPr>
        <w:spacing w:after="0" w:line="154" w:lineRule="exact"/>
        <w:rPr>
          <w:rFonts w:ascii="Times New Roman" w:cs="Times New Roman" w:eastAsia="Times New Roman" w:hAnsi="Times New Roman"/>
          <w:sz w:val="18"/>
          <w:szCs w:val="18"/>
          <w:color w:val="231F20"/>
        </w:rPr>
      </w:pPr>
    </w:p>
    <w:p>
      <w:pPr>
        <w:ind w:left="380" w:right="79" w:hanging="330"/>
        <w:spacing w:after="0" w:line="270" w:lineRule="auto"/>
        <w:tabs>
          <w:tab w:leader="none" w:pos="380" w:val="left"/>
        </w:tabs>
        <w:numPr>
          <w:ilvl w:val="0"/>
          <w:numId w:val="6"/>
        </w:numPr>
        <w:rPr>
          <w:rFonts w:ascii="Times New Roman" w:cs="Times New Roman" w:eastAsia="Times New Roman" w:hAnsi="Times New Roman"/>
          <w:sz w:val="18"/>
          <w:szCs w:val="18"/>
          <w:color w:val="231F20"/>
        </w:rPr>
      </w:pPr>
      <w:r>
        <w:rPr>
          <w:rFonts w:ascii="Arial" w:cs="Arial" w:eastAsia="Arial" w:hAnsi="Arial"/>
          <w:sz w:val="18"/>
          <w:szCs w:val="18"/>
          <w:color w:val="231F20"/>
        </w:rPr>
        <w:t>Implementing virtual physician education programs to support opening new accounts with minimal in person interaction; and</w:t>
      </w:r>
    </w:p>
    <w:p>
      <w:pPr>
        <w:spacing w:after="0" w:line="154" w:lineRule="exact"/>
        <w:rPr>
          <w:rFonts w:ascii="Times New Roman" w:cs="Times New Roman" w:eastAsia="Times New Roman" w:hAnsi="Times New Roman"/>
          <w:sz w:val="18"/>
          <w:szCs w:val="18"/>
          <w:color w:val="231F20"/>
        </w:rPr>
      </w:pPr>
    </w:p>
    <w:p>
      <w:pPr>
        <w:ind w:left="380" w:right="619" w:hanging="330"/>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231F20"/>
        </w:rPr>
        <w:t>Increasing our capital resources through the completion of the IPO, which resulted in net proceeds of $133.2 million.</w:t>
      </w:r>
    </w:p>
    <w:p>
      <w:pPr>
        <w:spacing w:after="0" w:line="154"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Our hospital customers in the U.S. and Europe began to gradually perform elective procedures again during the fourth quarter of 2020. We believe the recovery of our business in the fourth quarter of 2020 and through most of fiscal year 2021 is an encouraging sign for when remaining shelter-in-place and hospital limitations are lifted. As the pandemic eased throughout 2021, we experienced the following positive trends:</w:t>
      </w:r>
    </w:p>
    <w:p>
      <w:pPr>
        <w:spacing w:after="0" w:line="174"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Strong physician participation in our virtual educational events;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Expansion into new accounts;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7"/>
        </w:numPr>
        <w:rPr>
          <w:rFonts w:ascii="Times New Roman" w:cs="Times New Roman" w:eastAsia="Times New Roman" w:hAnsi="Times New Roman"/>
          <w:sz w:val="18"/>
          <w:szCs w:val="18"/>
          <w:color w:val="231F20"/>
        </w:rPr>
      </w:pPr>
      <w:r>
        <w:rPr>
          <w:rFonts w:ascii="Arial" w:cs="Arial" w:eastAsia="Arial" w:hAnsi="Arial"/>
          <w:sz w:val="18"/>
          <w:szCs w:val="18"/>
          <w:color w:val="231F20"/>
        </w:rPr>
        <w:t>Hospitals accepting patients for elective procedures at closer to pre-pandemic levels in the U.S.</w:t>
      </w:r>
    </w:p>
    <w:p>
      <w:pPr>
        <w:spacing w:after="0" w:line="224"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However, procedure volumes were again negatively impacted by the Delta and Omicron variants of COVID-19 in the third and fourth quarters of 2021 and continuing into the first quarter of 2022. By March 2022, implant centers resumed procedures at more normal levels. We believe the challenges resulting from COVID-19 will likely continue for the duration of the pandemic. The extent to which the COVID-19 pandemic impacts our business will depend on future developments, which are highly uncertain and cannot be predicted, including new information that may emerge concerning the severity and spread of COVID-19 and its variants and the actions to contain the spread of COVID-19 and its variants or treat its impact.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Factors affecting our performance</w:t>
      </w:r>
    </w:p>
    <w:p>
      <w:pPr>
        <w:spacing w:after="0" w:line="216"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color w:val="auto"/>
        </w:rPr>
        <w:t>We believe there are several important factors that have impacted and that we expect will continue to impact our business and results of operations. These factors include:</w:t>
      </w:r>
    </w:p>
    <w:p>
      <w:pPr>
        <w:spacing w:after="0" w:line="154"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Growing and supporting our U.S. commercial organization;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Promoting awareness among physicians, hospitals and patients to accelerate adoption of Barostim;</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Raising awareness among payors to build upon reimbursement for Barostim;</w:t>
      </w:r>
    </w:p>
    <w:p>
      <w:pPr>
        <w:spacing w:after="0" w:line="224" w:lineRule="exact"/>
        <w:rPr>
          <w:rFonts w:ascii="Times New Roman" w:cs="Times New Roman" w:eastAsia="Times New Roman" w:hAnsi="Times New Roman"/>
          <w:sz w:val="18"/>
          <w:szCs w:val="18"/>
          <w:color w:val="231F20"/>
        </w:rPr>
      </w:pPr>
    </w:p>
    <w:p>
      <w:pPr>
        <w:jc w:val="center"/>
        <w:ind w:left="4400" w:right="99" w:hanging="4350"/>
        <w:spacing w:after="0" w:line="536" w:lineRule="auto"/>
        <w:tabs>
          <w:tab w:leader="none" w:pos="370" w:val="left"/>
        </w:tabs>
        <w:numPr>
          <w:ilvl w:val="0"/>
          <w:numId w:val="8"/>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Investing in research and development to foster innovation and further simplify the Barostim procedure; and </w:t>
      </w:r>
      <w:r>
        <w:rPr>
          <w:rFonts w:ascii="Arial" w:cs="Arial" w:eastAsia="Arial" w:hAnsi="Arial"/>
          <w:sz w:val="18"/>
          <w:szCs w:val="18"/>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169545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color w:val="231F20"/>
        </w:rPr>
      </w:pPr>
      <w:r>
        <w:rPr>
          <w:rFonts w:ascii="Arial" w:cs="Arial" w:eastAsia="Arial" w:hAnsi="Arial"/>
          <w:sz w:val="18"/>
          <w:szCs w:val="18"/>
          <w:color w:val="231F20"/>
        </w:rPr>
        <w:t>Leveraging our manufacturing capacity to further improve our gross margins.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Components of results of operations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ind w:left="60" w:right="219"/>
        <w:spacing w:after="0" w:line="244" w:lineRule="auto"/>
        <w:rPr>
          <w:sz w:val="20"/>
          <w:szCs w:val="20"/>
          <w:color w:val="auto"/>
        </w:rPr>
      </w:pPr>
      <w:r>
        <w:rPr>
          <w:rFonts w:ascii="Arial" w:cs="Arial" w:eastAsia="Arial" w:hAnsi="Arial"/>
          <w:sz w:val="18"/>
          <w:szCs w:val="18"/>
          <w:color w:val="auto"/>
        </w:rPr>
        <w:t>Our U.S. sales have increased since the pre-market approval of Barostim by the FDA in August 2019, and the subsequent reimbursement changes in 2020. We expect to continue to drive increases in revenue through our efforts to increase awareness of Barostim among physicians, patients and payors and by the expansion of our U.S. sales force. As a result, we expect that U.S. sales will continue to account for the majority of our revenue going forward.</w:t>
      </w:r>
    </w:p>
    <w:p>
      <w:pPr>
        <w:spacing w:after="0" w:line="176"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21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primarily as, and to the extent, our revenue grows. Gross margin may also vary based on regional differences in rebates and incentives negotiated with certain customers.</w:t>
      </w:r>
    </w:p>
    <w:p>
      <w:pPr>
        <w:spacing w:after="0" w:line="176"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w:t>
      </w:r>
    </w:p>
    <w:p>
      <w:pPr>
        <w:spacing w:after="0" w:line="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products and adopt new manufacturing processes and technologies.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and consultants, equipment and software to support our development, facilities and information technology. We expense research and development costs as they are incurred. We expect R&amp;D expenses to increase in absolute dollars as we continue to develop enhancements to Barostim. Our R&amp;D expenses may fluctuate from period to period due to the timing and extent of our product development and clinical trial expenses related to Barostim in HFrEF.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spacing w:after="0" w:line="18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expect SG&amp;A expenses to increase in absolute dollars as we continue to expand our direct sales force and commercial organization in the U.S. In addition, we will continue to increase our international presence and to develop and assist our channel partners. We also expect our administrative expenses will increase as we increase our headcount and information technology to support our operations as a public company. Additionally, we anticipate increased expenses related to audit, legal, regulatory and tax-related services associated with maintaining compliance with exchange listing and SEC requirements, director and officer insurance premiums and investor relations costs associated with being a public company. However, we expect our SG&amp;A expenses to decrease as a percentage of revenue as our revenue grows.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consists of interest on our debt and amortization of associated debt discount.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1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Other expense, net consists primarily of the fair value adjustments related to our formerly outstanding convertible preferred stock warrants, which were accounted for as a liability and marked-to-market at each reporting period. The final fair value adjustment of the warrant liability was recorded upon the closing of the IPO in connection with the conversion of the warrants to common stock warrants. Other items include losses on the extinguishment of debt, interest income earned on our cash and cash equivalents and the effect of exchange rates on our foreign currency-denominated asset and liability balances.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0"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We maintain a full valuation allowance for deferred tax assets including NOL carryforwards, R&amp;D credits and other tax credits.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Results of operations</w:t>
      </w:r>
    </w:p>
    <w:p>
      <w:pPr>
        <w:spacing w:after="0" w:line="218" w:lineRule="exact"/>
        <w:rPr>
          <w:sz w:val="20"/>
          <w:szCs w:val="20"/>
          <w:color w:val="auto"/>
        </w:rPr>
      </w:pPr>
    </w:p>
    <w:p>
      <w:pPr>
        <w:ind w:left="60" w:right="799"/>
        <w:spacing w:after="0" w:line="278" w:lineRule="auto"/>
        <w:rPr>
          <w:sz w:val="20"/>
          <w:szCs w:val="20"/>
          <w:color w:val="auto"/>
        </w:rPr>
      </w:pPr>
      <w:r>
        <w:rPr>
          <w:rFonts w:ascii="Arial" w:cs="Arial" w:eastAsia="Arial" w:hAnsi="Arial"/>
          <w:sz w:val="18"/>
          <w:szCs w:val="18"/>
          <w:b w:val="1"/>
          <w:bCs w:val="1"/>
          <w:i w:val="1"/>
          <w:iCs w:val="1"/>
          <w:color w:val="auto"/>
        </w:rPr>
        <w:t>Consolidated results of operations for the three months ended March 31, 2022, compared to the three months ended March 31, 2021</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920" w:type="dxa"/>
            <w:vAlign w:val="bottom"/>
            <w:gridSpan w:val="5"/>
          </w:tcPr>
          <w:p>
            <w:pPr>
              <w:ind w:left="38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gridSpan w:val="2"/>
            <w:vMerge w:val="continue"/>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4,076</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$ 2,860</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$ 1,216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949</w:t>
            </w:r>
          </w:p>
        </w:tc>
        <w:tc>
          <w:tcPr>
            <w:tcW w:w="20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867</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3,127</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1,993</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1,134</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3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2,258</w:t>
            </w:r>
          </w:p>
        </w:tc>
        <w:tc>
          <w:tcPr>
            <w:tcW w:w="20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508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10,777</w:t>
            </w:r>
          </w:p>
        </w:tc>
        <w:tc>
          <w:tcPr>
            <w:tcW w:w="2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4,460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6,317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gridSpan w:val="2"/>
          </w:tcPr>
          <w:p>
            <w:pPr>
              <w:ind w:left="34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13,035</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6,210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6,825</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110</w:t>
            </w:r>
          </w:p>
        </w:tc>
        <w:tc>
          <w:tcPr>
            <w:tcW w:w="16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(9,908)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(4,217)</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(5,691)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135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(601)</w:t>
            </w:r>
          </w:p>
        </w:tc>
        <w:tc>
          <w:tcPr>
            <w:tcW w:w="160" w:type="dxa"/>
            <w:vAlign w:val="bottom"/>
          </w:tcPr>
          <w:p>
            <w:pPr>
              <w:spacing w:after="0"/>
              <w:rPr>
                <w:sz w:val="17"/>
                <w:szCs w:val="17"/>
                <w:color w:val="auto"/>
              </w:rPr>
            </w:pPr>
          </w:p>
        </w:tc>
        <w:tc>
          <w:tcPr>
            <w:tcW w:w="8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601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(57)</w:t>
            </w:r>
          </w:p>
        </w:tc>
        <w:tc>
          <w:tcPr>
            <w:tcW w:w="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(3,792)</w:t>
            </w: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3,735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538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(9,965)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(8,610)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(1,355)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(26)</w:t>
            </w:r>
          </w:p>
        </w:tc>
        <w:tc>
          <w:tcPr>
            <w:tcW w:w="8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32"/>
        </w:trPr>
        <w:tc>
          <w:tcPr>
            <w:tcW w:w="5380" w:type="dxa"/>
            <w:vAlign w:val="bottom"/>
            <w:gridSpan w:val="2"/>
          </w:tcPr>
          <w:p>
            <w:pPr>
              <w:ind w:left="34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(9,991)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 (8,627)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 (1,364)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92"/>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NM – Not meaningful</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380" w:type="dxa"/>
            <w:vAlign w:val="bottom"/>
            <w:gridSpan w:val="2"/>
          </w:tcPr>
          <w:p>
            <w:pPr>
              <w:ind w:left="20"/>
              <w:spacing w:after="0"/>
              <w:rPr>
                <w:sz w:val="20"/>
                <w:szCs w:val="20"/>
                <w:color w:val="auto"/>
              </w:rPr>
            </w:pPr>
            <w:r>
              <w:rPr>
                <w:rFonts w:ascii="Arial" w:cs="Arial" w:eastAsia="Arial" w:hAnsi="Arial"/>
                <w:sz w:val="18"/>
                <w:szCs w:val="18"/>
                <w:i w:val="1"/>
                <w:iCs w:val="1"/>
                <w:color w:val="auto"/>
              </w:rPr>
              <w:t>Revenue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11"/>
          </w:tcPr>
          <w:p>
            <w:pPr>
              <w:ind w:left="40"/>
              <w:spacing w:after="0"/>
              <w:rPr>
                <w:sz w:val="20"/>
                <w:szCs w:val="20"/>
                <w:color w:val="auto"/>
              </w:rPr>
            </w:pPr>
            <w:r>
              <w:rPr>
                <w:rFonts w:ascii="Arial" w:cs="Arial" w:eastAsia="Arial" w:hAnsi="Arial"/>
                <w:sz w:val="14"/>
                <w:szCs w:val="14"/>
                <w:b w:val="1"/>
                <w:bCs w:val="1"/>
                <w:color w:val="auto"/>
              </w:rPr>
              <w:t>Revenue by Geography</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(unaudited and in thousands)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920" w:type="dxa"/>
            <w:vAlign w:val="bottom"/>
            <w:gridSpan w:val="5"/>
          </w:tcPr>
          <w:p>
            <w:pPr>
              <w:ind w:left="34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top w:val="single" w:sz="8" w:color="auto"/>
            </w:tcBorders>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2022</w:t>
            </w:r>
          </w:p>
        </w:tc>
        <w:tc>
          <w:tcPr>
            <w:tcW w:w="800" w:type="dxa"/>
            <w:vAlign w:val="bottom"/>
            <w:tcBorders>
              <w:top w:val="single" w:sz="8" w:color="auto"/>
            </w:tcBorders>
            <w:gridSpan w:val="3"/>
          </w:tcPr>
          <w:p>
            <w:pPr>
              <w:jc w:val="right"/>
              <w:ind w:right="50"/>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tcBorders>
            <w:gridSpan w:val="2"/>
          </w:tcPr>
          <w:p>
            <w:pPr>
              <w:jc w:val="right"/>
              <w:ind w:right="196"/>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United States</w:t>
            </w: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$ 3,058</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$ 1,612</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$ 1,446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w:t>
            </w:r>
          </w:p>
        </w:tc>
        <w:tc>
          <w:tcPr>
            <w:tcW w:w="14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1,018</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1,248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(230)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$ 4,076</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$ 2,860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$ 1,216</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0" w:right="99"/>
        <w:spacing w:after="0" w:line="271" w:lineRule="auto"/>
        <w:rPr>
          <w:sz w:val="20"/>
          <w:szCs w:val="20"/>
          <w:color w:val="auto"/>
        </w:rPr>
      </w:pPr>
      <w:r>
        <w:rPr>
          <w:rFonts w:ascii="Arial" w:cs="Arial" w:eastAsia="Arial" w:hAnsi="Arial"/>
          <w:sz w:val="18"/>
          <w:szCs w:val="18"/>
          <w:color w:val="auto"/>
        </w:rPr>
        <w:t>Revenue was $4.1 million for the three months ended March 31, 2022, an increase of $1.2 million, or 43%, over the three months ended March 31, 2021.</w:t>
      </w:r>
    </w:p>
    <w:p>
      <w:pPr>
        <w:spacing w:after="0" w:line="154"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Revenue generated in the U.S. was $3.1 million for the three months ended March 31, 2022, an increase of $1.4 million, or 90%, over the three months ended March 31, 2021. Total HF revenue units in the U.S. totaled 99 and 44 for the three months ended March 31, 2022 and 2021, respectively.</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HF revenue in the U.S. totaled $2.9 million and $1.3 million for the three months ended March 31, 2022 and 2021, respectively. The increase was primarily driven by continued growth as a result of the expansion into new sales territories, new accounts and increased physician and patient awareness of Barostim.</w:t>
      </w:r>
    </w:p>
    <w:p>
      <w:pPr>
        <w:spacing w:after="0" w:line="169" w:lineRule="exact"/>
        <w:rPr>
          <w:sz w:val="20"/>
          <w:szCs w:val="20"/>
          <w:color w:val="auto"/>
        </w:rPr>
      </w:pPr>
    </w:p>
    <w:p>
      <w:pPr>
        <w:jc w:val="both"/>
        <w:ind w:left="60" w:right="159"/>
        <w:spacing w:after="0" w:line="275" w:lineRule="auto"/>
        <w:rPr>
          <w:sz w:val="20"/>
          <w:szCs w:val="20"/>
          <w:color w:val="auto"/>
        </w:rPr>
      </w:pPr>
      <w:r>
        <w:rPr>
          <w:rFonts w:ascii="Arial" w:cs="Arial" w:eastAsia="Arial" w:hAnsi="Arial"/>
          <w:sz w:val="17"/>
          <w:szCs w:val="17"/>
          <w:color w:val="auto"/>
        </w:rPr>
        <w:t>As of March 31, 2022, we had a total of 56 active implanting centers, as compared to 19 as of March 31, 2021. Active implanting centers are customers that have completed at least one commercial HF implant in the last 12 months. As of March 31, 2022, we had a total of 17 sales territories as compared to 6 as of March 31, 2021.</w:t>
      </w:r>
    </w:p>
    <w:p>
      <w:pPr>
        <w:spacing w:after="0" w:line="15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Revenue generated in Europe was $1.0 million for the three months ended March 31, 2022, a decrease of $0.2 million, or 18%, over the three months ended March 31, 2021. Total revenue units in Europe were 50 for the three months ended March 31, 2022 as compared to 52 in the prior year period. The decrease is due to reduced procedure volumes attributable to the impact of COVID-19. As of March 31, 2022, the Company had a total of six sales territories in Europe.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goods sold and gross margin</w:t>
      </w:r>
    </w:p>
    <w:p>
      <w:pPr>
        <w:spacing w:after="0" w:line="210"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color w:val="auto"/>
        </w:rPr>
        <w:t>Cost of goods sold increased $0.1 million, or 9%, to $0.9 million for the three months ended March 31, 2022, compared to the three months ended March 31, 2021. This increase was primarily due to higher sales of Barostim.</w:t>
      </w:r>
    </w:p>
    <w:p>
      <w:pPr>
        <w:spacing w:after="0" w:line="169" w:lineRule="exact"/>
        <w:rPr>
          <w:sz w:val="20"/>
          <w:szCs w:val="20"/>
          <w:color w:val="auto"/>
        </w:rPr>
      </w:pPr>
    </w:p>
    <w:p>
      <w:pPr>
        <w:ind w:left="60" w:right="279"/>
        <w:spacing w:after="0" w:line="241" w:lineRule="auto"/>
        <w:rPr>
          <w:sz w:val="20"/>
          <w:szCs w:val="20"/>
          <w:color w:val="auto"/>
        </w:rPr>
      </w:pPr>
      <w:r>
        <w:rPr>
          <w:rFonts w:ascii="Arial" w:cs="Arial" w:eastAsia="Arial" w:hAnsi="Arial"/>
          <w:sz w:val="18"/>
          <w:szCs w:val="18"/>
          <w:color w:val="auto"/>
        </w:rPr>
        <w:t>Gross profit was $3.1 million for the three months ended March 31, 2022, an increase of $1.1 million, or 57%, over the three months ended March 31, 2021. Gross margin increased to 77% for the three months ended March 31, 2022, compared to 70% for the three months ended March 31, 2021. Gross margin for the</w:t>
      </w:r>
    </w:p>
    <w:p>
      <w:pPr>
        <w:spacing w:after="0" w:line="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three months ended March 31, 2022 was higher due to a decrease in the cost per unit and an increase in the average selling price. This was partially offset by a larger percentage of our revenue units coming from full systems versus battery replacements. New patients receive a full system that includes an IPG and a stimulation lead, which has a lower gross margin than a stand-alone IPG used for a battery replacement.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R&amp;D expenses increased $0.5 million, or 29%, to $2.3 million for the three months ended March 31, 2022, compared to the three months ended March 31, 2021. This change was primarily driven by a $0.3 million increase in compensation expenses, mainly as a result of increased headcount, a $0.3 million increase in clinical study expenses, and a $0.1 million increase in non-cash stock-based compensation expense, partially offset by a $0.2 million decrease in consulting expenses.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SG&amp;A expenses increased $6.3 million, or 142%, to $10.8 million for the three months ended March 31, 2022, compared to the three months ended March 31, 2021. This was primarily driven by a $3.2 million increase in compensation expenses, mainly as a result of increased headcount, a $0.7 million increase in travel expenses, a $0.7 million increase in insurance costs incurred as a result of becoming a public company, a $0.6 million increase in marketing and advertising expenses associated with the commercialization of Barostim in the U.S., a $0.6 million increase in non-cash stock-based compensation expense, a $0.3 million increase in consulting expenses, and a $0.2 million increase in professional fees.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10"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Interest expense decreased $0.6 million for the three months ended March 31, 2022, compared to the three months ended March 31, 2021. This decrease was driven by the repayment of the outstanding debt under the loan agreement with Horizon Technology Finance Corporation (the “Horizon loan agreement”) in November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10"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Other expense, net was $0.1 million for the three months ended March 31, 2022, compared to $3.8 million for the three months ended March 31, 2021. The expense in the first quarter of 2021 was primarily driven by the increase in fair value of the convertible preferred stock warrant liability from December 31, 2020 to March 31, 2021. As these preferred stock warrants converted to common stock warrants upon the IPO, there is no longer a change in fair value recorded into other expense, net.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210"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Provision for income taxes was nominal for each of the three months ended March 31, 2022 and March 31, 2021.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Liquidity, capital resources and plan of operations</w:t>
      </w:r>
    </w:p>
    <w:p>
      <w:pPr>
        <w:spacing w:after="0" w:line="21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have incurred significant operating losses and negative cash flows from operations since our inception, and we anticipate that we will incur significant losses for at least the next several years. As of March 31, 2022 and December 31, 2021, we had cash and cash equivalents of $131.2 million and $142.1 million, respectively. For the three months ended March 31, 2022 and 2021, our net losses were $10.0 million and $8.6 million, respectively. Our net cash used in operating activities for the three months ended March 31, 2022 and 2021 were $10.6 million and $5.0 million, respectively.</w:t>
      </w:r>
    </w:p>
    <w:p>
      <w:pPr>
        <w:spacing w:after="0" w:line="17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Prior to the IPO, our operations were financed primarily by aggregate net proceeds from the sale of our convertible preferred stock of $383.1 million, as well as debt financings. In September 2019, we entered into the Horizon loan agreement to borrow $20.0 million, which was fully repaid on November 3, 2021. In July 2020, we completed an equity financing pursuant to which we issued 62,500,000 shares of Series G convertible preferred stock at a price of $0.80 per share, for net proceeds of $49.8 million after deducting offering expenses. On July 2, 2021, we closed our IPO for net proceeds from the offering, after deducting the underwriting discount and other offering expenses payable by us, of $133.2 million.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liquidity and capital funding requirements will depend on numerous factors, including:</w:t>
      </w:r>
    </w:p>
    <w:p>
      <w:pPr>
        <w:spacing w:after="0" w:line="212"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our investment in our U.S. commercial infrastructure and sales forces;</w:t>
      </w:r>
    </w:p>
    <w:p>
      <w:pPr>
        <w:spacing w:after="0" w:line="224" w:lineRule="exact"/>
        <w:rPr>
          <w:rFonts w:ascii="Times New Roman" w:cs="Times New Roman" w:eastAsia="Times New Roman" w:hAnsi="Times New Roman"/>
          <w:sz w:val="18"/>
          <w:szCs w:val="18"/>
          <w:color w:val="231F20"/>
        </w:rPr>
      </w:pPr>
    </w:p>
    <w:p>
      <w:pPr>
        <w:ind w:left="380" w:right="999" w:hanging="330"/>
        <w:spacing w:after="0" w:line="270" w:lineRule="auto"/>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the degree and rate of market acceptance of Barostim and the ability for our customers to obtain appropriate levels of reimbursement;</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commercialization activities, including product sales, marketing, manufacturing and distribution;</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our R&amp;D activities for product enhancements and to expand our indications;</w:t>
      </w:r>
    </w:p>
    <w:p>
      <w:pPr>
        <w:spacing w:after="0" w:line="224" w:lineRule="exact"/>
        <w:rPr>
          <w:rFonts w:ascii="Times New Roman" w:cs="Times New Roman" w:eastAsia="Times New Roman" w:hAnsi="Times New Roman"/>
          <w:sz w:val="18"/>
          <w:szCs w:val="18"/>
          <w:color w:val="231F20"/>
        </w:rPr>
      </w:pPr>
    </w:p>
    <w:p>
      <w:pPr>
        <w:ind w:left="380" w:right="379" w:hanging="330"/>
        <w:spacing w:after="0" w:line="270" w:lineRule="auto"/>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filing, prosecuting, defending and enforcing any patent claims and other intellectual property rights;</w:t>
      </w:r>
    </w:p>
    <w:p>
      <w:pPr>
        <w:spacing w:after="0" w:line="15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our need to implement additional infrastructure and internal systems;</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hire additional personnel to support our operations as a public company; and</w:t>
      </w:r>
    </w:p>
    <w:p>
      <w:pPr>
        <w:spacing w:after="0" w:line="224" w:lineRule="exact"/>
        <w:rPr>
          <w:rFonts w:ascii="Times New Roman" w:cs="Times New Roman" w:eastAsia="Times New Roman" w:hAnsi="Times New Roman"/>
          <w:sz w:val="18"/>
          <w:szCs w:val="18"/>
          <w:color w:val="231F20"/>
        </w:rPr>
      </w:pPr>
    </w:p>
    <w:p>
      <w:pPr>
        <w:ind w:left="380" w:hanging="330"/>
        <w:spacing w:after="0"/>
        <w:tabs>
          <w:tab w:leader="none" w:pos="380" w:val="left"/>
        </w:tabs>
        <w:numPr>
          <w:ilvl w:val="0"/>
          <w:numId w:val="10"/>
        </w:numPr>
        <w:rPr>
          <w:rFonts w:ascii="Times New Roman" w:cs="Times New Roman" w:eastAsia="Times New Roman" w:hAnsi="Times New Roman"/>
          <w:sz w:val="18"/>
          <w:szCs w:val="18"/>
          <w:color w:val="231F20"/>
        </w:rPr>
      </w:pPr>
      <w:r>
        <w:rPr>
          <w:rFonts w:ascii="Arial" w:cs="Arial" w:eastAsia="Arial" w:hAnsi="Arial"/>
          <w:sz w:val="18"/>
          <w:szCs w:val="18"/>
          <w:color w:val="231F20"/>
        </w:rPr>
        <w:t>the emergence of competing technologies or other adverse market developments.</w:t>
      </w:r>
    </w:p>
    <w:p>
      <w:pPr>
        <w:spacing w:after="0" w:line="22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We believe that our existing cash resources together with revenue will be sufficient to meet our forecasted requirements for operating liquidity, capital expenditures and debt services for at least the next three years. If these sources are insufficient to satisfy our liquidity requirements, however, we may seek to sell additional equity or enter into a loan agreement. If we raise additional funds by issuing equity securities, our stockholders would experience dilution. Debt financing, if available, may involve covenants further restricting our operations or our ability to incur additional debt. Any debt financing or additional equity that we raise may contain terms that are not favorable to us or our stockholders.</w:t>
      </w:r>
    </w:p>
    <w:p>
      <w:pPr>
        <w:spacing w:after="0" w:line="185"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primary sources and uses of cash for each of the periods indicated below:</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4"/>
        </w:trPr>
        <w:tc>
          <w:tcPr>
            <w:tcW w:w="6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center"/>
              <w:ind w:left="522"/>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i w:val="1"/>
                <w:iCs w:val="1"/>
                <w:color w:val="auto"/>
              </w:rPr>
              <w:t>(unaudited)</w:t>
            </w:r>
          </w:p>
        </w:tc>
        <w:tc>
          <w:tcPr>
            <w:tcW w:w="0" w:type="dxa"/>
            <w:vAlign w:val="bottom"/>
          </w:tcPr>
          <w:p>
            <w:pPr>
              <w:spacing w:after="0"/>
              <w:rPr>
                <w:sz w:val="1"/>
                <w:szCs w:val="1"/>
                <w:color w:val="auto"/>
              </w:rPr>
            </w:pPr>
          </w:p>
        </w:tc>
      </w:tr>
      <w:tr>
        <w:trPr>
          <w:trHeight w:val="156"/>
        </w:trPr>
        <w:tc>
          <w:tcPr>
            <w:tcW w:w="68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(10,644)</w:t>
            </w:r>
          </w:p>
        </w:tc>
        <w:tc>
          <w:tcPr>
            <w:tcW w:w="180" w:type="dxa"/>
            <w:vAlign w:val="bottom"/>
          </w:tcPr>
          <w:p>
            <w:pPr>
              <w:spacing w:after="0"/>
              <w:rPr>
                <w:sz w:val="17"/>
                <w:szCs w:val="17"/>
                <w:color w:val="auto"/>
              </w:rPr>
            </w:pPr>
          </w:p>
        </w:tc>
        <w:tc>
          <w:tcPr>
            <w:tcW w:w="260" w:type="dxa"/>
            <w:vAlign w:val="bottom"/>
            <w:gridSpan w:val="2"/>
          </w:tcPr>
          <w:p>
            <w:pPr>
              <w:jc w:val="right"/>
              <w:ind w:right="87"/>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6800" w:type="dxa"/>
            <w:vAlign w:val="bottom"/>
          </w:tcPr>
          <w:p>
            <w:pPr>
              <w:ind w:left="100"/>
              <w:spacing w:after="0" w:line="202" w:lineRule="exact"/>
              <w:rPr>
                <w:sz w:val="20"/>
                <w:szCs w:val="20"/>
                <w:color w:val="auto"/>
              </w:rPr>
            </w:pPr>
            <w:r>
              <w:rPr>
                <w:rFonts w:ascii="Arial" w:cs="Arial" w:eastAsia="Arial" w:hAnsi="Arial"/>
                <w:sz w:val="18"/>
                <w:szCs w:val="18"/>
                <w:color w:val="auto"/>
              </w:rPr>
              <w:t>Financing activities</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800" w:type="dxa"/>
            <w:vAlign w:val="bottom"/>
            <w:tcBorders>
              <w:top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800" w:type="dxa"/>
            <w:vAlign w:val="bottom"/>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20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(10,895)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1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Net cash used in operating activities for the three months ended March 31, 2022 was $10.6 million and consisted primarily of a net loss of $ 10.0 million and a decrease in net operating assets of $1.5 million, partially offset by a non-cash charge of $0.8 million related to stock-based compensation expense. Net operating assets consisted primarily of inventory, accounts receivable, prepaid expenses, accounts payable and accrued expenses to support the growth of our operations.</w:t>
      </w:r>
    </w:p>
    <w:p>
      <w:pPr>
        <w:spacing w:after="0" w:line="17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Net cash used in operating activities for the three months ended March 31, 2021 was $5.0 million and consisted primarily of a net loss of $ 8.6 million and a decrease in net operating assets of $0.3 million, partially offset by non-cash charges of $3.7 million related to the fair value adjustment to our convertible preferred stock warrants. Net operating assets consisted primarily of inventory, accounts receivable, prepaid expenses, accounts payable and accrued expenses to support the growth of our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1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Cash used in investing activities was $0.3 million and $0.1 million for the three months ended March 31, 2022 and 2021, respectively, and consisted of purchases of property and equipment.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1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auto"/>
        </w:rPr>
        <w:t>Net cash provided by financing activities were nominal for the three months ended March 31, 2022 and 2021, and were entirely attributed to the proceeds from the exercise of common stock options.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16"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There have been no material changes to our contractual obligations as of March 31, 2022, as compared to those disclosed in our Annual Report on Form 10-K for the year ended December 31, 2021.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1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preparation of condensed consolidated financial statements in conformity with U.S. GAAP requires our management to make estimates and judgments that affect the amounts reported in our condensed consolidated financial statements and accompanying notes included elsewhere in this Quarterly Report on Form 10-Q. We base our estimates on historical experience and on various other assumptions that we believe to be reasonable and supportable under the circumstances. The results of this evaluation then form the basis for making judgments about the carrying values of assets and liabilities that are not readily apparent from other sources. Actual results may differ from these estimates under different assumptions or conditions, and such differences may be material to our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right="539"/>
        <w:spacing w:after="0" w:line="244" w:lineRule="auto"/>
        <w:rPr>
          <w:sz w:val="20"/>
          <w:szCs w:val="20"/>
          <w:color w:val="auto"/>
        </w:rPr>
      </w:pPr>
      <w:r>
        <w:rPr>
          <w:rFonts w:ascii="Arial" w:cs="Arial" w:eastAsia="Arial" w:hAnsi="Arial"/>
          <w:sz w:val="18"/>
          <w:szCs w:val="18"/>
          <w:color w:val="auto"/>
        </w:rPr>
        <w:t>While our significant accounting policies are more fully described in Note 2 to our condensed consolidated financial statements included elsewhere in this Quarterly Report on Form 10-Q,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maintain an equity incentive plan that was adopted in 2001 to provide long-term incentives for employees, consultants, and members of the Board of Directors. The plan allows for the issuance of non-statutory and incentive stock options to employees and non-statutory stock options to consultants and non-employee directors. In connection with the IPO, we adopted the 2021 Plan under which we may grant equity incentive awards to eligible employees (including our named executive officers), non-employee directors and consultants in order to enable us to obtain and retain services of these individuals, which we deem as essential to our long-term success.</w:t>
      </w:r>
    </w:p>
    <w:p>
      <w:pPr>
        <w:spacing w:after="0" w:line="18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recognize equity-based compensation expense for awards of equity instruments to employees and non-employees based on the grant date fair value of those awards in accordance with ASC 718. ASC 718 requires all equity-based compensation awards to employees and non-employee directors, including grants of restricted shares and stock options, to be recognized as expense in the condensed consolidated statements of operations and comprehensive loss based on their grant date fair values. We estimate the grant date fair value of stock options using the Black-Scholes option pricing model. We use an estimate of the value of our common stock, with the assistance of an independent appraiser, to determine the fair value of options.</w:t>
      </w:r>
    </w:p>
    <w:p>
      <w:pPr>
        <w:spacing w:after="0" w:line="185"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auto"/>
        </w:rPr>
        <w:t>The Black-Scholes option pricing model requires the input of certain subjective assumptions, including (i) the fair value of common stock, (ii) the expected share price volatility, (iii) the expected term of the award, (iv) the risk-free interest rate and (v) the expected dividend yield.</w:t>
      </w:r>
    </w:p>
    <w:p>
      <w:pPr>
        <w:spacing w:after="0" w:line="169" w:lineRule="exact"/>
        <w:rPr>
          <w:sz w:val="20"/>
          <w:szCs w:val="20"/>
          <w:color w:val="auto"/>
        </w:rPr>
      </w:pPr>
    </w:p>
    <w:p>
      <w:pPr>
        <w:ind w:left="380" w:right="79" w:hanging="330"/>
        <w:spacing w:after="0" w:line="235" w:lineRule="auto"/>
        <w:tabs>
          <w:tab w:leader="none" w:pos="38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231F20"/>
        </w:rPr>
        <w:t xml:space="preserve">Fair value of common stock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Given the absence of a public trading market for our common stock prior to the IPO, the fair value of our common stock was determined by our Board of Directors with the assistance of an unrelated third-party valuation firm. The valuation was determined in accordance with the guidance provided by the American Institute of Certified Public Accountants Practice Guide, Valuation of Privately-Held Company Equity Securities Issued as Compensation. For the valuation as of the date of pricing of the IPO, the fair value of our common stock was determined by our Board of Directors to be the public offering price of the shares of common stock issued in the IPO. For valuations after the completion of the IPO, our Board of Directors will determine the fair value of each share of common stock based on the closing price of our common stock as reported on the date of grant. Future expense amounts for any particular period could be affected by changes in our assumptions or market conditions.</w:t>
      </w:r>
    </w:p>
    <w:p>
      <w:pPr>
        <w:spacing w:after="0" w:line="182" w:lineRule="exact"/>
        <w:rPr>
          <w:rFonts w:ascii="Times New Roman" w:cs="Times New Roman" w:eastAsia="Times New Roman" w:hAnsi="Times New Roman"/>
          <w:sz w:val="22"/>
          <w:szCs w:val="22"/>
          <w:color w:val="auto"/>
        </w:rPr>
      </w:pPr>
    </w:p>
    <w:p>
      <w:pPr>
        <w:ind w:left="380" w:right="79" w:hanging="330"/>
        <w:spacing w:after="0" w:line="245"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Expected share price volatility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Due to the lack of a public market for the trading of our common stock and a lack of company-specific historical and implied volatility data, we have based our estimate of expected volatility on the historical volatility of a group of similar (guideline) companies that are publicly traded. The historical volatility is calculated based on a period of time commensurate with the expected term assumption. The group of guideline companies have characteristics similar to us, including stage of product development and focus </w:t>
      </w:r>
      <w:r>
        <w:rPr>
          <w:rFonts w:ascii="Arial" w:cs="Arial" w:eastAsia="Arial" w:hAnsi="Arial"/>
          <w:sz w:val="18"/>
          <w:szCs w:val="18"/>
          <w:color w:val="000000"/>
        </w:rPr>
        <w:t>on the life science industry.</w:t>
      </w:r>
    </w:p>
    <w:p>
      <w:pPr>
        <w:spacing w:after="0" w:line="175"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11"/>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Expected term of an award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Determined based on our analysis of historical exercise behavior while taking into consideration various participant demographics and option characteristics. We utilize the simplified method to develop the estimate of the expected term.</w:t>
      </w:r>
    </w:p>
    <w:p>
      <w:pPr>
        <w:spacing w:after="0" w:line="163" w:lineRule="exact"/>
        <w:rPr>
          <w:rFonts w:ascii="Times New Roman" w:cs="Times New Roman" w:eastAsia="Times New Roman" w:hAnsi="Times New Roman"/>
          <w:sz w:val="18"/>
          <w:szCs w:val="18"/>
          <w:color w:val="231F20"/>
        </w:rPr>
      </w:pPr>
    </w:p>
    <w:p>
      <w:pPr>
        <w:ind w:left="380" w:right="279" w:hanging="330"/>
        <w:spacing w:after="0" w:line="286" w:lineRule="auto"/>
        <w:tabs>
          <w:tab w:leader="none" w:pos="380" w:val="left"/>
        </w:tabs>
        <w:numPr>
          <w:ilvl w:val="0"/>
          <w:numId w:val="11"/>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Risk-free interest rate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Based on a treasury instrument whose term is consistent with the expected term of the stock options.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right="859" w:hanging="330"/>
        <w:spacing w:after="0" w:line="286" w:lineRule="auto"/>
        <w:tabs>
          <w:tab w:leader="none" w:pos="380" w:val="left"/>
        </w:tabs>
        <w:numPr>
          <w:ilvl w:val="0"/>
          <w:numId w:val="12"/>
        </w:numPr>
        <w:rPr>
          <w:rFonts w:ascii="Times New Roman" w:cs="Times New Roman" w:eastAsia="Times New Roman" w:hAnsi="Times New Roman"/>
          <w:sz w:val="18"/>
          <w:szCs w:val="18"/>
          <w:color w:val="231F20"/>
        </w:rPr>
      </w:pPr>
      <w:r>
        <w:rPr>
          <w:rFonts w:ascii="Arial" w:cs="Arial" w:eastAsia="Arial" w:hAnsi="Arial"/>
          <w:sz w:val="18"/>
          <w:szCs w:val="18"/>
          <w:color w:val="231F20"/>
        </w:rPr>
        <w:t xml:space="preserve">Expected dividend yield </w:t>
      </w:r>
      <w:r>
        <w:rPr>
          <w:rFonts w:ascii="Times New Roman" w:cs="Times New Roman" w:eastAsia="Times New Roman" w:hAnsi="Times New Roman"/>
          <w:sz w:val="18"/>
          <w:szCs w:val="18"/>
          <w:color w:val="231F20"/>
        </w:rPr>
        <w:t>—</w:t>
      </w:r>
      <w:r>
        <w:rPr>
          <w:rFonts w:ascii="Arial" w:cs="Arial" w:eastAsia="Arial" w:hAnsi="Arial"/>
          <w:sz w:val="18"/>
          <w:szCs w:val="18"/>
          <w:color w:val="231F20"/>
        </w:rPr>
        <w:t xml:space="preserve"> We assume an expected dividend yield of zero, as we have never paid dividends and have no current plans to pay any dividends on our common stock.</w:t>
      </w:r>
    </w:p>
    <w:p>
      <w:pPr>
        <w:spacing w:after="0" w:line="140"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We account for forfeitures as they occur. We expense the fair value of our equity-based compensation awards granted to employees on a straight-line basis over the associated service period, which is generally the period in which the related services are received.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JOBS Act accounting election</w:t>
      </w:r>
    </w:p>
    <w:p>
      <w:pPr>
        <w:spacing w:after="0" w:line="21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Recent accounting pronouncements</w:t>
      </w:r>
    </w:p>
    <w:p>
      <w:pPr>
        <w:spacing w:after="0" w:line="216"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A discussion of recent accounting pronouncements is included in Note 2 to our condensed consolidated financial statements included elsewhere in this Quarterly Report on Form 10-Q.</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0" w:lineRule="exact"/>
        <w:rPr>
          <w:sz w:val="20"/>
          <w:szCs w:val="20"/>
          <w:color w:val="auto"/>
        </w:rPr>
      </w:pPr>
    </w:p>
    <w:p>
      <w:pPr>
        <w:ind w:left="60" w:right="179"/>
        <w:spacing w:after="0" w:line="301" w:lineRule="auto"/>
        <w:rPr>
          <w:sz w:val="20"/>
          <w:szCs w:val="20"/>
          <w:color w:val="auto"/>
        </w:rPr>
      </w:pPr>
      <w:r>
        <w:rPr>
          <w:rFonts w:ascii="Arial" w:cs="Arial" w:eastAsia="Arial" w:hAnsi="Arial"/>
          <w:sz w:val="17"/>
          <w:szCs w:val="17"/>
          <w:color w:val="auto"/>
        </w:rPr>
        <w:t>The risk associated with fluctuating interest rates is primarily limited to our cash equivalents, which are carried at quoted market prices. We do not currently use or plan to use financial derivatives in our investment portfolio.</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Portions of our revenue and operating expenses are incurred outside the U.S. are thus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foreign currency transaction realized gains and losses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risk</w:t>
      </w:r>
    </w:p>
    <w:p>
      <w:pPr>
        <w:spacing w:after="0" w:line="210" w:lineRule="exact"/>
        <w:rPr>
          <w:sz w:val="20"/>
          <w:szCs w:val="20"/>
          <w:color w:val="auto"/>
        </w:rPr>
      </w:pPr>
    </w:p>
    <w:p>
      <w:pPr>
        <w:ind w:left="60" w:right="239"/>
        <w:spacing w:after="0" w:line="254" w:lineRule="auto"/>
        <w:rPr>
          <w:sz w:val="20"/>
          <w:szCs w:val="20"/>
          <w:color w:val="auto"/>
        </w:rPr>
      </w:pPr>
      <w:r>
        <w:rPr>
          <w:rFonts w:ascii="Arial" w:cs="Arial" w:eastAsia="Arial" w:hAnsi="Arial"/>
          <w:sz w:val="17"/>
          <w:szCs w:val="17"/>
          <w:color w:val="auto"/>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w:t>
      </w:r>
    </w:p>
    <w:p>
      <w:pPr>
        <w:ind w:left="60" w:right="119"/>
        <w:spacing w:after="0" w:line="250" w:lineRule="auto"/>
        <w:rPr>
          <w:sz w:val="20"/>
          <w:szCs w:val="20"/>
          <w:color w:val="auto"/>
        </w:rPr>
      </w:pPr>
      <w:r>
        <w:rPr>
          <w:rFonts w:ascii="Arial" w:cs="Arial" w:eastAsia="Arial" w:hAnsi="Arial"/>
          <w:sz w:val="18"/>
          <w:szCs w:val="18"/>
          <w:color w:val="auto"/>
        </w:rPr>
        <w:t>a percentage of our revenue if the selling prices of our products do not increase as much as or more than these increased costs.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210"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As of March 31, 2022 and December 31, 2021, our cash and cash equivalents were maintained with one financial institution in the U.S., and our current deposits are likely in excess of insured limits. We believe this institution has sufficient assets and liquidity to conduct its operations in the ordinary course of business with little or no credit risk to us.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Controls and Procedures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3"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 Legal Proceedings</w:t>
      </w:r>
    </w:p>
    <w:p>
      <w:pPr>
        <w:spacing w:after="0" w:line="108"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1A. Risk Factors</w:t>
      </w:r>
    </w:p>
    <w:p>
      <w:pPr>
        <w:spacing w:after="0" w:line="121" w:lineRule="exact"/>
        <w:rPr>
          <w:sz w:val="20"/>
          <w:szCs w:val="20"/>
          <w:color w:val="auto"/>
        </w:rPr>
      </w:pPr>
    </w:p>
    <w:p>
      <w:pPr>
        <w:ind w:left="60" w:right="79"/>
        <w:spacing w:after="0" w:line="316" w:lineRule="auto"/>
        <w:rPr>
          <w:sz w:val="20"/>
          <w:szCs w:val="20"/>
          <w:color w:val="auto"/>
        </w:rPr>
      </w:pPr>
      <w:r>
        <w:rPr>
          <w:rFonts w:ascii="Arial" w:cs="Arial" w:eastAsia="Arial" w:hAnsi="Arial"/>
          <w:sz w:val="17"/>
          <w:szCs w:val="17"/>
          <w:color w:val="auto"/>
        </w:rPr>
        <w:t>For a discussion of our potential risks and uncertainties, see the information in Part I, Item IA. “Risk Factors” in our Annual Report on Form 10-K for the year ended December 31, 2021. There have been no material changes to the risk factors disclosed in our Annual Report on Form 10-K for the year ended December 31, 2021.</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4. Mine Safety Disclosures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5.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Item 6. Exhibits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gridSpan w:val="9"/>
          </w:tcPr>
          <w:p>
            <w:pPr>
              <w:jc w:val="center"/>
              <w:ind w:right="1000"/>
              <w:spacing w:after="0"/>
              <w:rPr>
                <w:sz w:val="20"/>
                <w:szCs w:val="20"/>
                <w:color w:val="auto"/>
              </w:rPr>
            </w:pPr>
            <w:r>
              <w:rPr>
                <w:rFonts w:ascii="Arial" w:cs="Arial" w:eastAsia="Arial" w:hAnsi="Arial"/>
                <w:sz w:val="22"/>
                <w:szCs w:val="22"/>
                <w:b w:val="1"/>
                <w:bCs w:val="1"/>
                <w:color w:val="auto"/>
                <w:w w:val="98"/>
              </w:rPr>
              <w:t>EXHIBIT INDEX</w:t>
            </w:r>
          </w:p>
        </w:tc>
      </w:tr>
      <w:tr>
        <w:trPr>
          <w:trHeight w:val="437"/>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8080" w:type="dxa"/>
            <w:vAlign w:val="bottom"/>
            <w:gridSpan w:val="10"/>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372"/>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7900" w:type="dxa"/>
            <w:vAlign w:val="bottom"/>
            <w:gridSpan w:val="9"/>
          </w:tcPr>
          <w:p>
            <w:pPr>
              <w:spacing w:after="0"/>
              <w:rPr>
                <w:rFonts w:ascii="Arial" w:cs="Arial" w:eastAsia="Arial" w:hAnsi="Arial"/>
                <w:sz w:val="18"/>
                <w:szCs w:val="18"/>
                <w:color w:val="0000EE"/>
              </w:rPr>
            </w:pPr>
            <w:hyperlink r:id="rId46">
              <w:r>
                <w:rPr>
                  <w:rFonts w:ascii="Arial" w:cs="Arial" w:eastAsia="Arial" w:hAnsi="Arial"/>
                  <w:sz w:val="18"/>
                  <w:szCs w:val="18"/>
                  <w:color w:val="0000EE"/>
                </w:rPr>
                <w:t>Amended and Restated Certificate of Incorporation of CVRx, Inc. (incorporated by reference to</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46">
              <w:r>
                <w:rPr>
                  <w:rFonts w:ascii="Arial" w:cs="Arial" w:eastAsia="Arial" w:hAnsi="Arial"/>
                  <w:sz w:val="18"/>
                  <w:szCs w:val="18"/>
                  <w:color w:val="0000EE"/>
                </w:rPr>
                <w:t>Exhibit 3.1 to the Company’s Current Report on Form 8-K filed on July 7, 2021)</w:t>
              </w:r>
            </w:hyperlink>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7900" w:type="dxa"/>
            <w:vAlign w:val="bottom"/>
            <w:gridSpan w:val="9"/>
          </w:tcPr>
          <w:p>
            <w:pPr>
              <w:spacing w:after="0"/>
              <w:rPr>
                <w:rFonts w:ascii="Arial" w:cs="Arial" w:eastAsia="Arial" w:hAnsi="Arial"/>
                <w:sz w:val="18"/>
                <w:szCs w:val="18"/>
                <w:color w:val="0000EE"/>
              </w:rPr>
            </w:pPr>
            <w:hyperlink r:id="rId47">
              <w:r>
                <w:rPr>
                  <w:rFonts w:ascii="Arial" w:cs="Arial" w:eastAsia="Arial" w:hAnsi="Arial"/>
                  <w:sz w:val="18"/>
                  <w:szCs w:val="18"/>
                  <w:color w:val="0000EE"/>
                </w:rPr>
                <w:t>Amended and Restated By-Laws of CVRx, Inc. (incorporated by reference to Exhibit 3.2 to the</w:t>
              </w:r>
            </w:hyperlink>
          </w:p>
        </w:tc>
      </w:tr>
      <w:tr>
        <w:trPr>
          <w:trHeight w:val="183"/>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r:id="rId47">
              <w:r>
                <w:rPr>
                  <w:rFonts w:ascii="Arial" w:cs="Arial" w:eastAsia="Arial" w:hAnsi="Arial"/>
                  <w:sz w:val="18"/>
                  <w:szCs w:val="18"/>
                  <w:color w:val="0000EE"/>
                  <w:w w:val="99"/>
                </w:rPr>
                <w:t>Company’s Current Report on Form 8-K filed on July 7, 2021)</w:t>
              </w:r>
            </w:hyperlink>
          </w:p>
        </w:tc>
        <w:tc>
          <w:tcPr>
            <w:tcW w:w="2600" w:type="dxa"/>
            <w:vAlign w:val="bottom"/>
            <w:tcBorders>
              <w:top w:val="single" w:sz="8" w:color="0000EE"/>
            </w:tcBorders>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425"/>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31.1</w:t>
            </w: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7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Certification of Chief Executive Officer Pursuant to Section 302 of the Sarbanes-Oxley Act of 2002</w:t>
            </w:r>
          </w:p>
        </w:tc>
        <w:tc>
          <w:tcPr>
            <w:tcW w:w="120" w:type="dxa"/>
            <w:vAlign w:val="bottom"/>
            <w:gridSpan w:val="2"/>
          </w:tcPr>
          <w:p>
            <w:pPr>
              <w:spacing w:after="0"/>
              <w:rPr>
                <w:sz w:val="24"/>
                <w:szCs w:val="24"/>
                <w:color w:val="auto"/>
              </w:rPr>
            </w:pPr>
          </w:p>
        </w:tc>
      </w:tr>
      <w:tr>
        <w:trPr>
          <w:trHeight w:val="398"/>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31.2</w:t>
            </w: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7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Certification of Chief Financial Officer Pursuant to Section 302 of the Sarbanes-Oxley Act of 2002</w:t>
            </w:r>
          </w:p>
        </w:tc>
        <w:tc>
          <w:tcPr>
            <w:tcW w:w="180" w:type="dxa"/>
            <w:vAlign w:val="bottom"/>
            <w:gridSpan w:val="3"/>
          </w:tcPr>
          <w:p>
            <w:pPr>
              <w:spacing w:after="0"/>
              <w:rPr>
                <w:sz w:val="24"/>
                <w:szCs w:val="24"/>
                <w:color w:val="auto"/>
              </w:rPr>
            </w:pPr>
          </w:p>
        </w:tc>
      </w:tr>
      <w:tr>
        <w:trPr>
          <w:trHeight w:val="399"/>
        </w:trPr>
        <w:tc>
          <w:tcPr>
            <w:tcW w:w="840" w:type="dxa"/>
            <w:vAlign w:val="bottom"/>
            <w:gridSpan w:val="2"/>
          </w:tcPr>
          <w:p>
            <w:pPr>
              <w:ind w:left="20"/>
              <w:spacing w:after="0"/>
              <w:rPr>
                <w:sz w:val="20"/>
                <w:szCs w:val="20"/>
                <w:color w:val="auto"/>
              </w:rPr>
            </w:pPr>
            <w:r>
              <w:rPr>
                <w:rFonts w:ascii="Arial" w:cs="Arial" w:eastAsia="Arial" w:hAnsi="Arial"/>
                <w:sz w:val="18"/>
                <w:szCs w:val="18"/>
                <w:color w:val="auto"/>
              </w:rPr>
              <w:t>32.1</w:t>
            </w: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900" w:type="dxa"/>
            <w:vAlign w:val="bottom"/>
            <w:gridSpan w:val="9"/>
          </w:tcPr>
          <w:p>
            <w:pPr>
              <w:spacing w:after="0"/>
              <w:rPr>
                <w:sz w:val="20"/>
                <w:szCs w:val="20"/>
                <w:color w:val="auto"/>
              </w:rPr>
            </w:pPr>
            <w:r>
              <w:rPr>
                <w:rFonts w:ascii="Arial" w:cs="Arial" w:eastAsia="Arial" w:hAnsi="Arial"/>
                <w:sz w:val="18"/>
                <w:szCs w:val="18"/>
                <w:color w:val="0000EE"/>
              </w:rPr>
              <w:t>Certification of Chief Executive Officer Pursuant to 18 U.S.C. Section 1350, as adopted pursuant to</w:t>
            </w: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40" w:type="dxa"/>
            <w:vAlign w:val="bottom"/>
            <w:tcBorders>
              <w:top w:val="single" w:sz="8" w:color="0000EE"/>
            </w:tcBorders>
            <w:gridSpan w:val="8"/>
          </w:tcPr>
          <w:p>
            <w:pPr>
              <w:spacing w:after="0" w:line="196" w:lineRule="exact"/>
              <w:rPr>
                <w:sz w:val="20"/>
                <w:szCs w:val="20"/>
                <w:color w:val="auto"/>
              </w:rPr>
            </w:pPr>
            <w:r>
              <w:rPr>
                <w:rFonts w:ascii="Arial" w:cs="Arial" w:eastAsia="Arial" w:hAnsi="Arial"/>
                <w:sz w:val="18"/>
                <w:szCs w:val="18"/>
                <w:color w:val="0000EE"/>
              </w:rPr>
              <w:t>Section 906 of the Sarbanes-Oxley Act of 2002</w:t>
            </w:r>
          </w:p>
        </w:tc>
        <w:tc>
          <w:tcPr>
            <w:tcW w:w="60" w:type="dxa"/>
            <w:vAlign w:val="bottom"/>
          </w:tcPr>
          <w:p>
            <w:pPr>
              <w:spacing w:after="0"/>
              <w:rPr>
                <w:sz w:val="17"/>
                <w:szCs w:val="17"/>
                <w:color w:val="auto"/>
              </w:rPr>
            </w:pPr>
          </w:p>
        </w:tc>
      </w:tr>
      <w:tr>
        <w:trPr>
          <w:trHeight w:val="659"/>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20" w:type="dxa"/>
            <w:vAlign w:val="bottom"/>
            <w:tcBorders>
              <w:top w:val="single" w:sz="8" w:color="0000EE"/>
            </w:tcBorders>
          </w:tcPr>
          <w:p>
            <w:pPr>
              <w:jc w:val="right"/>
              <w:ind w:right="88"/>
              <w:spacing w:after="0"/>
              <w:rPr>
                <w:sz w:val="20"/>
                <w:szCs w:val="20"/>
                <w:color w:val="auto"/>
              </w:rPr>
            </w:pPr>
            <w:r>
              <w:rPr>
                <w:rFonts w:ascii="Arial" w:cs="Arial" w:eastAsia="Arial" w:hAnsi="Arial"/>
                <w:sz w:val="18"/>
                <w:szCs w:val="18"/>
                <w:color w:val="auto"/>
              </w:rPr>
              <w:t>30</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9"/>
        </w:trPr>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20" w:right="199" w:hanging="969"/>
        <w:spacing w:after="0" w:line="287" w:lineRule="auto"/>
        <w:tabs>
          <w:tab w:leader="none" w:pos="1000" w:val="left"/>
        </w:tabs>
        <w:rPr>
          <w:sz w:val="20"/>
          <w:szCs w:val="20"/>
          <w:color w:val="auto"/>
        </w:rPr>
      </w:pPr>
      <w:r>
        <w:rPr>
          <w:rFonts w:ascii="Arial" w:cs="Arial" w:eastAsia="Arial" w:hAnsi="Arial"/>
          <w:sz w:val="18"/>
          <w:szCs w:val="18"/>
          <w:color w:val="auto"/>
        </w:rPr>
        <w:t>32.2</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8"/>
          <w:szCs w:val="18"/>
          <w:u w:val="single" w:color="auto"/>
          <w:color w:val="0000EE"/>
        </w:rPr>
        <w:t>Certification of Chief Financial Officer Pursuant to 18 U.S.C. Section 1350, as adopted pursuant to Section 906 of the Sarbanes-Oxley Act of 2002</w:t>
      </w:r>
    </w:p>
    <w:p>
      <w:pPr>
        <w:spacing w:after="0" w:line="139" w:lineRule="exact"/>
        <w:rPr>
          <w:sz w:val="20"/>
          <w:szCs w:val="20"/>
          <w:color w:val="auto"/>
        </w:rPr>
      </w:pPr>
    </w:p>
    <w:p>
      <w:pPr>
        <w:ind w:left="1020" w:right="299" w:hanging="969"/>
        <w:spacing w:after="0" w:line="286" w:lineRule="auto"/>
        <w:tabs>
          <w:tab w:leader="none" w:pos="1000" w:val="left"/>
        </w:tabs>
        <w:rPr>
          <w:sz w:val="20"/>
          <w:szCs w:val="20"/>
          <w:color w:val="auto"/>
        </w:rPr>
      </w:pPr>
      <w:r>
        <w:rPr>
          <w:rFonts w:ascii="Arial" w:cs="Arial" w:eastAsia="Arial" w:hAnsi="Arial"/>
          <w:sz w:val="18"/>
          <w:szCs w:val="18"/>
          <w:color w:val="auto"/>
        </w:rPr>
        <w:t>101.INS</w:t>
      </w:r>
      <w:r>
        <w:rPr>
          <w:rFonts w:ascii="Times New Roman" w:cs="Times New Roman" w:eastAsia="Times New Roman" w:hAnsi="Times New Roman"/>
          <w:sz w:val="18"/>
          <w:szCs w:val="18"/>
          <w:color w:val="auto"/>
        </w:rPr>
        <w:t>†</w:t>
      </w:r>
      <w:r>
        <w:rPr>
          <w:rFonts w:ascii="Arial" w:cs="Arial" w:eastAsia="Arial" w:hAnsi="Arial"/>
          <w:sz w:val="18"/>
          <w:szCs w:val="18"/>
          <w:color w:val="auto"/>
        </w:rPr>
        <w:tab/>
        <w:t xml:space="preserve">Inline XBRL Instance Document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 instance document does not appear in the Interactive Data File because its XBRL tags are embedded within the Inline XBRL document</w:t>
      </w:r>
    </w:p>
    <w:p>
      <w:pPr>
        <w:spacing w:after="0" w:line="12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101.SCH</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Schema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101.CAL</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Calculation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101.DEF</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Definition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101.LAB</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Label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101.PRE</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Inline XBRL Taxonomy Extension Presentation Linkbase Document</w:t>
      </w:r>
    </w:p>
    <w:p>
      <w:pPr>
        <w:spacing w:after="0" w:line="211"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104</w:t>
      </w:r>
      <w:r>
        <w:rPr>
          <w:rFonts w:ascii="Times New Roman" w:cs="Times New Roman" w:eastAsia="Times New Roman" w:hAnsi="Times New Roman"/>
          <w:sz w:val="18"/>
          <w:szCs w:val="18"/>
          <w:color w:val="auto"/>
        </w:rPr>
        <w:t>†</w:t>
      </w:r>
      <w:r>
        <w:rPr>
          <w:sz w:val="20"/>
          <w:szCs w:val="20"/>
          <w:color w:val="auto"/>
        </w:rPr>
        <w:tab/>
      </w:r>
      <w:r>
        <w:rPr>
          <w:rFonts w:ascii="Arial" w:cs="Arial" w:eastAsia="Arial" w:hAnsi="Arial"/>
          <w:sz w:val="17"/>
          <w:szCs w:val="17"/>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2, 2022</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CVRX, INC.</w:t>
      </w:r>
    </w:p>
    <w:p>
      <w:pPr>
        <w:spacing w:after="0" w:line="225"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Nadim Yared</w:t>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Nadim Yared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President and Chief Executive Officer</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194" w:lineRule="exact"/>
        <w:rPr>
          <w:sz w:val="20"/>
          <w:szCs w:val="20"/>
          <w:color w:val="auto"/>
        </w:rPr>
      </w:pPr>
    </w:p>
    <w:p>
      <w:pPr>
        <w:ind w:left="3940"/>
        <w:spacing w:after="0"/>
        <w:tabs>
          <w:tab w:leader="none" w:pos="4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Jared Oasheim</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-130175</wp:posOffset>
            </wp:positionV>
            <wp:extent cx="28117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3940"/>
        <w:spacing w:after="0"/>
        <w:tabs>
          <w:tab w:leader="none" w:pos="4500" w:val="left"/>
        </w:tabs>
        <w:rPr>
          <w:sz w:val="20"/>
          <w:szCs w:val="20"/>
          <w:color w:val="auto"/>
        </w:rPr>
      </w:pPr>
      <w:r>
        <w:rPr>
          <w:rFonts w:ascii="Arial" w:cs="Arial" w:eastAsia="Arial" w:hAnsi="Arial"/>
          <w:sz w:val="18"/>
          <w:szCs w:val="18"/>
          <w:color w:val="auto"/>
        </w:rPr>
        <w:t>Title:</w:t>
        <w:tab/>
        <w:t>Chief Financial Officer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Nadim Yared, certify that:</w:t>
      </w:r>
    </w:p>
    <w:p>
      <w:pPr>
        <w:spacing w:after="0" w:line="117" w:lineRule="exact"/>
        <w:rPr>
          <w:sz w:val="20"/>
          <w:szCs w:val="20"/>
          <w:color w:val="auto"/>
        </w:rPr>
      </w:pPr>
    </w:p>
    <w:p>
      <w:pPr>
        <w:ind w:left="980" w:hanging="64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02,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Nadim Yared</w:t>
            </w:r>
          </w:p>
        </w:tc>
        <w:tc>
          <w:tcPr>
            <w:tcW w:w="0" w:type="dxa"/>
            <w:vAlign w:val="bottom"/>
          </w:tcPr>
          <w:p>
            <w:pPr>
              <w:spacing w:after="0"/>
              <w:rPr>
                <w:sz w:val="1"/>
                <w:szCs w:val="1"/>
                <w:color w:val="auto"/>
              </w:rPr>
            </w:pPr>
          </w:p>
        </w:tc>
      </w:tr>
      <w:tr>
        <w:trPr>
          <w:trHeight w:val="27"/>
        </w:trPr>
        <w:tc>
          <w:tcPr>
            <w:tcW w:w="5660" w:type="dxa"/>
            <w:vAlign w:val="bottom"/>
            <w:vMerge w:val="restart"/>
          </w:tcPr>
          <w:p>
            <w:pPr>
              <w:ind w:left="5160"/>
              <w:spacing w:after="0"/>
              <w:rPr>
                <w:sz w:val="20"/>
                <w:szCs w:val="20"/>
                <w:color w:val="auto"/>
              </w:rPr>
            </w:pPr>
            <w:r>
              <w:rPr>
                <w:rFonts w:ascii="Times New Roman" w:cs="Times New Roman" w:eastAsia="Times New Roman" w:hAnsi="Times New Roman"/>
                <w:sz w:val="18"/>
                <w:szCs w:val="18"/>
                <w:color w:val="auto"/>
                <w:w w:val="99"/>
              </w:rPr>
              <w:t>Name:</w:t>
            </w:r>
          </w:p>
        </w:tc>
        <w:tc>
          <w:tcPr>
            <w:tcW w:w="4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Nadim Yared</w:t>
            </w:r>
          </w:p>
        </w:tc>
        <w:tc>
          <w:tcPr>
            <w:tcW w:w="0" w:type="dxa"/>
            <w:vAlign w:val="bottom"/>
          </w:tcPr>
          <w:p>
            <w:pPr>
              <w:spacing w:after="0"/>
              <w:rPr>
                <w:sz w:val="1"/>
                <w:szCs w:val="1"/>
                <w:color w:val="auto"/>
              </w:rPr>
            </w:pPr>
          </w:p>
        </w:tc>
      </w:tr>
      <w:tr>
        <w:trPr>
          <w:trHeight w:val="234"/>
        </w:trPr>
        <w:tc>
          <w:tcPr>
            <w:tcW w:w="566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Jared Oasheim, certify that:</w:t>
      </w:r>
    </w:p>
    <w:p>
      <w:pPr>
        <w:spacing w:after="0" w:line="117" w:lineRule="exact"/>
        <w:rPr>
          <w:sz w:val="20"/>
          <w:szCs w:val="20"/>
          <w:color w:val="auto"/>
        </w:rPr>
      </w:pPr>
    </w:p>
    <w:p>
      <w:pPr>
        <w:ind w:left="980" w:hanging="648"/>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CVRx, Inc.;</w:t>
      </w:r>
    </w:p>
    <w:p>
      <w:pPr>
        <w:spacing w:after="0" w:line="117" w:lineRule="exact"/>
        <w:rPr>
          <w:rFonts w:ascii="Times New Roman" w:cs="Times New Roman" w:eastAsia="Times New Roman" w:hAnsi="Times New Roman"/>
          <w:sz w:val="18"/>
          <w:szCs w:val="18"/>
          <w:color w:val="auto"/>
        </w:rPr>
      </w:pPr>
    </w:p>
    <w:p>
      <w:pPr>
        <w:ind w:left="980" w:right="10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80" w:right="30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320" w:hanging="640"/>
        <w:spacing w:after="0" w:line="261"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620" w:right="40" w:hanging="640"/>
        <w:spacing w:after="0" w:line="261"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1620" w:right="180" w:hanging="640"/>
        <w:spacing w:after="0" w:line="266"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60" w:hanging="640"/>
        <w:spacing w:after="0" w:line="261"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980" w:right="24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620" w:right="120" w:hanging="640"/>
        <w:spacing w:after="0" w:line="266"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620" w:right="200" w:hanging="640"/>
        <w:spacing w:after="0" w:line="282" w:lineRule="auto"/>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02, 2022</w:t>
      </w:r>
    </w:p>
    <w:p>
      <w:pPr>
        <w:spacing w:after="0" w:line="200" w:lineRule="exact"/>
        <w:rPr>
          <w:sz w:val="20"/>
          <w:szCs w:val="20"/>
          <w:color w:val="auto"/>
        </w:rPr>
      </w:pPr>
    </w:p>
    <w:p>
      <w:pPr>
        <w:spacing w:after="0" w:line="322"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Jared Oasheim</w:t>
      </w:r>
    </w:p>
    <w:p>
      <w:pPr>
        <w:spacing w:after="0" w:line="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Name: Jared Oasheim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-119380</wp:posOffset>
            </wp:positionV>
            <wp:extent cx="2665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1" w:lineRule="exact"/>
        <w:rPr>
          <w:sz w:val="20"/>
          <w:szCs w:val="20"/>
          <w:color w:val="auto"/>
        </w:rPr>
      </w:pPr>
    </w:p>
    <w:p>
      <w:pPr>
        <w:ind w:left="5160"/>
        <w:spacing w:after="0"/>
        <w:tabs>
          <w:tab w:leader="none" w:pos="5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March 31, 2022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02, 2022</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Nadim Yared</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Nadim Yared</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31" w:right="9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 18 U.S.C. Section 1350,</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CVRx, Inc. (the “Company”) on Form 10-Q for the period ended March 31, 2022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1300" w:right="22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02, 2022</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Jared Oasheim</w:t>
            </w:r>
          </w:p>
        </w:tc>
        <w:tc>
          <w:tcPr>
            <w:tcW w:w="0" w:type="dxa"/>
            <w:vAlign w:val="bottom"/>
          </w:tcPr>
          <w:p>
            <w:pPr>
              <w:spacing w:after="0"/>
              <w:rPr>
                <w:sz w:val="1"/>
                <w:szCs w:val="1"/>
                <w:color w:val="auto"/>
              </w:rPr>
            </w:pPr>
          </w:p>
        </w:tc>
      </w:tr>
      <w:tr>
        <w:trPr>
          <w:trHeight w:val="27"/>
        </w:trPr>
        <w:tc>
          <w:tcPr>
            <w:tcW w:w="560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600" w:type="dxa"/>
            <w:vAlign w:val="bottom"/>
            <w:vMerge w:val="continue"/>
          </w:tcPr>
          <w:p>
            <w:pPr>
              <w:spacing w:after="0"/>
              <w:rPr>
                <w:sz w:val="17"/>
                <w:szCs w:val="17"/>
                <w:color w:val="auto"/>
              </w:rPr>
            </w:pPr>
          </w:p>
        </w:tc>
        <w:tc>
          <w:tcPr>
            <w:tcW w:w="43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Jared Oasheim</w:t>
            </w:r>
          </w:p>
        </w:tc>
        <w:tc>
          <w:tcPr>
            <w:tcW w:w="0" w:type="dxa"/>
            <w:vAlign w:val="bottom"/>
          </w:tcPr>
          <w:p>
            <w:pPr>
              <w:spacing w:after="0"/>
              <w:rPr>
                <w:sz w:val="1"/>
                <w:szCs w:val="1"/>
                <w:color w:val="auto"/>
              </w:rPr>
            </w:pPr>
          </w:p>
        </w:tc>
      </w:tr>
      <w:tr>
        <w:trPr>
          <w:trHeight w:val="234"/>
        </w:trPr>
        <w:tc>
          <w:tcPr>
            <w:tcW w:w="560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803"/>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6" Type="http://schemas.openxmlformats.org/officeDocument/2006/relationships/hyperlink" Target="https://www.sec.gov/Archives/edgar/data/1235912/000110465921089779/tm2121505d1_ex3-1.htm" TargetMode="External"/><Relationship Id="rId47" Type="http://schemas.openxmlformats.org/officeDocument/2006/relationships/hyperlink" Target="https://www.sec.gov/Archives/edgar/data/1235912/000110465921089779/tm212150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2022-05-02T15:47:11Z</dcterms:created>
  <dcterms:modified xsi:type="dcterms:W3CDTF">2022-05-02T15:47:11Z</dcterms:modified>
</cp:coreProperties>
</file>